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云南省冶金等工贸行业企业三级动态巡查、四级动态预警机制</w:t>
      </w:r>
      <w:r>
        <w:rPr>
          <w:rFonts w:hint="eastAsia" w:ascii="方正小标宋简体" w:hAnsi="方正小标宋简体" w:eastAsia="方正小标宋简体" w:cs="方正小标宋简体"/>
          <w:bCs/>
          <w:sz w:val="44"/>
          <w:szCs w:val="44"/>
          <w:lang w:eastAsia="zh-CN"/>
        </w:rPr>
        <w:t>管理</w:t>
      </w:r>
      <w:r>
        <w:rPr>
          <w:rFonts w:hint="eastAsia" w:ascii="方正小标宋简体" w:hAnsi="方正小标宋简体" w:eastAsia="方正小标宋简体" w:cs="方正小标宋简体"/>
          <w:bCs/>
          <w:sz w:val="44"/>
          <w:szCs w:val="44"/>
        </w:rPr>
        <w:t>办法</w:t>
      </w:r>
      <w:r>
        <w:rPr>
          <w:rFonts w:hint="eastAsia" w:ascii="方正小标宋简体" w:hAnsi="方正小标宋简体" w:eastAsia="方正小标宋简体" w:cs="方正小标宋简体"/>
          <w:bCs/>
          <w:sz w:val="44"/>
          <w:szCs w:val="44"/>
          <w:lang w:eastAsia="zh-CN"/>
        </w:rPr>
        <w:t>（</w:t>
      </w:r>
      <w:r>
        <w:rPr>
          <w:rFonts w:hint="eastAsia" w:ascii="方正小标宋简体" w:hAnsi="方正小标宋简体" w:eastAsia="方正小标宋简体" w:cs="方正小标宋简体"/>
          <w:bCs/>
          <w:sz w:val="44"/>
          <w:szCs w:val="44"/>
        </w:rPr>
        <w:t>试行</w:t>
      </w:r>
      <w:r>
        <w:rPr>
          <w:rFonts w:hint="eastAsia" w:ascii="方正小标宋简体" w:hAnsi="方正小标宋简体" w:eastAsia="方正小标宋简体" w:cs="方正小标宋简体"/>
          <w:bCs/>
          <w:sz w:val="44"/>
          <w:szCs w:val="44"/>
          <w:lang w:eastAsia="zh-CN"/>
        </w:rPr>
        <w:t>）</w:t>
      </w:r>
    </w:p>
    <w:p>
      <w:pPr>
        <w:spacing w:line="620" w:lineRule="exact"/>
        <w:jc w:val="center"/>
        <w:rPr>
          <w:rFonts w:ascii="方正小标宋简体" w:hAnsi="方正小标宋简体" w:eastAsia="方正小标宋简体" w:cs="方正小标宋简体"/>
          <w:bCs/>
          <w:sz w:val="44"/>
          <w:szCs w:val="44"/>
        </w:rPr>
      </w:pPr>
    </w:p>
    <w:p>
      <w:pPr>
        <w:spacing w:line="620" w:lineRule="exact"/>
        <w:jc w:val="center"/>
        <w:rPr>
          <w:rFonts w:ascii="Times New Roman" w:hAnsi="Times New Roman" w:eastAsia="仿宋_GB2312"/>
          <w:b/>
          <w:sz w:val="32"/>
          <w:szCs w:val="32"/>
        </w:rPr>
      </w:pPr>
      <w:bookmarkStart w:id="0" w:name="_Toc472947752"/>
      <w:bookmarkStart w:id="1" w:name="_Toc2507"/>
      <w:r>
        <w:rPr>
          <w:rFonts w:ascii="Times New Roman" w:hAnsi="Times New Roman" w:eastAsia="仿宋_GB2312"/>
          <w:b/>
          <w:sz w:val="32"/>
          <w:szCs w:val="32"/>
        </w:rPr>
        <w:t>第一章</w:t>
      </w:r>
      <w:r>
        <w:rPr>
          <w:rFonts w:hint="eastAsia" w:ascii="Times New Roman" w:hAnsi="Times New Roman" w:eastAsia="仿宋_GB2312"/>
          <w:b/>
          <w:sz w:val="32"/>
          <w:szCs w:val="32"/>
        </w:rPr>
        <w:t xml:space="preserve"> 总则</w:t>
      </w:r>
    </w:p>
    <w:p>
      <w:pPr>
        <w:pStyle w:val="19"/>
        <w:ind w:firstLine="643"/>
        <w:rPr>
          <w:rFonts w:ascii="Times New Roman" w:eastAsia="仿宋_GB2312"/>
          <w:bCs/>
          <w:sz w:val="32"/>
          <w:szCs w:val="32"/>
        </w:rPr>
      </w:pPr>
      <w:r>
        <w:rPr>
          <w:rFonts w:ascii="Times New Roman" w:eastAsia="仿宋_GB2312"/>
          <w:b/>
          <w:sz w:val="32"/>
          <w:szCs w:val="32"/>
        </w:rPr>
        <w:t>第一条</w:t>
      </w:r>
      <w:r>
        <w:rPr>
          <w:rFonts w:hint="eastAsia" w:ascii="Times New Roman" w:eastAsia="仿宋_GB2312"/>
          <w:sz w:val="32"/>
          <w:szCs w:val="32"/>
        </w:rPr>
        <w:t xml:space="preserve"> </w:t>
      </w:r>
      <w:r>
        <w:rPr>
          <w:rFonts w:ascii="Times New Roman" w:eastAsia="仿宋_GB2312"/>
          <w:sz w:val="32"/>
          <w:szCs w:val="32"/>
        </w:rPr>
        <w:t>为了建立</w:t>
      </w:r>
      <w:r>
        <w:rPr>
          <w:rFonts w:hint="eastAsia" w:ascii="Times New Roman" w:eastAsia="仿宋_GB2312"/>
          <w:sz w:val="32"/>
          <w:szCs w:val="32"/>
        </w:rPr>
        <w:t>冶金等工贸行业</w:t>
      </w:r>
      <w:r>
        <w:rPr>
          <w:rFonts w:ascii="Times New Roman" w:eastAsia="仿宋_GB2312"/>
          <w:sz w:val="32"/>
          <w:szCs w:val="32"/>
        </w:rPr>
        <w:t>高效有序的监管模式</w:t>
      </w:r>
      <w:r>
        <w:rPr>
          <w:rFonts w:hint="eastAsia" w:ascii="Times New Roman" w:eastAsia="仿宋_GB2312"/>
          <w:sz w:val="32"/>
          <w:szCs w:val="32"/>
        </w:rPr>
        <w:t>，强化安全风险管控，预防和减少伤亡事故，</w:t>
      </w:r>
      <w:r>
        <w:rPr>
          <w:rFonts w:ascii="Times New Roman" w:eastAsia="仿宋_GB2312"/>
          <w:bCs/>
          <w:sz w:val="32"/>
          <w:szCs w:val="32"/>
        </w:rPr>
        <w:t>根据《工贸行业遏制重特大事故工作意见》（安监总管四〔2016〕68号）、《国务院安委会办公室关于实施遏制重特大事故工作指南构建双重预防机制的意见》（安委办〔2016〕11号）和《国家安全监管总局关于印发开展工贸企业较大危险因素辨识管控提升防范事故能力行动计划的通知》（安监总管四〔2016〕31号）要求</w:t>
      </w:r>
      <w:r>
        <w:rPr>
          <w:rFonts w:hint="eastAsia" w:ascii="Times New Roman" w:eastAsia="仿宋_GB2312"/>
          <w:bCs/>
          <w:sz w:val="32"/>
          <w:szCs w:val="32"/>
        </w:rPr>
        <w:t>，</w:t>
      </w:r>
      <w:r>
        <w:rPr>
          <w:rFonts w:ascii="Times New Roman" w:eastAsia="仿宋_GB2312"/>
          <w:bCs/>
          <w:sz w:val="32"/>
          <w:szCs w:val="32"/>
        </w:rPr>
        <w:t>结合我省实际</w:t>
      </w:r>
      <w:r>
        <w:rPr>
          <w:rFonts w:hint="eastAsia" w:ascii="Times New Roman" w:eastAsia="仿宋_GB2312"/>
          <w:bCs/>
          <w:sz w:val="32"/>
          <w:szCs w:val="32"/>
        </w:rPr>
        <w:t>，</w:t>
      </w:r>
      <w:r>
        <w:rPr>
          <w:rFonts w:ascii="Times New Roman" w:eastAsia="仿宋_GB2312"/>
          <w:bCs/>
          <w:sz w:val="32"/>
          <w:szCs w:val="32"/>
        </w:rPr>
        <w:t>制定本</w:t>
      </w:r>
      <w:r>
        <w:rPr>
          <w:rFonts w:hint="eastAsia" w:ascii="Times New Roman" w:eastAsia="仿宋_GB2312"/>
          <w:bCs/>
          <w:sz w:val="32"/>
          <w:szCs w:val="32"/>
        </w:rPr>
        <w:t>办法。</w:t>
      </w:r>
    </w:p>
    <w:p>
      <w:pPr>
        <w:pStyle w:val="19"/>
        <w:ind w:firstLine="643"/>
        <w:rPr>
          <w:rFonts w:ascii="Times New Roman" w:eastAsia="仿宋_GB2312"/>
          <w:bCs/>
          <w:sz w:val="32"/>
          <w:szCs w:val="32"/>
        </w:rPr>
      </w:pPr>
      <w:r>
        <w:rPr>
          <w:rFonts w:ascii="Times New Roman" w:eastAsia="仿宋_GB2312"/>
          <w:b/>
          <w:sz w:val="32"/>
          <w:szCs w:val="32"/>
        </w:rPr>
        <w:t>第二条</w:t>
      </w:r>
      <w:r>
        <w:rPr>
          <w:rFonts w:hint="eastAsia" w:ascii="Times New Roman" w:eastAsia="仿宋_GB2312"/>
          <w:b/>
          <w:sz w:val="32"/>
          <w:szCs w:val="32"/>
        </w:rPr>
        <w:t xml:space="preserve"> </w:t>
      </w:r>
      <w:r>
        <w:rPr>
          <w:rFonts w:hint="eastAsia" w:ascii="Times New Roman" w:eastAsia="仿宋_GB2312"/>
          <w:b w:val="0"/>
          <w:sz w:val="32"/>
          <w:szCs w:val="32"/>
        </w:rPr>
        <w:t>对</w:t>
      </w:r>
      <w:r>
        <w:rPr>
          <w:rFonts w:ascii="Times New Roman" w:eastAsia="仿宋_GB2312"/>
          <w:bCs/>
          <w:sz w:val="32"/>
          <w:szCs w:val="32"/>
        </w:rPr>
        <w:t>我省行政区域内依法成立</w:t>
      </w:r>
      <w:r>
        <w:rPr>
          <w:rFonts w:hint="eastAsia" w:ascii="Times New Roman" w:eastAsia="仿宋_GB2312"/>
          <w:bCs/>
          <w:sz w:val="32"/>
          <w:szCs w:val="32"/>
        </w:rPr>
        <w:t>且</w:t>
      </w:r>
      <w:r>
        <w:rPr>
          <w:rFonts w:ascii="Times New Roman" w:eastAsia="仿宋_GB2312"/>
          <w:bCs/>
          <w:sz w:val="32"/>
          <w:szCs w:val="32"/>
        </w:rPr>
        <w:t>正常开展生产经营活动</w:t>
      </w:r>
      <w:r>
        <w:rPr>
          <w:rFonts w:hint="eastAsia" w:ascii="Times New Roman" w:eastAsia="仿宋_GB2312"/>
          <w:bCs/>
          <w:sz w:val="32"/>
          <w:szCs w:val="32"/>
        </w:rPr>
        <w:t>的</w:t>
      </w:r>
      <w:r>
        <w:rPr>
          <w:rFonts w:ascii="Times New Roman" w:eastAsia="仿宋_GB2312"/>
          <w:bCs/>
          <w:sz w:val="32"/>
          <w:szCs w:val="32"/>
        </w:rPr>
        <w:t>冶金等工贸行业企业的三级</w:t>
      </w:r>
      <w:r>
        <w:rPr>
          <w:rFonts w:hint="eastAsia" w:ascii="Times New Roman" w:eastAsia="仿宋_GB2312"/>
          <w:bCs/>
          <w:sz w:val="32"/>
          <w:szCs w:val="32"/>
        </w:rPr>
        <w:t>动态</w:t>
      </w:r>
      <w:r>
        <w:rPr>
          <w:rFonts w:ascii="Times New Roman" w:eastAsia="仿宋_GB2312"/>
          <w:bCs/>
          <w:sz w:val="32"/>
          <w:szCs w:val="32"/>
        </w:rPr>
        <w:t>巡查</w:t>
      </w:r>
      <w:r>
        <w:rPr>
          <w:rFonts w:hint="eastAsia" w:ascii="Times New Roman" w:eastAsia="仿宋_GB2312"/>
          <w:bCs/>
          <w:sz w:val="32"/>
          <w:szCs w:val="32"/>
        </w:rPr>
        <w:t>、四级动态</w:t>
      </w:r>
      <w:r>
        <w:rPr>
          <w:rFonts w:ascii="Times New Roman" w:eastAsia="仿宋_GB2312"/>
          <w:bCs/>
          <w:sz w:val="32"/>
          <w:szCs w:val="32"/>
        </w:rPr>
        <w:t>预警工作，适用本</w:t>
      </w:r>
      <w:r>
        <w:rPr>
          <w:rFonts w:hint="eastAsia" w:ascii="Times New Roman" w:eastAsia="仿宋_GB2312"/>
          <w:bCs/>
          <w:sz w:val="32"/>
          <w:szCs w:val="32"/>
        </w:rPr>
        <w:t>办法</w:t>
      </w:r>
      <w:r>
        <w:rPr>
          <w:rFonts w:ascii="Times New Roman" w:eastAsia="仿宋_GB2312"/>
          <w:bCs/>
          <w:sz w:val="32"/>
          <w:szCs w:val="32"/>
        </w:rPr>
        <w:t>。</w:t>
      </w:r>
    </w:p>
    <w:p>
      <w:pPr>
        <w:pStyle w:val="19"/>
        <w:ind w:firstLine="643"/>
        <w:rPr>
          <w:rFonts w:ascii="Times New Roman" w:eastAsia="仿宋_GB2312"/>
          <w:sz w:val="32"/>
          <w:szCs w:val="32"/>
        </w:rPr>
      </w:pPr>
      <w:r>
        <w:rPr>
          <w:rFonts w:ascii="Times New Roman" w:eastAsia="仿宋_GB2312"/>
          <w:b/>
          <w:sz w:val="32"/>
          <w:szCs w:val="32"/>
        </w:rPr>
        <w:t>第三条</w:t>
      </w:r>
      <w:r>
        <w:rPr>
          <w:rFonts w:hint="eastAsia" w:ascii="Times New Roman" w:eastAsia="仿宋_GB2312"/>
          <w:b/>
          <w:sz w:val="32"/>
          <w:szCs w:val="32"/>
        </w:rPr>
        <w:t xml:space="preserve"> </w:t>
      </w:r>
      <w:r>
        <w:rPr>
          <w:rFonts w:ascii="Times New Roman" w:eastAsia="仿宋_GB2312"/>
          <w:bCs/>
          <w:sz w:val="32"/>
          <w:szCs w:val="32"/>
        </w:rPr>
        <w:t>三级</w:t>
      </w:r>
      <w:r>
        <w:rPr>
          <w:rFonts w:hint="eastAsia" w:ascii="Times New Roman" w:eastAsia="仿宋_GB2312"/>
          <w:bCs/>
          <w:sz w:val="32"/>
          <w:szCs w:val="32"/>
        </w:rPr>
        <w:t>动态</w:t>
      </w:r>
      <w:r>
        <w:rPr>
          <w:rFonts w:ascii="Times New Roman" w:eastAsia="仿宋_GB2312"/>
          <w:bCs/>
          <w:sz w:val="32"/>
          <w:szCs w:val="32"/>
        </w:rPr>
        <w:t>巡查</w:t>
      </w:r>
      <w:r>
        <w:rPr>
          <w:rFonts w:hint="eastAsia" w:ascii="Times New Roman" w:eastAsia="仿宋_GB2312"/>
          <w:bCs/>
          <w:sz w:val="32"/>
          <w:szCs w:val="32"/>
        </w:rPr>
        <w:t>、四级动态</w:t>
      </w:r>
      <w:r>
        <w:rPr>
          <w:rFonts w:ascii="Times New Roman" w:eastAsia="仿宋_GB2312"/>
          <w:bCs/>
          <w:sz w:val="32"/>
          <w:szCs w:val="32"/>
        </w:rPr>
        <w:t>预警工作应覆盖工贸</w:t>
      </w:r>
      <w:r>
        <w:rPr>
          <w:rFonts w:hint="eastAsia" w:ascii="Times New Roman" w:eastAsia="仿宋_GB2312"/>
          <w:bCs/>
          <w:sz w:val="32"/>
          <w:szCs w:val="32"/>
        </w:rPr>
        <w:t>“</w:t>
      </w:r>
      <w:r>
        <w:rPr>
          <w:rFonts w:ascii="Times New Roman" w:eastAsia="仿宋_GB2312"/>
          <w:bCs/>
          <w:sz w:val="32"/>
          <w:szCs w:val="32"/>
        </w:rPr>
        <w:t>八大行业</w:t>
      </w:r>
      <w:r>
        <w:rPr>
          <w:rFonts w:hint="eastAsia" w:ascii="Times New Roman" w:eastAsia="仿宋_GB2312"/>
          <w:bCs/>
          <w:sz w:val="32"/>
          <w:szCs w:val="32"/>
        </w:rPr>
        <w:t>”，</w:t>
      </w:r>
      <w:r>
        <w:rPr>
          <w:rFonts w:ascii="Times New Roman" w:eastAsia="仿宋_GB2312"/>
          <w:bCs/>
          <w:sz w:val="32"/>
          <w:szCs w:val="32"/>
        </w:rPr>
        <w:t>以涉及</w:t>
      </w:r>
      <w:r>
        <w:rPr>
          <w:rFonts w:hint="eastAsia" w:ascii="Times New Roman" w:eastAsia="仿宋_GB2312"/>
          <w:bCs/>
          <w:sz w:val="32"/>
          <w:szCs w:val="32"/>
        </w:rPr>
        <w:t>“四大领域、十大风险类别”的企业为重点，</w:t>
      </w:r>
      <w:r>
        <w:rPr>
          <w:rFonts w:ascii="Times New Roman" w:eastAsia="仿宋_GB2312"/>
          <w:sz w:val="32"/>
          <w:szCs w:val="32"/>
        </w:rPr>
        <w:t>坚持统筹兼顾</w:t>
      </w:r>
      <w:r>
        <w:rPr>
          <w:rFonts w:hint="eastAsia" w:ascii="Times New Roman" w:eastAsia="仿宋_GB2312"/>
          <w:sz w:val="32"/>
          <w:szCs w:val="32"/>
        </w:rPr>
        <w:t>、</w:t>
      </w:r>
      <w:r>
        <w:rPr>
          <w:rFonts w:ascii="Times New Roman" w:eastAsia="仿宋_GB2312"/>
          <w:sz w:val="32"/>
          <w:szCs w:val="32"/>
        </w:rPr>
        <w:t>分级负责、</w:t>
      </w:r>
      <w:r>
        <w:rPr>
          <w:rFonts w:hint="eastAsia" w:ascii="Times New Roman" w:eastAsia="仿宋_GB2312"/>
          <w:sz w:val="32"/>
          <w:szCs w:val="32"/>
        </w:rPr>
        <w:t>重点突出、</w:t>
      </w:r>
      <w:r>
        <w:rPr>
          <w:rFonts w:ascii="Times New Roman" w:eastAsia="仿宋_GB2312"/>
          <w:sz w:val="32"/>
          <w:szCs w:val="32"/>
        </w:rPr>
        <w:t>动态</w:t>
      </w:r>
      <w:r>
        <w:rPr>
          <w:rFonts w:hint="eastAsia" w:ascii="Times New Roman" w:eastAsia="仿宋_GB2312"/>
          <w:sz w:val="32"/>
          <w:szCs w:val="32"/>
        </w:rPr>
        <w:t>监管</w:t>
      </w:r>
      <w:r>
        <w:rPr>
          <w:rFonts w:ascii="Times New Roman" w:eastAsia="仿宋_GB2312"/>
          <w:sz w:val="32"/>
          <w:szCs w:val="32"/>
        </w:rPr>
        <w:t>的原则。</w:t>
      </w:r>
    </w:p>
    <w:p>
      <w:pPr>
        <w:spacing w:line="620" w:lineRule="exact"/>
        <w:ind w:firstLine="643" w:firstLineChars="200"/>
        <w:rPr>
          <w:rFonts w:ascii="Times New Roman" w:hAnsi="Times New Roman" w:eastAsia="仿宋_GB2312"/>
          <w:bCs/>
          <w:sz w:val="32"/>
          <w:szCs w:val="32"/>
        </w:rPr>
      </w:pPr>
      <w:r>
        <w:rPr>
          <w:rFonts w:ascii="Times New Roman" w:eastAsia="仿宋_GB2312"/>
          <w:b/>
          <w:sz w:val="32"/>
          <w:szCs w:val="32"/>
        </w:rPr>
        <w:t>第四条</w:t>
      </w:r>
      <w:r>
        <w:rPr>
          <w:rFonts w:hint="eastAsia" w:ascii="Times New Roman" w:eastAsia="仿宋_GB2312"/>
          <w:b/>
          <w:sz w:val="32"/>
          <w:szCs w:val="32"/>
        </w:rPr>
        <w:t xml:space="preserve"> </w:t>
      </w:r>
      <w:r>
        <w:rPr>
          <w:rFonts w:hint="eastAsia" w:ascii="Times New Roman" w:eastAsia="仿宋_GB2312"/>
          <w:sz w:val="32"/>
          <w:szCs w:val="32"/>
        </w:rPr>
        <w:t>省、州（市）、县（市、区）应急管理部门应分别成立冶金等工贸行业企业三级动态巡查、四级动态预警工作领导小组，制定各级冶金等工贸行业企业三级动态巡查工作计划，明确各级巡查企业名单，按计划开展巡查工作，定期向上级应急管理部门报送巡查和预警情况。</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第五条</w:t>
      </w:r>
      <w:r>
        <w:rPr>
          <w:rFonts w:hint="eastAsia" w:ascii="Times New Roman" w:hAnsi="Times New Roman" w:eastAsia="仿宋_GB2312"/>
          <w:bCs/>
          <w:sz w:val="32"/>
          <w:szCs w:val="32"/>
        </w:rPr>
        <w:t xml:space="preserve"> 三级动态巡查、四级动态预警工作专业性和技术性强，各级应急管理部门应通过政府购买服务等方式聘请专家或专业技术服务机构协助开展巡查和预警工作，并结合专家或专业技术服务机构意见以及被巡查企业安全生产综合情况确定相应的预警级别。</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第六条</w:t>
      </w:r>
      <w:r>
        <w:rPr>
          <w:rFonts w:hint="eastAsia" w:ascii="Times New Roman" w:hAnsi="Times New Roman" w:eastAsia="仿宋_GB2312"/>
          <w:bCs/>
          <w:sz w:val="32"/>
          <w:szCs w:val="32"/>
        </w:rPr>
        <w:t xml:space="preserve"> 对巡查发布的红、橙级风险预警和事故预警需推送至各级应急管理部门，实现信息共享和重点监管，各级应急管理部门要对红、橙级事故预警企业及时督促整改到位，防范事故发生。</w:t>
      </w:r>
    </w:p>
    <w:p>
      <w:pPr>
        <w:spacing w:line="620" w:lineRule="exact"/>
        <w:jc w:val="center"/>
        <w:rPr>
          <w:rFonts w:ascii="Times New Roman" w:hAnsi="Times New Roman" w:eastAsia="仿宋_GB2312"/>
          <w:b/>
          <w:sz w:val="32"/>
          <w:szCs w:val="32"/>
        </w:rPr>
      </w:pPr>
      <w:r>
        <w:rPr>
          <w:rFonts w:ascii="Times New Roman" w:hAnsi="Times New Roman" w:eastAsia="仿宋_GB2312"/>
          <w:b/>
          <w:sz w:val="32"/>
          <w:szCs w:val="32"/>
        </w:rPr>
        <w:t>第二章</w:t>
      </w:r>
      <w:r>
        <w:rPr>
          <w:rFonts w:hint="eastAsia" w:ascii="Times New Roman" w:hAnsi="Times New Roman" w:eastAsia="仿宋_GB2312"/>
          <w:b/>
          <w:sz w:val="32"/>
          <w:szCs w:val="32"/>
        </w:rPr>
        <w:t xml:space="preserve"> 三级动态巡查</w:t>
      </w:r>
    </w:p>
    <w:p>
      <w:pPr>
        <w:spacing w:line="620" w:lineRule="exact"/>
        <w:ind w:firstLine="643" w:firstLineChars="200"/>
        <w:rPr>
          <w:rFonts w:ascii="Times New Roman" w:eastAsia="仿宋_GB2312"/>
          <w:bCs/>
          <w:sz w:val="32"/>
          <w:szCs w:val="32"/>
        </w:rPr>
      </w:pPr>
      <w:r>
        <w:rPr>
          <w:rFonts w:ascii="Times New Roman" w:eastAsia="仿宋_GB2312"/>
          <w:b/>
          <w:sz w:val="32"/>
          <w:szCs w:val="32"/>
        </w:rPr>
        <w:t>第</w:t>
      </w:r>
      <w:r>
        <w:rPr>
          <w:rFonts w:hint="eastAsia" w:ascii="Times New Roman" w:eastAsia="仿宋_GB2312"/>
          <w:b/>
          <w:sz w:val="32"/>
          <w:szCs w:val="32"/>
        </w:rPr>
        <w:t>七</w:t>
      </w:r>
      <w:r>
        <w:rPr>
          <w:rFonts w:ascii="Times New Roman" w:eastAsia="仿宋_GB2312"/>
          <w:b/>
          <w:sz w:val="32"/>
          <w:szCs w:val="32"/>
        </w:rPr>
        <w:t>条</w:t>
      </w:r>
      <w:r>
        <w:rPr>
          <w:rFonts w:hint="eastAsia" w:ascii="Times New Roman" w:eastAsia="仿宋_GB2312"/>
          <w:b/>
          <w:sz w:val="32"/>
          <w:szCs w:val="32"/>
        </w:rPr>
        <w:t xml:space="preserve"> </w:t>
      </w:r>
      <w:r>
        <w:rPr>
          <w:rFonts w:hint="eastAsia" w:ascii="Times New Roman" w:eastAsia="仿宋_GB2312"/>
          <w:bCs/>
          <w:sz w:val="32"/>
          <w:szCs w:val="32"/>
        </w:rPr>
        <w:t>三级动态巡查，即省、州（市）、县（市、区）三级应急管理部门根据辖区内八大行业企业分布、涉及的四大领域（金属冶炼、有限空间、粉尘涉爆、涉氨制冷）、十大风险类别、安全生产标准化建设与达标情况，结合实际工作重点、监管力量、工作经费、事故情况等，按照统筹兼顾、重点突出、量力而行的原则，分别确定相应数量的企业</w:t>
      </w:r>
      <w:r>
        <w:rPr>
          <w:rFonts w:hint="eastAsia" w:ascii="Times New Roman" w:hAnsi="Times New Roman" w:eastAsia="仿宋_GB2312"/>
          <w:bCs/>
          <w:sz w:val="32"/>
          <w:szCs w:val="32"/>
        </w:rPr>
        <w:t>，制定巡查计划（包括目标、任务、内容、企业名称等）并公示，对相应的企业开展安全巡查监管。</w:t>
      </w:r>
    </w:p>
    <w:p>
      <w:pPr>
        <w:spacing w:line="620" w:lineRule="exact"/>
        <w:ind w:firstLine="643" w:firstLineChars="200"/>
        <w:rPr>
          <w:rFonts w:ascii="Times New Roman" w:hAnsi="Times New Roman" w:eastAsia="仿宋_GB2312"/>
          <w:bCs/>
          <w:sz w:val="32"/>
          <w:szCs w:val="32"/>
        </w:rPr>
      </w:pPr>
      <w:r>
        <w:rPr>
          <w:rFonts w:ascii="Times New Roman" w:hAnsi="Times New Roman" w:eastAsia="仿宋_GB2312"/>
          <w:b/>
          <w:bCs/>
          <w:sz w:val="32"/>
          <w:szCs w:val="32"/>
        </w:rPr>
        <w:t>第</w:t>
      </w:r>
      <w:r>
        <w:rPr>
          <w:rFonts w:hint="eastAsia" w:ascii="Times New Roman" w:hAnsi="Times New Roman" w:eastAsia="仿宋_GB2312"/>
          <w:b/>
          <w:bCs/>
          <w:sz w:val="32"/>
          <w:szCs w:val="32"/>
        </w:rPr>
        <w:t>八</w:t>
      </w:r>
      <w:r>
        <w:rPr>
          <w:rFonts w:ascii="Times New Roman" w:hAnsi="Times New Roman" w:eastAsia="仿宋_GB2312"/>
          <w:b/>
          <w:bCs/>
          <w:sz w:val="32"/>
          <w:szCs w:val="32"/>
        </w:rPr>
        <w:t>条</w:t>
      </w:r>
      <w:r>
        <w:rPr>
          <w:rFonts w:hint="eastAsia" w:ascii="Times New Roman" w:hAnsi="Times New Roman" w:eastAsia="仿宋_GB2312"/>
          <w:b/>
          <w:bCs/>
          <w:sz w:val="32"/>
          <w:szCs w:val="32"/>
        </w:rPr>
        <w:t xml:space="preserve"> </w:t>
      </w:r>
      <w:r>
        <w:rPr>
          <w:rFonts w:hint="eastAsia" w:ascii="Times New Roman" w:hAnsi="Times New Roman" w:eastAsia="仿宋_GB2312"/>
          <w:bCs/>
          <w:sz w:val="32"/>
          <w:szCs w:val="32"/>
        </w:rPr>
        <w:t>省应急管理厅每年应对不少于100户重点监管工贸企业开展巡查；州（市）应急管理局每年应对不少于30户重点监管工贸企业开展巡查；县（区）应急管理局每年应对不少于10户重点监管工贸企业开展巡查。</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 xml:space="preserve">第九条 </w:t>
      </w:r>
      <w:r>
        <w:rPr>
          <w:rFonts w:hint="eastAsia" w:ascii="Times New Roman" w:hAnsi="Times New Roman" w:eastAsia="仿宋_GB2312"/>
          <w:bCs/>
          <w:sz w:val="32"/>
          <w:szCs w:val="32"/>
        </w:rPr>
        <w:t>州（市）、县（市、区）应急管理部门应结合省应急管理厅巡查计划，于每年2月底前将巡查计划向上一级应急管理部门报备。</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第十条</w:t>
      </w:r>
      <w:r>
        <w:rPr>
          <w:rFonts w:hint="eastAsia" w:ascii="Times New Roman" w:hAnsi="Times New Roman" w:eastAsia="仿宋_GB2312"/>
          <w:bCs/>
          <w:sz w:val="32"/>
          <w:szCs w:val="32"/>
        </w:rPr>
        <w:t xml:space="preserve"> 上级应急管理部门应结合年度重点工作实际，按相应的比例对下级应急管理部门负责巡查的企业开展执法抽查，倒查各地巡查工作开展情况，协助解决工作中存在的问题，对工作开展不力的地区或责任人员，视情节依法依规予以通报、问责处理。</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 xml:space="preserve">第十一条 </w:t>
      </w:r>
      <w:r>
        <w:rPr>
          <w:rFonts w:hint="eastAsia" w:ascii="Times New Roman" w:hAnsi="Times New Roman" w:eastAsia="仿宋_GB2312"/>
          <w:bCs/>
          <w:sz w:val="32"/>
          <w:szCs w:val="32"/>
        </w:rPr>
        <w:t>各级应急管理部门每年应根据年度工作重点对巡查企业名单、巡查内容进行动态调整。</w:t>
      </w:r>
    </w:p>
    <w:p>
      <w:pPr>
        <w:spacing w:line="620" w:lineRule="exact"/>
        <w:jc w:val="center"/>
        <w:rPr>
          <w:rFonts w:ascii="Times New Roman" w:hAnsi="Times New Roman" w:eastAsia="仿宋_GB2312"/>
          <w:b/>
          <w:sz w:val="32"/>
          <w:szCs w:val="32"/>
        </w:rPr>
      </w:pPr>
      <w:r>
        <w:rPr>
          <w:rFonts w:ascii="Times New Roman" w:hAnsi="Times New Roman" w:eastAsia="仿宋_GB2312"/>
          <w:b/>
          <w:sz w:val="32"/>
          <w:szCs w:val="32"/>
        </w:rPr>
        <w:t>第三章</w:t>
      </w:r>
      <w:r>
        <w:rPr>
          <w:rFonts w:hint="eastAsia" w:ascii="Times New Roman" w:hAnsi="Times New Roman" w:eastAsia="仿宋_GB2312"/>
          <w:b/>
          <w:sz w:val="32"/>
          <w:szCs w:val="32"/>
        </w:rPr>
        <w:t xml:space="preserve"> 四级风险预警</w:t>
      </w:r>
    </w:p>
    <w:p>
      <w:pPr>
        <w:spacing w:line="620" w:lineRule="exact"/>
        <w:ind w:firstLine="643" w:firstLineChars="200"/>
        <w:rPr>
          <w:rFonts w:ascii="Times New Roman" w:hAnsi="Times New Roman" w:eastAsia="仿宋_GB2312"/>
          <w:b/>
          <w:bCs/>
          <w:sz w:val="32"/>
          <w:szCs w:val="32"/>
        </w:rPr>
      </w:pPr>
      <w:r>
        <w:rPr>
          <w:rFonts w:hint="eastAsia" w:ascii="Times New Roman" w:hAnsi="Times New Roman" w:eastAsia="仿宋_GB2312"/>
          <w:b/>
          <w:bCs/>
          <w:sz w:val="32"/>
          <w:szCs w:val="32"/>
        </w:rPr>
        <w:t xml:space="preserve">第十二条 </w:t>
      </w:r>
      <w:r>
        <w:rPr>
          <w:rFonts w:hint="eastAsia" w:ascii="Times New Roman" w:eastAsia="仿宋_GB2312"/>
          <w:bCs/>
          <w:sz w:val="32"/>
          <w:szCs w:val="32"/>
        </w:rPr>
        <w:t>企</w:t>
      </w:r>
      <w:r>
        <w:rPr>
          <w:rFonts w:ascii="Times New Roman" w:hAnsi="Times New Roman" w:eastAsia="仿宋_GB2312"/>
          <w:bCs/>
          <w:sz w:val="32"/>
          <w:szCs w:val="32"/>
        </w:rPr>
        <w:t>业风险源点的风险等级从高到低分为四个等级，分别用“红、橙、黄、蓝”四色标识，对应</w:t>
      </w:r>
      <w:r>
        <w:rPr>
          <w:rFonts w:hint="eastAsia" w:ascii="Times New Roman" w:hAnsi="Times New Roman" w:eastAsia="仿宋_GB2312"/>
          <w:bCs/>
          <w:sz w:val="32"/>
          <w:szCs w:val="32"/>
        </w:rPr>
        <w:t>一</w:t>
      </w:r>
      <w:r>
        <w:rPr>
          <w:rFonts w:ascii="Times New Roman" w:hAnsi="Times New Roman" w:eastAsia="仿宋_GB2312"/>
          <w:bCs/>
          <w:sz w:val="32"/>
          <w:szCs w:val="32"/>
        </w:rPr>
        <w:t>级风险为红色，为重大风险；</w:t>
      </w:r>
      <w:r>
        <w:rPr>
          <w:rFonts w:hint="eastAsia" w:ascii="Times New Roman" w:hAnsi="Times New Roman" w:eastAsia="仿宋_GB2312"/>
          <w:bCs/>
          <w:sz w:val="32"/>
          <w:szCs w:val="32"/>
        </w:rPr>
        <w:t>二</w:t>
      </w:r>
      <w:r>
        <w:rPr>
          <w:rFonts w:ascii="Times New Roman" w:hAnsi="Times New Roman" w:eastAsia="仿宋_GB2312"/>
          <w:bCs/>
          <w:sz w:val="32"/>
          <w:szCs w:val="32"/>
        </w:rPr>
        <w:t>级风险为橙色，为较大风险；</w:t>
      </w:r>
      <w:r>
        <w:rPr>
          <w:rFonts w:hint="eastAsia" w:ascii="Times New Roman" w:hAnsi="Times New Roman" w:eastAsia="仿宋_GB2312"/>
          <w:bCs/>
          <w:sz w:val="32"/>
          <w:szCs w:val="32"/>
        </w:rPr>
        <w:t>三</w:t>
      </w:r>
      <w:r>
        <w:rPr>
          <w:rFonts w:ascii="Times New Roman" w:hAnsi="Times New Roman" w:eastAsia="仿宋_GB2312"/>
          <w:bCs/>
          <w:sz w:val="32"/>
          <w:szCs w:val="32"/>
        </w:rPr>
        <w:t>级风险为黄色，为一般风险；</w:t>
      </w:r>
      <w:r>
        <w:rPr>
          <w:rFonts w:hint="eastAsia" w:ascii="Times New Roman" w:hAnsi="Times New Roman" w:eastAsia="仿宋_GB2312"/>
          <w:bCs/>
          <w:sz w:val="32"/>
          <w:szCs w:val="32"/>
        </w:rPr>
        <w:t>四</w:t>
      </w:r>
      <w:r>
        <w:rPr>
          <w:rFonts w:ascii="Times New Roman" w:hAnsi="Times New Roman" w:eastAsia="仿宋_GB2312"/>
          <w:bCs/>
          <w:sz w:val="32"/>
          <w:szCs w:val="32"/>
        </w:rPr>
        <w:t>级风险为蓝色，为低风险。</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第十三条</w:t>
      </w:r>
      <w:r>
        <w:rPr>
          <w:rFonts w:hint="eastAsia" w:ascii="Times New Roman" w:hAnsi="Times New Roman" w:eastAsia="仿宋_GB2312"/>
          <w:bCs/>
          <w:sz w:val="32"/>
          <w:szCs w:val="32"/>
        </w:rPr>
        <w:t xml:space="preserve"> 企业风险源点级别的判定可使用</w:t>
      </w:r>
      <w:r>
        <w:rPr>
          <w:rFonts w:hint="eastAsia" w:ascii="Times New Roman" w:eastAsia="仿宋_GB2312"/>
          <w:bCs/>
          <w:sz w:val="32"/>
          <w:szCs w:val="32"/>
        </w:rPr>
        <w:t>风险矩阵法（LS）、作业条件危险性分析评价法（LEC）、作业条件风险程度评价法（MES）、工作危害分析法（JHA）等科学、合理的风险评价方法（附录A）以及</w:t>
      </w:r>
      <w:r>
        <w:rPr>
          <w:rFonts w:hint="eastAsia" w:ascii="Times New Roman" w:hAnsi="Times New Roman" w:eastAsia="仿宋_GB2312"/>
          <w:bCs/>
          <w:sz w:val="32"/>
          <w:szCs w:val="32"/>
        </w:rPr>
        <w:t>《云南省工贸行业企业高风险（一、二级安全风险）判别参考标准（2019版）》（附录B）</w:t>
      </w:r>
      <w:r>
        <w:rPr>
          <w:rFonts w:hint="eastAsia" w:ascii="Times New Roman" w:eastAsia="仿宋_GB2312"/>
          <w:bCs/>
          <w:sz w:val="32"/>
          <w:szCs w:val="32"/>
        </w:rPr>
        <w:t>进行安全风险分级判定，建立风险源点清单，绘制高风险源点（一、二级风险源点）分布图，严格落实风险源点管控措施及责任。</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 xml:space="preserve">第十四条 </w:t>
      </w:r>
      <w:r>
        <w:rPr>
          <w:rFonts w:hint="eastAsia" w:ascii="Times New Roman" w:hAnsi="Times New Roman" w:eastAsia="仿宋_GB2312"/>
          <w:bCs/>
          <w:sz w:val="32"/>
          <w:szCs w:val="32"/>
        </w:rPr>
        <w:t>各级应急管理部门应重点对</w:t>
      </w:r>
      <w:r>
        <w:rPr>
          <w:rFonts w:hint="eastAsia" w:ascii="Times New Roman" w:eastAsia="仿宋_GB2312"/>
          <w:bCs/>
          <w:sz w:val="32"/>
          <w:szCs w:val="32"/>
        </w:rPr>
        <w:t>涉及四大领域、十大主要风险类别的企业进行重点巡查，在被巡查企业开展工作的基础上，进一步辨识确定高风险源点（一、二级风险源点），并</w:t>
      </w:r>
      <w:r>
        <w:rPr>
          <w:rFonts w:hint="eastAsia" w:ascii="Times New Roman" w:hAnsi="Times New Roman" w:eastAsia="仿宋_GB2312"/>
          <w:bCs/>
          <w:sz w:val="32"/>
          <w:szCs w:val="32"/>
        </w:rPr>
        <w:t>在云南省应急管理厅综合信息平台录入高风险源点（一、二级风险源点）信息，向企业和上级应急管理部门推推送风险预警信息，红、橙级风险预警信息要逐级推送至省应急管理厅。</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 xml:space="preserve">第十五条 </w:t>
      </w:r>
      <w:r>
        <w:rPr>
          <w:rFonts w:hint="eastAsia" w:ascii="Times New Roman" w:hAnsi="Times New Roman" w:eastAsia="仿宋_GB2312"/>
          <w:bCs/>
          <w:sz w:val="32"/>
          <w:szCs w:val="32"/>
        </w:rPr>
        <w:t>企业收到风险预警信息后，应及时作出风险预警响应，建立一、二级风险点管理台帐，在风险点醒目位置悬挂或张贴一、二级风险点告知牌，明确风险管控责任人，制定或完善并落实风险管控措施，录入到云南省应急管理厅综合信息平台</w:t>
      </w:r>
    </w:p>
    <w:p>
      <w:pPr>
        <w:spacing w:line="620" w:lineRule="exact"/>
        <w:ind w:firstLine="643" w:firstLineChars="200"/>
        <w:rPr>
          <w:rFonts w:ascii="Times New Roman" w:hAnsi="Times New Roman" w:eastAsia="仿宋_GB2312"/>
          <w:bCs/>
          <w:sz w:val="32"/>
          <w:szCs w:val="32"/>
        </w:rPr>
      </w:pPr>
      <w:r>
        <w:rPr>
          <w:rFonts w:hint="eastAsia" w:ascii="Times New Roman" w:hAnsi="Times New Roman" w:eastAsia="仿宋_GB2312"/>
          <w:b/>
          <w:bCs/>
          <w:sz w:val="32"/>
          <w:szCs w:val="32"/>
        </w:rPr>
        <w:t>第十六条</w:t>
      </w:r>
      <w:r>
        <w:rPr>
          <w:rFonts w:hint="eastAsia" w:ascii="Times New Roman" w:hAnsi="Times New Roman" w:eastAsia="仿宋_GB2312"/>
          <w:bCs/>
          <w:sz w:val="32"/>
          <w:szCs w:val="32"/>
        </w:rPr>
        <w:t xml:space="preserve"> 对已经确定的一、二级风险点，在需要进行变更时，须由相应企业提出变更申请，经省应急管理厅审核同意后，由云南省应急管理厅在综合信息平台进行变更。</w:t>
      </w:r>
    </w:p>
    <w:p>
      <w:pPr>
        <w:spacing w:line="620" w:lineRule="exact"/>
        <w:ind w:firstLine="643" w:firstLineChars="200"/>
        <w:rPr>
          <w:rFonts w:ascii="Times New Roman" w:hAnsi="Times New Roman" w:eastAsia="仿宋_GB2312"/>
          <w:bCs/>
          <w:sz w:val="32"/>
          <w:szCs w:val="32"/>
        </w:rPr>
      </w:pPr>
      <w:r>
        <w:rPr>
          <w:rFonts w:hint="eastAsia" w:ascii="Times New Roman" w:eastAsia="仿宋_GB2312"/>
          <w:b/>
          <w:bCs/>
          <w:sz w:val="32"/>
          <w:szCs w:val="32"/>
        </w:rPr>
        <w:t>第十七条</w:t>
      </w:r>
      <w:r>
        <w:rPr>
          <w:rFonts w:hint="eastAsia" w:ascii="Times New Roman" w:eastAsia="仿宋_GB2312"/>
          <w:bCs/>
          <w:sz w:val="32"/>
          <w:szCs w:val="32"/>
        </w:rPr>
        <w:t xml:space="preserve"> 各级应急管理部门在开展巡查过程中，应重点对企业风险管控措施落实情况进行核查、确认，发现未严格落实风险辨识和管控要求以及其他违规行为，及时依法予以处理。</w:t>
      </w:r>
    </w:p>
    <w:p>
      <w:pPr>
        <w:spacing w:line="620" w:lineRule="exact"/>
        <w:jc w:val="center"/>
        <w:rPr>
          <w:rFonts w:ascii="Times New Roman" w:hAnsi="Times New Roman" w:eastAsia="仿宋_GB2312"/>
          <w:b/>
          <w:sz w:val="32"/>
          <w:szCs w:val="32"/>
        </w:rPr>
      </w:pPr>
      <w:r>
        <w:rPr>
          <w:rFonts w:ascii="Times New Roman" w:hAnsi="Times New Roman" w:eastAsia="仿宋_GB2312"/>
          <w:b/>
          <w:sz w:val="32"/>
          <w:szCs w:val="32"/>
        </w:rPr>
        <w:t>第四章</w:t>
      </w:r>
      <w:r>
        <w:rPr>
          <w:rFonts w:hint="eastAsia" w:ascii="Times New Roman" w:hAnsi="Times New Roman" w:eastAsia="仿宋_GB2312"/>
          <w:b/>
          <w:sz w:val="32"/>
          <w:szCs w:val="32"/>
        </w:rPr>
        <w:t xml:space="preserve"> 四级事故预警</w:t>
      </w:r>
    </w:p>
    <w:p>
      <w:pPr>
        <w:pStyle w:val="19"/>
        <w:ind w:firstLine="643"/>
        <w:rPr>
          <w:rFonts w:ascii="Times New Roman" w:eastAsia="仿宋_GB2312"/>
          <w:bCs/>
          <w:sz w:val="32"/>
          <w:szCs w:val="32"/>
        </w:rPr>
      </w:pPr>
      <w:r>
        <w:rPr>
          <w:rFonts w:ascii="Times New Roman" w:eastAsia="仿宋_GB2312"/>
          <w:b/>
          <w:bCs/>
          <w:kern w:val="2"/>
          <w:sz w:val="32"/>
          <w:szCs w:val="32"/>
        </w:rPr>
        <w:t>第十</w:t>
      </w:r>
      <w:r>
        <w:rPr>
          <w:rFonts w:hint="eastAsia" w:ascii="Times New Roman" w:eastAsia="仿宋_GB2312"/>
          <w:b/>
          <w:bCs/>
          <w:kern w:val="2"/>
          <w:sz w:val="32"/>
          <w:szCs w:val="32"/>
        </w:rPr>
        <w:t>八</w:t>
      </w:r>
      <w:r>
        <w:rPr>
          <w:rFonts w:ascii="Times New Roman" w:eastAsia="仿宋_GB2312"/>
          <w:b/>
          <w:bCs/>
          <w:kern w:val="2"/>
          <w:sz w:val="32"/>
          <w:szCs w:val="32"/>
        </w:rPr>
        <w:t>条</w:t>
      </w:r>
      <w:r>
        <w:rPr>
          <w:rFonts w:hint="eastAsia" w:ascii="Times New Roman" w:eastAsia="仿宋_GB2312"/>
          <w:b/>
          <w:bCs/>
          <w:kern w:val="2"/>
          <w:sz w:val="32"/>
          <w:szCs w:val="32"/>
        </w:rPr>
        <w:t xml:space="preserve"> </w:t>
      </w:r>
      <w:r>
        <w:rPr>
          <w:rFonts w:hint="eastAsia" w:ascii="Times New Roman" w:eastAsia="仿宋_GB2312"/>
          <w:bCs/>
          <w:sz w:val="32"/>
          <w:szCs w:val="32"/>
        </w:rPr>
        <w:t>事故预警级别从高到低分为四级，分别用“红、橙、黄、蓝”四色标识，即一级（红色级）事故预警、二级（橙色级）事故预警、三级（黄色级）事故预警、四级（蓝色级）事故预警。</w:t>
      </w:r>
    </w:p>
    <w:p>
      <w:pPr>
        <w:pStyle w:val="19"/>
        <w:ind w:firstLine="643"/>
        <w:rPr>
          <w:rFonts w:ascii="Times New Roman" w:eastAsia="仿宋_GB2312"/>
          <w:bCs/>
          <w:kern w:val="2"/>
          <w:sz w:val="32"/>
          <w:szCs w:val="32"/>
        </w:rPr>
      </w:pPr>
      <w:r>
        <w:rPr>
          <w:rFonts w:hint="eastAsia" w:ascii="Times New Roman" w:eastAsia="仿宋_GB2312"/>
          <w:b/>
          <w:bCs/>
          <w:kern w:val="2"/>
          <w:sz w:val="32"/>
          <w:szCs w:val="32"/>
        </w:rPr>
        <w:t xml:space="preserve">第十九条 </w:t>
      </w:r>
      <w:r>
        <w:rPr>
          <w:rFonts w:hint="eastAsia" w:ascii="Times New Roman" w:eastAsia="仿宋_GB2312"/>
          <w:bCs/>
          <w:kern w:val="2"/>
          <w:sz w:val="32"/>
          <w:szCs w:val="32"/>
        </w:rPr>
        <w:t>各级应急管理部门在开展巡查过程中需依据企业风险源点管控情况开展事故隐患排查，按以下原则并结合协助开展巡查的专家或专业技术服务机构意见以及被巡查企业事故隐患级别、数量、存在的部位、发生事故的概率和后果、安全生产标准化建设和运行以及安全管理等综合情况确定相应的企业事故预警级别。</w:t>
      </w:r>
    </w:p>
    <w:p>
      <w:pPr>
        <w:pStyle w:val="19"/>
        <w:ind w:firstLine="640"/>
        <w:rPr>
          <w:rFonts w:ascii="Times New Roman" w:eastAsia="仿宋_GB2312"/>
          <w:bCs/>
          <w:kern w:val="2"/>
          <w:sz w:val="32"/>
          <w:szCs w:val="32"/>
        </w:rPr>
      </w:pPr>
      <w:r>
        <w:rPr>
          <w:rFonts w:hint="eastAsia" w:ascii="Times New Roman" w:eastAsia="仿宋_GB2312"/>
          <w:bCs/>
          <w:kern w:val="2"/>
          <w:sz w:val="32"/>
          <w:szCs w:val="32"/>
        </w:rPr>
        <w:t>对企业的事故预警级别按以下原则判定：</w:t>
      </w:r>
    </w:p>
    <w:p>
      <w:pPr>
        <w:pStyle w:val="19"/>
        <w:ind w:firstLine="640"/>
        <w:rPr>
          <w:rFonts w:ascii="Times New Roman" w:eastAsia="仿宋_GB2312"/>
          <w:bCs/>
          <w:sz w:val="32"/>
          <w:szCs w:val="32"/>
        </w:rPr>
      </w:pPr>
      <w:r>
        <w:rPr>
          <w:rFonts w:hint="eastAsia" w:ascii="Times New Roman" w:eastAsia="仿宋_GB2312"/>
          <w:bCs/>
          <w:sz w:val="32"/>
          <w:szCs w:val="32"/>
        </w:rPr>
        <w:t>可能造成重大以上事故，或存在较多重大事故隐患，可能造成重大社会影响等情况，应判定为一级（红色级）事故预警；</w:t>
      </w:r>
    </w:p>
    <w:p>
      <w:pPr>
        <w:pStyle w:val="19"/>
        <w:ind w:firstLine="640"/>
        <w:rPr>
          <w:rFonts w:ascii="Times New Roman" w:eastAsia="仿宋_GB2312"/>
          <w:bCs/>
          <w:sz w:val="32"/>
          <w:szCs w:val="32"/>
        </w:rPr>
      </w:pPr>
      <w:r>
        <w:rPr>
          <w:rFonts w:hint="eastAsia" w:ascii="Times New Roman" w:eastAsia="仿宋_GB2312"/>
          <w:bCs/>
          <w:sz w:val="32"/>
          <w:szCs w:val="32"/>
        </w:rPr>
        <w:t>可能造成较大事故，或存在重大事故隐患，可能造成较大社会影响等情况，应判定为二级（橙色级）事故预警；</w:t>
      </w:r>
    </w:p>
    <w:p>
      <w:pPr>
        <w:pStyle w:val="19"/>
        <w:ind w:firstLine="640"/>
        <w:rPr>
          <w:rFonts w:ascii="Times New Roman" w:eastAsia="仿宋_GB2312"/>
          <w:bCs/>
          <w:sz w:val="32"/>
          <w:szCs w:val="32"/>
        </w:rPr>
      </w:pPr>
      <w:r>
        <w:rPr>
          <w:rFonts w:hint="eastAsia" w:ascii="Times New Roman" w:eastAsia="仿宋_GB2312"/>
          <w:bCs/>
          <w:sz w:val="32"/>
          <w:szCs w:val="32"/>
        </w:rPr>
        <w:t>可能造成一般事故，或存在较多事故隐患，可能造成一定社会影响等情况，应判定为三级（黄色级）事故预警；</w:t>
      </w:r>
    </w:p>
    <w:p>
      <w:pPr>
        <w:pStyle w:val="19"/>
        <w:ind w:firstLine="640"/>
        <w:rPr>
          <w:rFonts w:ascii="Times New Roman" w:eastAsia="仿宋_GB2312"/>
          <w:bCs/>
          <w:sz w:val="32"/>
          <w:szCs w:val="32"/>
        </w:rPr>
      </w:pPr>
      <w:r>
        <w:rPr>
          <w:rFonts w:hint="eastAsia" w:ascii="Times New Roman" w:eastAsia="仿宋_GB2312"/>
          <w:bCs/>
          <w:sz w:val="32"/>
          <w:szCs w:val="32"/>
        </w:rPr>
        <w:t>事故隐患较少、安全风险可控的情况，应判定为四级（蓝色级）事故预警。</w:t>
      </w:r>
    </w:p>
    <w:p>
      <w:pPr>
        <w:pStyle w:val="19"/>
        <w:ind w:firstLine="640"/>
        <w:rPr>
          <w:rFonts w:ascii="Times New Roman" w:eastAsia="仿宋_GB2312"/>
          <w:bCs/>
          <w:sz w:val="32"/>
          <w:szCs w:val="32"/>
        </w:rPr>
      </w:pPr>
      <w:r>
        <w:rPr>
          <w:rFonts w:hint="eastAsia" w:ascii="Times New Roman" w:eastAsia="仿宋_GB2312"/>
          <w:bCs/>
          <w:sz w:val="32"/>
          <w:szCs w:val="32"/>
        </w:rPr>
        <w:t>对开展安全生产标准化建设，且运行情况较好，企业主要负责人高度重视安全生产并积极参与安全管理的企业，在遵循上述事故预警判定原则的基础上，可相应下调一个事故预警级别；反之，应上调一个事故预警级别。</w:t>
      </w:r>
    </w:p>
    <w:p>
      <w:pPr>
        <w:pStyle w:val="19"/>
        <w:ind w:firstLine="643"/>
        <w:rPr>
          <w:rFonts w:ascii="Times New Roman" w:eastAsia="仿宋_GB2312"/>
          <w:bCs/>
          <w:sz w:val="32"/>
          <w:szCs w:val="32"/>
        </w:rPr>
      </w:pPr>
      <w:r>
        <w:rPr>
          <w:rFonts w:hint="eastAsia" w:ascii="Times New Roman" w:eastAsia="仿宋_GB2312"/>
          <w:b/>
          <w:bCs/>
          <w:kern w:val="2"/>
          <w:sz w:val="32"/>
          <w:szCs w:val="32"/>
        </w:rPr>
        <w:t xml:space="preserve">第二十条 </w:t>
      </w:r>
      <w:r>
        <w:rPr>
          <w:rFonts w:hint="eastAsia" w:ascii="Times New Roman" w:eastAsia="仿宋_GB2312"/>
          <w:bCs/>
          <w:kern w:val="2"/>
          <w:sz w:val="32"/>
          <w:szCs w:val="32"/>
        </w:rPr>
        <w:t>负责巡查的应急管理部门应及时将事故隐患信息逐条录入</w:t>
      </w:r>
      <w:r>
        <w:rPr>
          <w:rFonts w:hint="eastAsia" w:ascii="Times New Roman" w:eastAsia="仿宋_GB2312"/>
          <w:bCs/>
          <w:sz w:val="32"/>
          <w:szCs w:val="32"/>
        </w:rPr>
        <w:t>云南省应急管理厅综合信息平台，向企业和上级应急管理部门推送事故预警信息，红、橙级事故预警信息需推送至各级应急管理部门，进行信息共享和重点监管；同时出具</w:t>
      </w:r>
      <w:r>
        <w:rPr>
          <w:rFonts w:hint="eastAsia" w:ascii="Times New Roman" w:eastAsia="仿宋_GB2312"/>
          <w:bCs/>
          <w:kern w:val="2"/>
          <w:sz w:val="32"/>
          <w:szCs w:val="32"/>
        </w:rPr>
        <w:t>安全生产执法文书，并视情节依法予以限期整改或行政处罚。</w:t>
      </w:r>
    </w:p>
    <w:p>
      <w:pPr>
        <w:tabs>
          <w:tab w:val="center" w:pos="4201"/>
          <w:tab w:val="right" w:leader="dot" w:pos="9298"/>
        </w:tabs>
        <w:spacing w:line="620" w:lineRule="exact"/>
        <w:ind w:firstLine="640"/>
        <w:rPr>
          <w:rFonts w:ascii="Times New Roman" w:eastAsia="仿宋_GB2312"/>
          <w:bCs/>
          <w:sz w:val="32"/>
          <w:szCs w:val="32"/>
        </w:rPr>
      </w:pPr>
      <w:r>
        <w:rPr>
          <w:rFonts w:hint="eastAsia" w:ascii="Times New Roman" w:eastAsia="仿宋_GB2312"/>
          <w:b/>
          <w:bCs/>
          <w:sz w:val="32"/>
          <w:szCs w:val="32"/>
        </w:rPr>
        <w:t xml:space="preserve">第二十一条 </w:t>
      </w:r>
      <w:r>
        <w:rPr>
          <w:rFonts w:hint="eastAsia" w:ascii="Times New Roman" w:eastAsia="仿宋_GB2312"/>
          <w:bCs/>
          <w:sz w:val="32"/>
          <w:szCs w:val="32"/>
        </w:rPr>
        <w:t>企业在收到事故预警信息后，应及时作出响应，积极制定整改方案、推进隐患整改，及时通过云南省应急管理厅综合信息平台报送整改情况；确因生产工艺或备品备件等原因无法在限期内完成整改的隐患，在安全风险可控的前提下，可依法申请延期整改隐患，并报相应应急管理部门同意后实施。</w:t>
      </w:r>
    </w:p>
    <w:p>
      <w:pPr>
        <w:pStyle w:val="19"/>
        <w:ind w:firstLine="643"/>
        <w:rPr>
          <w:rFonts w:ascii="Times New Roman" w:eastAsia="仿宋_GB2312"/>
          <w:bCs/>
          <w:sz w:val="32"/>
          <w:szCs w:val="32"/>
        </w:rPr>
      </w:pPr>
      <w:r>
        <w:rPr>
          <w:rFonts w:hint="eastAsia" w:ascii="Times New Roman" w:eastAsia="仿宋_GB2312"/>
          <w:b/>
          <w:bCs/>
          <w:kern w:val="2"/>
          <w:sz w:val="32"/>
          <w:szCs w:val="32"/>
        </w:rPr>
        <w:t xml:space="preserve">第二十二条 </w:t>
      </w:r>
      <w:r>
        <w:rPr>
          <w:rFonts w:hint="eastAsia" w:ascii="Times New Roman" w:eastAsia="仿宋_GB2312"/>
          <w:bCs/>
          <w:sz w:val="32"/>
          <w:szCs w:val="32"/>
        </w:rPr>
        <w:t>各级应急管理部门应根据预警信息督促企业进行事故隐患整改，并依法进行整改情况复查；上级应急管理部门视红、橙级事故预警整改情况，可向负责巡查的应急管理部门发送事故预警整改工作提醒函，督导负责巡查的应急管理部门及时开展事故预警相关管理工作。</w:t>
      </w:r>
    </w:p>
    <w:p>
      <w:pPr>
        <w:pStyle w:val="19"/>
        <w:ind w:firstLine="643"/>
        <w:rPr>
          <w:rFonts w:ascii="Times New Roman" w:eastAsia="仿宋_GB2312"/>
          <w:bCs/>
          <w:sz w:val="32"/>
          <w:szCs w:val="32"/>
        </w:rPr>
      </w:pPr>
      <w:r>
        <w:rPr>
          <w:rFonts w:hint="eastAsia" w:ascii="Times New Roman" w:eastAsia="仿宋_GB2312"/>
          <w:b/>
          <w:bCs/>
          <w:kern w:val="2"/>
          <w:sz w:val="32"/>
          <w:szCs w:val="32"/>
        </w:rPr>
        <w:t xml:space="preserve">第二十三条 </w:t>
      </w:r>
      <w:r>
        <w:rPr>
          <w:rFonts w:hint="eastAsia" w:ascii="Times New Roman" w:eastAsia="仿宋_GB2312"/>
          <w:bCs/>
          <w:sz w:val="32"/>
          <w:szCs w:val="32"/>
        </w:rPr>
        <w:t>经复查，企业按要求完成整改的，解除事故预警；未完成整改或整改不到位的，应相应提高其事故预警级别，并采取约谈、挂牌督办等方式督促企业及时整改事故隐患；对拒不整改或整改期间发生事故的企业依法予以上限罚款、停产整顿的行政处罚或实施公开曝光、诚信管理等措施。</w:t>
      </w:r>
    </w:p>
    <w:p>
      <w:pPr>
        <w:spacing w:line="620" w:lineRule="exact"/>
        <w:jc w:val="center"/>
        <w:rPr>
          <w:rFonts w:ascii="Times New Roman" w:hAnsi="Times New Roman" w:eastAsia="仿宋_GB2312"/>
          <w:b/>
          <w:sz w:val="32"/>
          <w:szCs w:val="32"/>
        </w:rPr>
      </w:pPr>
      <w:r>
        <w:rPr>
          <w:rFonts w:hint="eastAsia" w:ascii="Times New Roman" w:hAnsi="Times New Roman" w:eastAsia="仿宋_GB2312"/>
          <w:b/>
          <w:sz w:val="32"/>
          <w:szCs w:val="32"/>
        </w:rPr>
        <w:t>第五章 附则</w:t>
      </w:r>
    </w:p>
    <w:p>
      <w:pPr>
        <w:spacing w:line="620" w:lineRule="exact"/>
        <w:ind w:firstLine="643" w:firstLineChars="200"/>
        <w:rPr>
          <w:rFonts w:ascii="Times New Roman" w:hAnsi="Times New Roman" w:eastAsia="仿宋_GB2312"/>
          <w:bCs/>
          <w:sz w:val="32"/>
          <w:szCs w:val="32"/>
        </w:rPr>
      </w:pPr>
      <w:r>
        <w:rPr>
          <w:rFonts w:ascii="Times New Roman" w:hAnsi="Times New Roman" w:eastAsia="仿宋_GB2312"/>
          <w:b/>
          <w:bCs/>
          <w:sz w:val="32"/>
          <w:szCs w:val="32"/>
        </w:rPr>
        <w:t>第</w:t>
      </w:r>
      <w:r>
        <w:rPr>
          <w:rFonts w:hint="eastAsia" w:ascii="Times New Roman" w:hAnsi="Times New Roman" w:eastAsia="仿宋_GB2312"/>
          <w:b/>
          <w:bCs/>
          <w:sz w:val="32"/>
          <w:szCs w:val="32"/>
        </w:rPr>
        <w:t>二十四</w:t>
      </w:r>
      <w:r>
        <w:rPr>
          <w:rFonts w:ascii="Times New Roman" w:hAnsi="Times New Roman" w:eastAsia="仿宋_GB2312"/>
          <w:b/>
          <w:bCs/>
          <w:sz w:val="32"/>
          <w:szCs w:val="32"/>
        </w:rPr>
        <w:t>条</w:t>
      </w:r>
      <w:r>
        <w:rPr>
          <w:rFonts w:ascii="Times New Roman" w:hAnsi="Times New Roman" w:eastAsia="仿宋_GB2312"/>
          <w:bCs/>
          <w:sz w:val="32"/>
          <w:szCs w:val="32"/>
        </w:rPr>
        <w:t xml:space="preserve"> 本办法自发布之日起施行。</w:t>
      </w:r>
    </w:p>
    <w:p>
      <w:pPr>
        <w:spacing w:line="620" w:lineRule="exact"/>
        <w:ind w:firstLine="643" w:firstLineChars="200"/>
        <w:rPr>
          <w:rFonts w:ascii="Times New Roman" w:hAnsi="Times New Roman" w:eastAsia="仿宋_GB2312"/>
          <w:bCs/>
          <w:sz w:val="32"/>
          <w:szCs w:val="32"/>
        </w:rPr>
      </w:pPr>
      <w:r>
        <w:rPr>
          <w:rFonts w:ascii="Times New Roman" w:hAnsi="Times New Roman" w:eastAsia="仿宋_GB2312"/>
          <w:b/>
          <w:bCs/>
          <w:sz w:val="32"/>
          <w:szCs w:val="32"/>
        </w:rPr>
        <w:t>第</w:t>
      </w:r>
      <w:r>
        <w:rPr>
          <w:rFonts w:hint="eastAsia" w:ascii="Times New Roman" w:hAnsi="Times New Roman" w:eastAsia="仿宋_GB2312"/>
          <w:b/>
          <w:bCs/>
          <w:sz w:val="32"/>
          <w:szCs w:val="32"/>
        </w:rPr>
        <w:t>二十五条</w:t>
      </w:r>
      <w:r>
        <w:rPr>
          <w:rFonts w:ascii="Times New Roman" w:hAnsi="Times New Roman" w:eastAsia="仿宋_GB2312"/>
          <w:bCs/>
          <w:sz w:val="32"/>
          <w:szCs w:val="32"/>
        </w:rPr>
        <w:t xml:space="preserve"> 本办法由省</w:t>
      </w:r>
      <w:r>
        <w:rPr>
          <w:rFonts w:hint="eastAsia" w:ascii="Times New Roman" w:hAnsi="Times New Roman" w:eastAsia="仿宋_GB2312"/>
          <w:bCs/>
          <w:sz w:val="32"/>
          <w:szCs w:val="32"/>
        </w:rPr>
        <w:t>应急</w:t>
      </w:r>
      <w:r>
        <w:rPr>
          <w:rFonts w:ascii="Times New Roman" w:hAnsi="Times New Roman" w:eastAsia="仿宋_GB2312"/>
          <w:bCs/>
          <w:sz w:val="32"/>
          <w:szCs w:val="32"/>
        </w:rPr>
        <w:t>管理厅负责解释和修订。</w:t>
      </w:r>
    </w:p>
    <w:p>
      <w:pPr>
        <w:spacing w:line="620" w:lineRule="exact"/>
        <w:jc w:val="left"/>
        <w:rPr>
          <w:rFonts w:ascii="Times New Roman" w:hAnsi="Times New Roman" w:eastAsia="仿宋_GB2312"/>
          <w:b/>
          <w:sz w:val="32"/>
          <w:szCs w:val="32"/>
        </w:rPr>
        <w:sectPr>
          <w:headerReference r:id="rId3" w:type="default"/>
          <w:footerReference r:id="rId4" w:type="default"/>
          <w:pgSz w:w="11906" w:h="16838"/>
          <w:pgMar w:top="1440" w:right="1800" w:bottom="1440" w:left="1800" w:header="851" w:footer="992" w:gutter="0"/>
          <w:cols w:space="425" w:num="1"/>
          <w:docGrid w:type="lines" w:linePitch="312" w:charSpace="0"/>
        </w:sectPr>
      </w:pPr>
      <w:bookmarkStart w:id="2" w:name="_Toc20721"/>
    </w:p>
    <w:p>
      <w:pPr>
        <w:spacing w:line="620" w:lineRule="exact"/>
        <w:jc w:val="left"/>
        <w:rPr>
          <w:rFonts w:ascii="Times New Roman" w:hAnsi="Times New Roman" w:eastAsia="仿宋_GB2312"/>
          <w:b/>
          <w:sz w:val="32"/>
          <w:szCs w:val="32"/>
        </w:rPr>
      </w:pPr>
      <w:r>
        <w:rPr>
          <w:rFonts w:ascii="Times New Roman" w:hAnsi="Times New Roman" w:eastAsia="仿宋_GB2312"/>
          <w:b/>
          <w:sz w:val="32"/>
          <w:szCs w:val="32"/>
        </w:rPr>
        <w:t>附录A:风险评价方法</w:t>
      </w:r>
      <w:bookmarkEnd w:id="2"/>
    </w:p>
    <w:p>
      <w:pPr>
        <w:pStyle w:val="19"/>
        <w:ind w:firstLine="0" w:firstLineChars="0"/>
        <w:jc w:val="left"/>
        <w:rPr>
          <w:rFonts w:ascii="Times New Roman" w:eastAsia="仿宋_GB2312"/>
          <w:b/>
          <w:sz w:val="28"/>
          <w:szCs w:val="28"/>
        </w:rPr>
      </w:pPr>
      <w:bookmarkStart w:id="3" w:name="_Toc14249"/>
      <w:r>
        <w:rPr>
          <w:rFonts w:ascii="Times New Roman" w:eastAsia="仿宋_GB2312"/>
          <w:b/>
          <w:sz w:val="28"/>
          <w:szCs w:val="28"/>
        </w:rPr>
        <w:t>A.1风险矩阵（LS）法</w:t>
      </w:r>
      <w:bookmarkEnd w:id="3"/>
    </w:p>
    <w:p>
      <w:pPr>
        <w:pStyle w:val="19"/>
        <w:ind w:firstLine="560"/>
        <w:rPr>
          <w:rFonts w:ascii="Times New Roman" w:eastAsia="仿宋_GB2312"/>
          <w:sz w:val="28"/>
          <w:szCs w:val="28"/>
        </w:rPr>
      </w:pPr>
      <w:r>
        <w:rPr>
          <w:rFonts w:ascii="Times New Roman" w:eastAsia="仿宋_GB2312"/>
          <w:sz w:val="28"/>
          <w:szCs w:val="28"/>
        </w:rPr>
        <w:t>风险矩阵法（简称LS），R=L×S ，其中R是危险性（也称风险度），是事故发生的可能性与事件后果的结合， L是事故发生的可能性；S是事故后果严重性；R值越大，说明被评价对象危险性大、风险大。</w:t>
      </w:r>
    </w:p>
    <w:p>
      <w:pPr>
        <w:pStyle w:val="30"/>
        <w:tabs>
          <w:tab w:val="clear" w:pos="180"/>
        </w:tabs>
        <w:spacing w:beforeLines="0" w:afterLines="0"/>
        <w:rPr>
          <w:rFonts w:ascii="Times New Roman" w:eastAsia="仿宋_GB2312"/>
        </w:rPr>
      </w:pPr>
      <w:r>
        <w:rPr>
          <w:rFonts w:ascii="Times New Roman" w:eastAsia="仿宋_GB2312"/>
        </w:rPr>
        <w:t>表A.1-1  事故发生的可能性（L）判断准则</w:t>
      </w:r>
    </w:p>
    <w:tbl>
      <w:tblPr>
        <w:tblStyle w:val="1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7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910"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等级</w:t>
            </w:r>
          </w:p>
        </w:tc>
        <w:tc>
          <w:tcPr>
            <w:tcW w:w="7612"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标    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5</w:t>
            </w:r>
          </w:p>
        </w:tc>
        <w:tc>
          <w:tcPr>
            <w:tcW w:w="7612"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在现场没有采取防范、监测、保护、控制措施，或危害的发生不能被发现（没有监测系统），或在正常情况下经常发生此类事故或事件。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w:t>
            </w:r>
          </w:p>
        </w:tc>
        <w:tc>
          <w:tcPr>
            <w:tcW w:w="7612"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危害的发生不容易被发现，现场没有检测系统，也未发生过任何监测，或在现场有控制措施，但未有效执行或控制措施不当，或危害发生或预期情况下发生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3</w:t>
            </w:r>
          </w:p>
        </w:tc>
        <w:tc>
          <w:tcPr>
            <w:tcW w:w="7612"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没有保护措施（如没有保护装置、没有个人防护用品等），或未严格按操作程序执行，或危害的发生容易被发现（现场有监测系统），或曾经作过监测，或过去曾经发生类似事故或事件。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w:t>
            </w:r>
          </w:p>
        </w:tc>
        <w:tc>
          <w:tcPr>
            <w:tcW w:w="7612"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危害一旦发生能及时发现，并定期进行监测，或现场有防范控制措施，并能有效执行，或过去偶尔发生事故或事件。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910"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w:t>
            </w:r>
          </w:p>
        </w:tc>
        <w:tc>
          <w:tcPr>
            <w:tcW w:w="7612"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有充分、有效的防范、控制、监测、保护措施，或员工安全卫生意识相当高，严格执行操作规程。极不可能发生事故或事件。</w:t>
            </w:r>
          </w:p>
        </w:tc>
      </w:tr>
    </w:tbl>
    <w:p>
      <w:pPr>
        <w:pStyle w:val="30"/>
        <w:tabs>
          <w:tab w:val="clear" w:pos="180"/>
        </w:tabs>
        <w:spacing w:beforeLines="0" w:afterLines="0"/>
        <w:rPr>
          <w:rFonts w:ascii="Times New Roman" w:eastAsia="仿宋_GB2312"/>
        </w:rPr>
      </w:pPr>
      <w:r>
        <w:rPr>
          <w:rFonts w:ascii="Times New Roman" w:eastAsia="仿宋_GB2312"/>
        </w:rPr>
        <w:t>表A.1-2  事件后果严重性（S）判别准则</w:t>
      </w:r>
    </w:p>
    <w:tbl>
      <w:tblPr>
        <w:tblStyle w:val="17"/>
        <w:tblW w:w="8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908"/>
        <w:gridCol w:w="1158"/>
        <w:gridCol w:w="1354"/>
        <w:gridCol w:w="1729"/>
        <w:gridCol w:w="1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tblHeader/>
          <w:jc w:val="center"/>
        </w:trPr>
        <w:tc>
          <w:tcPr>
            <w:tcW w:w="901"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等级</w:t>
            </w:r>
          </w:p>
        </w:tc>
        <w:tc>
          <w:tcPr>
            <w:tcW w:w="1908"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法律、法规</w:t>
            </w:r>
          </w:p>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及其他要求</w:t>
            </w:r>
          </w:p>
        </w:tc>
        <w:tc>
          <w:tcPr>
            <w:tcW w:w="1158"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人员</w:t>
            </w:r>
          </w:p>
        </w:tc>
        <w:tc>
          <w:tcPr>
            <w:tcW w:w="1354"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直接经济损失</w:t>
            </w:r>
          </w:p>
        </w:tc>
        <w:tc>
          <w:tcPr>
            <w:tcW w:w="1729"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停工</w:t>
            </w:r>
          </w:p>
        </w:tc>
        <w:tc>
          <w:tcPr>
            <w:tcW w:w="1473"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企业形象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5</w:t>
            </w:r>
          </w:p>
        </w:tc>
        <w:tc>
          <w:tcPr>
            <w:tcW w:w="19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违反法律、法规和标准</w:t>
            </w:r>
          </w:p>
        </w:tc>
        <w:tc>
          <w:tcPr>
            <w:tcW w:w="115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死亡</w:t>
            </w:r>
          </w:p>
        </w:tc>
        <w:tc>
          <w:tcPr>
            <w:tcW w:w="135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100万元以上</w:t>
            </w:r>
          </w:p>
        </w:tc>
        <w:tc>
          <w:tcPr>
            <w:tcW w:w="1729"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部分装置（&gt;2 套）或设备</w:t>
            </w:r>
          </w:p>
        </w:tc>
        <w:tc>
          <w:tcPr>
            <w:tcW w:w="1473"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重大国际影响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w:t>
            </w:r>
          </w:p>
        </w:tc>
        <w:tc>
          <w:tcPr>
            <w:tcW w:w="19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潜在违反法规和标准</w:t>
            </w:r>
          </w:p>
        </w:tc>
        <w:tc>
          <w:tcPr>
            <w:tcW w:w="115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丧失劳动能力</w:t>
            </w:r>
          </w:p>
        </w:tc>
        <w:tc>
          <w:tcPr>
            <w:tcW w:w="135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50万元以上</w:t>
            </w:r>
          </w:p>
        </w:tc>
        <w:tc>
          <w:tcPr>
            <w:tcW w:w="1729"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2套装置停工、或设备停工</w:t>
            </w:r>
          </w:p>
        </w:tc>
        <w:tc>
          <w:tcPr>
            <w:tcW w:w="1473"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行业内、省内影响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3</w:t>
            </w:r>
          </w:p>
        </w:tc>
        <w:tc>
          <w:tcPr>
            <w:tcW w:w="19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不符合上级公司或行业的安全方针、制度、规定等</w:t>
            </w:r>
          </w:p>
        </w:tc>
        <w:tc>
          <w:tcPr>
            <w:tcW w:w="115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截肢、骨折、听力丧失、慢性病</w:t>
            </w:r>
          </w:p>
        </w:tc>
        <w:tc>
          <w:tcPr>
            <w:tcW w:w="135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1万元以上</w:t>
            </w:r>
          </w:p>
        </w:tc>
        <w:tc>
          <w:tcPr>
            <w:tcW w:w="1729"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 套装置停工或设备</w:t>
            </w:r>
          </w:p>
        </w:tc>
        <w:tc>
          <w:tcPr>
            <w:tcW w:w="1473"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地区影响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w:t>
            </w:r>
          </w:p>
        </w:tc>
        <w:tc>
          <w:tcPr>
            <w:tcW w:w="19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不符合企业的安全操作程序、规定</w:t>
            </w:r>
          </w:p>
        </w:tc>
        <w:tc>
          <w:tcPr>
            <w:tcW w:w="115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轻微受伤、间歇不舒服</w:t>
            </w:r>
          </w:p>
        </w:tc>
        <w:tc>
          <w:tcPr>
            <w:tcW w:w="135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1万元以下</w:t>
            </w:r>
          </w:p>
        </w:tc>
        <w:tc>
          <w:tcPr>
            <w:tcW w:w="1729"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受影响不大，几乎不停工</w:t>
            </w:r>
          </w:p>
        </w:tc>
        <w:tc>
          <w:tcPr>
            <w:tcW w:w="1473"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公司及周边范围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901"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w:t>
            </w:r>
          </w:p>
        </w:tc>
        <w:tc>
          <w:tcPr>
            <w:tcW w:w="19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完全符合</w:t>
            </w:r>
          </w:p>
        </w:tc>
        <w:tc>
          <w:tcPr>
            <w:tcW w:w="115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无伤亡</w:t>
            </w:r>
          </w:p>
        </w:tc>
        <w:tc>
          <w:tcPr>
            <w:tcW w:w="135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无损失</w:t>
            </w:r>
          </w:p>
        </w:tc>
        <w:tc>
          <w:tcPr>
            <w:tcW w:w="1729"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没有停工</w:t>
            </w:r>
          </w:p>
        </w:tc>
        <w:tc>
          <w:tcPr>
            <w:tcW w:w="1473"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形象没有受损</w:t>
            </w:r>
          </w:p>
        </w:tc>
      </w:tr>
    </w:tbl>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r>
        <w:rPr>
          <w:rFonts w:ascii="Times New Roman" w:eastAsia="仿宋_GB2312"/>
        </w:rPr>
        <w:t>表A.1-3  安全风险等级判定准则（R值）及控制措施</w:t>
      </w:r>
    </w:p>
    <w:tbl>
      <w:tblPr>
        <w:tblStyle w:val="17"/>
        <w:tblW w:w="8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
        <w:gridCol w:w="708"/>
        <w:gridCol w:w="1034"/>
        <w:gridCol w:w="3721"/>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068" w:type="dxa"/>
            <w:tcBorders>
              <w:bottom w:val="single" w:color="auto" w:sz="4" w:space="0"/>
            </w:tcBorders>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风险值</w:t>
            </w:r>
          </w:p>
        </w:tc>
        <w:tc>
          <w:tcPr>
            <w:tcW w:w="1742" w:type="dxa"/>
            <w:gridSpan w:val="2"/>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风险等级</w:t>
            </w:r>
          </w:p>
        </w:tc>
        <w:tc>
          <w:tcPr>
            <w:tcW w:w="3721"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应采取的行动/控制措施</w:t>
            </w:r>
          </w:p>
        </w:tc>
        <w:tc>
          <w:tcPr>
            <w:tcW w:w="1992" w:type="dxa"/>
            <w:vAlign w:val="center"/>
          </w:tcPr>
          <w:p>
            <w:pPr>
              <w:autoSpaceDE w:val="0"/>
              <w:autoSpaceDN w:val="0"/>
              <w:adjustRightInd w:val="0"/>
              <w:snapToGrid w:val="0"/>
              <w:jc w:val="center"/>
              <w:rPr>
                <w:rFonts w:ascii="Times New Roman" w:hAnsi="Times New Roman" w:eastAsia="仿宋_GB2312"/>
                <w:b/>
                <w:sz w:val="18"/>
                <w:szCs w:val="18"/>
              </w:rPr>
            </w:pPr>
            <w:r>
              <w:rPr>
                <w:rFonts w:ascii="Times New Roman" w:hAnsi="Times New Roman" w:eastAsia="仿宋_GB2312"/>
                <w:b/>
                <w:sz w:val="18"/>
                <w:szCs w:val="18"/>
              </w:rPr>
              <w:t>实施期限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FF0000"/>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20-25</w:t>
            </w:r>
          </w:p>
        </w:tc>
        <w:tc>
          <w:tcPr>
            <w:tcW w:w="7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1级</w:t>
            </w:r>
          </w:p>
        </w:tc>
        <w:tc>
          <w:tcPr>
            <w:tcW w:w="10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极其危险</w:t>
            </w:r>
          </w:p>
        </w:tc>
        <w:tc>
          <w:tcPr>
            <w:tcW w:w="3721"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在采取措施降低危害前，不能继续作业，对改进措施进行评估</w:t>
            </w:r>
          </w:p>
        </w:tc>
        <w:tc>
          <w:tcPr>
            <w:tcW w:w="1992"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立刻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FFC000"/>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15-16</w:t>
            </w:r>
          </w:p>
        </w:tc>
        <w:tc>
          <w:tcPr>
            <w:tcW w:w="7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2级</w:t>
            </w:r>
          </w:p>
        </w:tc>
        <w:tc>
          <w:tcPr>
            <w:tcW w:w="10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高度危险</w:t>
            </w:r>
          </w:p>
        </w:tc>
        <w:tc>
          <w:tcPr>
            <w:tcW w:w="3721"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采取紧急措施降低风险，建立运行控制程序，定期检查、测量及评估</w:t>
            </w:r>
          </w:p>
        </w:tc>
        <w:tc>
          <w:tcPr>
            <w:tcW w:w="1992"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立即或近期整改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FFFF00"/>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9-12</w:t>
            </w:r>
          </w:p>
        </w:tc>
        <w:tc>
          <w:tcPr>
            <w:tcW w:w="7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3级</w:t>
            </w:r>
          </w:p>
        </w:tc>
        <w:tc>
          <w:tcPr>
            <w:tcW w:w="10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显著危险</w:t>
            </w:r>
          </w:p>
        </w:tc>
        <w:tc>
          <w:tcPr>
            <w:tcW w:w="3721"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可考虑建立目标、建立操作规程，加强培训及沟通</w:t>
            </w:r>
          </w:p>
        </w:tc>
        <w:tc>
          <w:tcPr>
            <w:tcW w:w="1992"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 年内治理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068" w:type="dxa"/>
            <w:tcBorders>
              <w:bottom w:val="single" w:color="auto" w:sz="4" w:space="0"/>
            </w:tcBorders>
            <w:shd w:val="clear" w:color="auto" w:fill="00B0F0"/>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4-8</w:t>
            </w:r>
          </w:p>
        </w:tc>
        <w:tc>
          <w:tcPr>
            <w:tcW w:w="7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4-1级</w:t>
            </w:r>
          </w:p>
        </w:tc>
        <w:tc>
          <w:tcPr>
            <w:tcW w:w="10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轻度危险</w:t>
            </w:r>
          </w:p>
        </w:tc>
        <w:tc>
          <w:tcPr>
            <w:tcW w:w="3721"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可考虑建立操作规程、作业指导书但需定期检查</w:t>
            </w:r>
          </w:p>
        </w:tc>
        <w:tc>
          <w:tcPr>
            <w:tcW w:w="1992"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有条件、有经费时治理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9" w:hRule="atLeast"/>
          <w:jc w:val="center"/>
        </w:trPr>
        <w:tc>
          <w:tcPr>
            <w:tcW w:w="1068" w:type="dxa"/>
            <w:shd w:val="clear" w:color="auto" w:fill="00B0F0"/>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1-3</w:t>
            </w:r>
          </w:p>
        </w:tc>
        <w:tc>
          <w:tcPr>
            <w:tcW w:w="708"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4-2级</w:t>
            </w:r>
          </w:p>
        </w:tc>
        <w:tc>
          <w:tcPr>
            <w:tcW w:w="10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稍有危险</w:t>
            </w:r>
          </w:p>
        </w:tc>
        <w:tc>
          <w:tcPr>
            <w:tcW w:w="3721" w:type="dxa"/>
            <w:vAlign w:val="center"/>
          </w:tcPr>
          <w:p>
            <w:pPr>
              <w:autoSpaceDE w:val="0"/>
              <w:autoSpaceDN w:val="0"/>
              <w:adjustRightInd w:val="0"/>
              <w:snapToGrid w:val="0"/>
              <w:rPr>
                <w:rFonts w:ascii="Times New Roman" w:hAnsi="Times New Roman" w:eastAsia="仿宋_GB2312"/>
                <w:sz w:val="18"/>
                <w:szCs w:val="18"/>
              </w:rPr>
            </w:pPr>
            <w:r>
              <w:rPr>
                <w:rFonts w:ascii="Times New Roman" w:hAnsi="Times New Roman" w:eastAsia="仿宋_GB2312"/>
                <w:sz w:val="18"/>
                <w:szCs w:val="18"/>
              </w:rPr>
              <w:t>无需采用控制措施</w:t>
            </w:r>
          </w:p>
        </w:tc>
        <w:tc>
          <w:tcPr>
            <w:tcW w:w="1992"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需保存记录</w:t>
            </w:r>
          </w:p>
        </w:tc>
      </w:tr>
    </w:tbl>
    <w:p>
      <w:pPr>
        <w:pStyle w:val="30"/>
        <w:tabs>
          <w:tab w:val="clear" w:pos="180"/>
        </w:tabs>
        <w:spacing w:beforeLines="0" w:afterLines="0"/>
        <w:rPr>
          <w:rFonts w:ascii="Times New Roman" w:eastAsia="仿宋_GB2312"/>
        </w:rPr>
      </w:pPr>
      <w:r>
        <w:rPr>
          <w:rFonts w:ascii="Times New Roman" w:eastAsia="仿宋_GB2312"/>
        </w:rPr>
        <w:t>A.1-4  风险矩阵表</w:t>
      </w:r>
    </w:p>
    <w:tbl>
      <w:tblPr>
        <w:tblStyle w:val="17"/>
        <w:tblW w:w="64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7"/>
        <w:gridCol w:w="433"/>
        <w:gridCol w:w="1196"/>
        <w:gridCol w:w="1118"/>
        <w:gridCol w:w="1118"/>
        <w:gridCol w:w="1118"/>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4" w:hRule="atLeast"/>
          <w:jc w:val="center"/>
        </w:trPr>
        <w:tc>
          <w:tcPr>
            <w:tcW w:w="347" w:type="dxa"/>
            <w:vMerge w:val="restart"/>
            <w:tcBorders>
              <w:top w:val="nil"/>
              <w:left w:val="nil"/>
              <w:bottom w:val="nil"/>
              <w:right w:val="nil"/>
            </w:tcBorders>
            <w:shd w:val="clear" w:color="auto" w:fill="auto"/>
            <w:vAlign w:val="center"/>
          </w:tcPr>
          <w:p>
            <w:pPr>
              <w:rPr>
                <w:rFonts w:ascii="Times New Roman" w:hAnsi="Times New Roman" w:eastAsia="仿宋_GB2312"/>
                <w:sz w:val="18"/>
                <w:szCs w:val="18"/>
              </w:rPr>
            </w:pPr>
            <w:r>
              <w:rPr>
                <w:rFonts w:ascii="Times New Roman" w:hAnsi="Times New Roman" w:eastAsia="仿宋_GB2312"/>
                <w:sz w:val="18"/>
                <w:szCs w:val="18"/>
              </w:rPr>
              <w:t>后</w:t>
            </w:r>
          </w:p>
          <w:p>
            <w:pPr>
              <w:rPr>
                <w:rFonts w:ascii="Times New Roman" w:hAnsi="Times New Roman" w:eastAsia="仿宋_GB2312"/>
                <w:sz w:val="18"/>
                <w:szCs w:val="18"/>
              </w:rPr>
            </w:pPr>
            <w:r>
              <w:rPr>
                <w:rFonts w:ascii="Times New Roman" w:hAnsi="Times New Roman" w:eastAsia="仿宋_GB2312"/>
                <w:sz w:val="18"/>
                <w:szCs w:val="18"/>
              </w:rPr>
              <w:t>果</w:t>
            </w:r>
          </w:p>
          <w:p>
            <w:pPr>
              <w:rPr>
                <w:rFonts w:ascii="Times New Roman" w:hAnsi="Times New Roman" w:eastAsia="仿宋_GB2312"/>
                <w:sz w:val="18"/>
                <w:szCs w:val="18"/>
              </w:rPr>
            </w:pPr>
            <w:r>
              <w:rPr>
                <w:rFonts w:ascii="Times New Roman" w:hAnsi="Times New Roman" w:eastAsia="仿宋_GB2312"/>
                <w:sz w:val="18"/>
                <w:szCs w:val="18"/>
              </w:rPr>
              <w:t>等</w:t>
            </w:r>
          </w:p>
          <w:p>
            <w:pPr>
              <w:rPr>
                <w:rFonts w:ascii="Times New Roman" w:hAnsi="Times New Roman" w:eastAsia="仿宋_GB2312"/>
                <w:sz w:val="18"/>
                <w:szCs w:val="18"/>
              </w:rPr>
            </w:pPr>
            <w:r>
              <w:rPr>
                <w:rFonts w:ascii="Times New Roman" w:hAnsi="Times New Roman" w:eastAsia="仿宋_GB2312"/>
                <w:sz w:val="18"/>
                <w:szCs w:val="18"/>
              </w:rPr>
              <w:t>级</w:t>
            </w:r>
          </w:p>
        </w:tc>
        <w:tc>
          <w:tcPr>
            <w:tcW w:w="433" w:type="dxa"/>
            <w:tcBorders>
              <w:top w:val="nil"/>
              <w:left w:val="nil"/>
              <w:bottom w:val="nil"/>
            </w:tcBorders>
            <w:shd w:val="clear" w:color="auto" w:fill="auto"/>
            <w:vAlign w:val="center"/>
          </w:tcPr>
          <w:p>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196" w:type="dxa"/>
            <w:tcBorders>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bottom w:val="single" w:color="auto" w:sz="4" w:space="0"/>
            </w:tcBorders>
            <w:shd w:val="clear" w:color="auto" w:fill="FFFF00"/>
            <w:vAlign w:val="center"/>
          </w:tcPr>
          <w:p>
            <w:pPr>
              <w:rPr>
                <w:rFonts w:ascii="Times New Roman" w:hAnsi="Times New Roman" w:eastAsia="仿宋_GB2312"/>
                <w:sz w:val="18"/>
                <w:szCs w:val="18"/>
                <w:highlight w:val="yellow"/>
              </w:rPr>
            </w:pPr>
            <w:r>
              <w:rPr>
                <w:rFonts w:ascii="Times New Roman" w:hAnsi="Times New Roman" w:eastAsia="仿宋_GB2312"/>
                <w:sz w:val="18"/>
                <w:szCs w:val="18"/>
              </w:rPr>
              <w:t>显著危险</w:t>
            </w:r>
          </w:p>
        </w:tc>
        <w:tc>
          <w:tcPr>
            <w:tcW w:w="1118" w:type="dxa"/>
            <w:tcBorders>
              <w:bottom w:val="single" w:color="auto" w:sz="4" w:space="0"/>
            </w:tcBorders>
            <w:shd w:val="clear" w:color="auto" w:fill="FF9900"/>
            <w:vAlign w:val="center"/>
          </w:tcPr>
          <w:p>
            <w:pPr>
              <w:rPr>
                <w:rFonts w:ascii="Times New Roman" w:hAnsi="Times New Roman" w:eastAsia="仿宋_GB2312"/>
                <w:sz w:val="18"/>
                <w:szCs w:val="18"/>
              </w:rPr>
            </w:pPr>
            <w:r>
              <w:rPr>
                <w:rFonts w:ascii="Times New Roman" w:hAnsi="Times New Roman" w:eastAsia="仿宋_GB2312"/>
                <w:sz w:val="18"/>
                <w:szCs w:val="18"/>
              </w:rPr>
              <w:t>高度危险</w:t>
            </w:r>
          </w:p>
        </w:tc>
        <w:tc>
          <w:tcPr>
            <w:tcW w:w="1118" w:type="dxa"/>
            <w:tcBorders>
              <w:bottom w:val="single" w:color="auto" w:sz="4" w:space="0"/>
            </w:tcBorders>
            <w:shd w:val="clear" w:color="auto" w:fill="FF0000"/>
            <w:vAlign w:val="center"/>
          </w:tcPr>
          <w:p>
            <w:pPr>
              <w:rPr>
                <w:rFonts w:ascii="Times New Roman" w:hAnsi="Times New Roman" w:eastAsia="仿宋_GB2312"/>
                <w:sz w:val="18"/>
                <w:szCs w:val="18"/>
              </w:rPr>
            </w:pPr>
            <w:r>
              <w:rPr>
                <w:rFonts w:ascii="Times New Roman" w:hAnsi="Times New Roman" w:eastAsia="仿宋_GB2312"/>
                <w:sz w:val="18"/>
                <w:szCs w:val="18"/>
              </w:rPr>
              <w:t>极其危险</w:t>
            </w:r>
          </w:p>
        </w:tc>
        <w:tc>
          <w:tcPr>
            <w:tcW w:w="1118" w:type="dxa"/>
            <w:tcBorders>
              <w:bottom w:val="single" w:color="auto" w:sz="4" w:space="0"/>
            </w:tcBorders>
            <w:shd w:val="clear" w:color="auto" w:fill="FF0000"/>
            <w:vAlign w:val="center"/>
          </w:tcPr>
          <w:p>
            <w:pPr>
              <w:rPr>
                <w:rFonts w:ascii="Times New Roman" w:hAnsi="Times New Roman" w:eastAsia="仿宋_GB2312"/>
                <w:sz w:val="18"/>
                <w:szCs w:val="18"/>
              </w:rPr>
            </w:pPr>
            <w:r>
              <w:rPr>
                <w:rFonts w:ascii="Times New Roman" w:hAnsi="Times New Roman" w:eastAsia="仿宋_GB2312"/>
                <w:sz w:val="18"/>
                <w:szCs w:val="18"/>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2" w:hRule="atLeast"/>
          <w:jc w:val="center"/>
        </w:trPr>
        <w:tc>
          <w:tcPr>
            <w:tcW w:w="347" w:type="dxa"/>
            <w:vMerge w:val="continue"/>
            <w:tcBorders>
              <w:top w:val="single" w:color="auto" w:sz="4" w:space="0"/>
              <w:left w:val="nil"/>
              <w:bottom w:val="nil"/>
              <w:right w:val="nil"/>
            </w:tcBorders>
            <w:shd w:val="clear" w:color="auto" w:fill="auto"/>
            <w:vAlign w:val="center"/>
          </w:tcPr>
          <w:p>
            <w:pPr>
              <w:rPr>
                <w:rFonts w:ascii="Times New Roman" w:hAnsi="Times New Roman" w:eastAsia="仿宋_GB2312"/>
                <w:sz w:val="18"/>
                <w:szCs w:val="18"/>
              </w:rPr>
            </w:pPr>
          </w:p>
        </w:tc>
        <w:tc>
          <w:tcPr>
            <w:tcW w:w="433" w:type="dxa"/>
            <w:tcBorders>
              <w:top w:val="nil"/>
              <w:left w:val="nil"/>
              <w:bottom w:val="nil"/>
            </w:tcBorders>
            <w:shd w:val="clear" w:color="auto" w:fill="auto"/>
            <w:vAlign w:val="center"/>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196" w:type="dxa"/>
            <w:tcBorders>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top w:val="single" w:color="auto" w:sz="4" w:space="0"/>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bottom w:val="single" w:color="auto" w:sz="4" w:space="0"/>
            </w:tcBorders>
            <w:shd w:val="clear" w:color="auto" w:fill="FFFF00"/>
            <w:vAlign w:val="center"/>
          </w:tcPr>
          <w:p>
            <w:pPr>
              <w:rPr>
                <w:rFonts w:ascii="Times New Roman" w:hAnsi="Times New Roman" w:eastAsia="仿宋_GB2312"/>
                <w:sz w:val="18"/>
                <w:szCs w:val="18"/>
              </w:rPr>
            </w:pPr>
            <w:r>
              <w:rPr>
                <w:rFonts w:ascii="Times New Roman" w:hAnsi="Times New Roman" w:eastAsia="仿宋_GB2312"/>
                <w:sz w:val="18"/>
                <w:szCs w:val="18"/>
              </w:rPr>
              <w:t>显著危险</w:t>
            </w:r>
          </w:p>
        </w:tc>
        <w:tc>
          <w:tcPr>
            <w:tcW w:w="1118" w:type="dxa"/>
            <w:tcBorders>
              <w:bottom w:val="single" w:color="auto" w:sz="4" w:space="0"/>
            </w:tcBorders>
            <w:shd w:val="clear" w:color="auto" w:fill="FF9900"/>
            <w:vAlign w:val="center"/>
          </w:tcPr>
          <w:p>
            <w:pPr>
              <w:rPr>
                <w:rFonts w:ascii="Times New Roman" w:hAnsi="Times New Roman" w:eastAsia="仿宋_GB2312"/>
                <w:sz w:val="18"/>
                <w:szCs w:val="18"/>
              </w:rPr>
            </w:pPr>
            <w:r>
              <w:rPr>
                <w:rFonts w:ascii="Times New Roman" w:hAnsi="Times New Roman" w:eastAsia="仿宋_GB2312"/>
                <w:sz w:val="18"/>
                <w:szCs w:val="18"/>
              </w:rPr>
              <w:t>高度危险</w:t>
            </w:r>
          </w:p>
        </w:tc>
        <w:tc>
          <w:tcPr>
            <w:tcW w:w="1118" w:type="dxa"/>
            <w:tcBorders>
              <w:bottom w:val="single" w:color="auto" w:sz="4" w:space="0"/>
            </w:tcBorders>
            <w:shd w:val="clear" w:color="auto" w:fill="FF0000"/>
            <w:vAlign w:val="center"/>
          </w:tcPr>
          <w:p>
            <w:pPr>
              <w:rPr>
                <w:rFonts w:ascii="Times New Roman" w:hAnsi="Times New Roman" w:eastAsia="仿宋_GB2312"/>
                <w:sz w:val="18"/>
                <w:szCs w:val="18"/>
              </w:rPr>
            </w:pPr>
            <w:r>
              <w:rPr>
                <w:rFonts w:ascii="Times New Roman" w:hAnsi="Times New Roman" w:eastAsia="仿宋_GB2312"/>
                <w:sz w:val="18"/>
                <w:szCs w:val="18"/>
              </w:rPr>
              <w:t>极其危险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10" w:hRule="atLeast"/>
          <w:jc w:val="center"/>
        </w:trPr>
        <w:tc>
          <w:tcPr>
            <w:tcW w:w="347" w:type="dxa"/>
            <w:vMerge w:val="continue"/>
            <w:tcBorders>
              <w:top w:val="single" w:color="auto" w:sz="4" w:space="0"/>
              <w:left w:val="nil"/>
              <w:bottom w:val="nil"/>
              <w:right w:val="nil"/>
            </w:tcBorders>
            <w:shd w:val="clear" w:color="auto" w:fill="auto"/>
            <w:vAlign w:val="center"/>
          </w:tcPr>
          <w:p>
            <w:pPr>
              <w:rPr>
                <w:rFonts w:ascii="Times New Roman" w:hAnsi="Times New Roman" w:eastAsia="仿宋_GB2312"/>
                <w:sz w:val="18"/>
                <w:szCs w:val="18"/>
              </w:rPr>
            </w:pPr>
          </w:p>
        </w:tc>
        <w:tc>
          <w:tcPr>
            <w:tcW w:w="433" w:type="dxa"/>
            <w:tcBorders>
              <w:top w:val="nil"/>
              <w:left w:val="nil"/>
              <w:bottom w:val="nil"/>
            </w:tcBorders>
            <w:shd w:val="clear" w:color="auto" w:fill="auto"/>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196" w:type="dxa"/>
            <w:tcBorders>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bottom w:val="single" w:color="auto" w:sz="4" w:space="0"/>
            </w:tcBorders>
            <w:shd w:val="clear" w:color="auto" w:fill="FFFF00"/>
            <w:vAlign w:val="center"/>
          </w:tcPr>
          <w:p>
            <w:pPr>
              <w:rPr>
                <w:rFonts w:ascii="Times New Roman" w:hAnsi="Times New Roman" w:eastAsia="仿宋_GB2312"/>
                <w:sz w:val="18"/>
                <w:szCs w:val="18"/>
              </w:rPr>
            </w:pPr>
            <w:r>
              <w:rPr>
                <w:rFonts w:ascii="Times New Roman" w:hAnsi="Times New Roman" w:eastAsia="仿宋_GB2312"/>
                <w:sz w:val="18"/>
                <w:szCs w:val="18"/>
              </w:rPr>
              <w:t>显著危险</w:t>
            </w:r>
          </w:p>
        </w:tc>
        <w:tc>
          <w:tcPr>
            <w:tcW w:w="1118" w:type="dxa"/>
            <w:tcBorders>
              <w:bottom w:val="single" w:color="auto" w:sz="4" w:space="0"/>
            </w:tcBorders>
            <w:shd w:val="clear" w:color="auto" w:fill="FFFF00"/>
            <w:vAlign w:val="center"/>
          </w:tcPr>
          <w:p>
            <w:pPr>
              <w:rPr>
                <w:rFonts w:ascii="Times New Roman" w:hAnsi="Times New Roman" w:eastAsia="仿宋_GB2312"/>
                <w:sz w:val="18"/>
                <w:szCs w:val="18"/>
              </w:rPr>
            </w:pPr>
            <w:r>
              <w:rPr>
                <w:rFonts w:ascii="Times New Roman" w:hAnsi="Times New Roman" w:eastAsia="仿宋_GB2312"/>
                <w:sz w:val="18"/>
                <w:szCs w:val="18"/>
              </w:rPr>
              <w:t>显著危险</w:t>
            </w:r>
          </w:p>
        </w:tc>
        <w:tc>
          <w:tcPr>
            <w:tcW w:w="1118" w:type="dxa"/>
            <w:tcBorders>
              <w:bottom w:val="single" w:color="auto" w:sz="4" w:space="0"/>
            </w:tcBorders>
            <w:shd w:val="clear" w:color="auto" w:fill="FF9900"/>
            <w:vAlign w:val="center"/>
          </w:tcPr>
          <w:p>
            <w:pPr>
              <w:rPr>
                <w:rFonts w:ascii="Times New Roman" w:hAnsi="Times New Roman" w:eastAsia="仿宋_GB2312"/>
                <w:sz w:val="18"/>
                <w:szCs w:val="18"/>
              </w:rPr>
            </w:pPr>
            <w:r>
              <w:rPr>
                <w:rFonts w:ascii="Times New Roman" w:hAnsi="Times New Roman" w:eastAsia="仿宋_GB2312"/>
                <w:sz w:val="18"/>
                <w:szCs w:val="18"/>
              </w:rPr>
              <w:t>高度危险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1" w:hRule="atLeast"/>
          <w:jc w:val="center"/>
        </w:trPr>
        <w:tc>
          <w:tcPr>
            <w:tcW w:w="347" w:type="dxa"/>
            <w:vMerge w:val="continue"/>
            <w:tcBorders>
              <w:top w:val="single" w:color="auto" w:sz="4" w:space="0"/>
              <w:left w:val="nil"/>
              <w:bottom w:val="nil"/>
              <w:right w:val="nil"/>
            </w:tcBorders>
            <w:shd w:val="clear" w:color="auto" w:fill="auto"/>
            <w:vAlign w:val="center"/>
          </w:tcPr>
          <w:p>
            <w:pPr>
              <w:rPr>
                <w:rFonts w:ascii="Times New Roman" w:hAnsi="Times New Roman" w:eastAsia="仿宋_GB2312"/>
                <w:sz w:val="18"/>
                <w:szCs w:val="18"/>
              </w:rPr>
            </w:pPr>
          </w:p>
        </w:tc>
        <w:tc>
          <w:tcPr>
            <w:tcW w:w="433" w:type="dxa"/>
            <w:tcBorders>
              <w:top w:val="nil"/>
              <w:left w:val="nil"/>
              <w:bottom w:val="nil"/>
            </w:tcBorders>
            <w:shd w:val="clear" w:color="auto" w:fill="auto"/>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196" w:type="dxa"/>
            <w:tcBorders>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稍有危险</w:t>
            </w:r>
          </w:p>
        </w:tc>
        <w:tc>
          <w:tcPr>
            <w:tcW w:w="1118" w:type="dxa"/>
            <w:tcBorders>
              <w:bottom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top w:val="single" w:color="auto" w:sz="4" w:space="0"/>
              <w:bottom w:val="nil"/>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top w:val="single" w:color="auto" w:sz="4" w:space="0"/>
              <w:bottom w:val="nil"/>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bottom w:val="single" w:color="auto" w:sz="4" w:space="0"/>
            </w:tcBorders>
            <w:shd w:val="clear" w:color="auto" w:fill="FFFF00"/>
            <w:vAlign w:val="center"/>
          </w:tcPr>
          <w:p>
            <w:pPr>
              <w:rPr>
                <w:rFonts w:ascii="Times New Roman" w:hAnsi="Times New Roman" w:eastAsia="仿宋_GB2312"/>
                <w:sz w:val="18"/>
                <w:szCs w:val="18"/>
              </w:rPr>
            </w:pPr>
            <w:r>
              <w:rPr>
                <w:rFonts w:ascii="Times New Roman" w:hAnsi="Times New Roman" w:eastAsia="仿宋_GB2312"/>
                <w:sz w:val="18"/>
                <w:szCs w:val="18"/>
              </w:rPr>
              <w:t>显著危险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7" w:hRule="atLeast"/>
          <w:jc w:val="center"/>
        </w:trPr>
        <w:tc>
          <w:tcPr>
            <w:tcW w:w="347" w:type="dxa"/>
            <w:vMerge w:val="continue"/>
            <w:tcBorders>
              <w:top w:val="single" w:color="auto" w:sz="4" w:space="0"/>
              <w:left w:val="nil"/>
              <w:bottom w:val="nil"/>
              <w:right w:val="nil"/>
            </w:tcBorders>
            <w:shd w:val="clear" w:color="auto" w:fill="auto"/>
            <w:vAlign w:val="center"/>
          </w:tcPr>
          <w:p>
            <w:pPr>
              <w:rPr>
                <w:rFonts w:ascii="Times New Roman" w:hAnsi="Times New Roman" w:eastAsia="仿宋_GB2312"/>
                <w:sz w:val="18"/>
                <w:szCs w:val="18"/>
              </w:rPr>
            </w:pPr>
          </w:p>
        </w:tc>
        <w:tc>
          <w:tcPr>
            <w:tcW w:w="433" w:type="dxa"/>
            <w:tcBorders>
              <w:top w:val="nil"/>
              <w:left w:val="nil"/>
              <w:bottom w:val="nil"/>
            </w:tcBorders>
            <w:shd w:val="clear" w:color="auto" w:fill="auto"/>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196" w:type="dxa"/>
            <w:tcBorders>
              <w:top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稍有危险</w:t>
            </w:r>
          </w:p>
        </w:tc>
        <w:tc>
          <w:tcPr>
            <w:tcW w:w="1118" w:type="dxa"/>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稍有危险</w:t>
            </w:r>
          </w:p>
        </w:tc>
        <w:tc>
          <w:tcPr>
            <w:tcW w:w="1118" w:type="dxa"/>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c>
          <w:tcPr>
            <w:tcW w:w="1118" w:type="dxa"/>
            <w:tcBorders>
              <w:top w:val="single" w:color="auto" w:sz="4" w:space="0"/>
            </w:tcBorders>
            <w:shd w:val="clear" w:color="auto" w:fill="00B0F0"/>
            <w:vAlign w:val="center"/>
          </w:tcPr>
          <w:p>
            <w:pPr>
              <w:rPr>
                <w:rFonts w:ascii="Times New Roman" w:hAnsi="Times New Roman" w:eastAsia="仿宋_GB2312"/>
                <w:sz w:val="18"/>
                <w:szCs w:val="18"/>
              </w:rPr>
            </w:pPr>
            <w:r>
              <w:rPr>
                <w:rFonts w:ascii="Times New Roman" w:hAnsi="Times New Roman" w:eastAsia="仿宋_GB2312"/>
                <w:sz w:val="18"/>
                <w:szCs w:val="18"/>
              </w:rPr>
              <w:t>轻度危险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347" w:type="dxa"/>
            <w:tcBorders>
              <w:top w:val="nil"/>
              <w:left w:val="nil"/>
              <w:bottom w:val="nil"/>
              <w:right w:val="nil"/>
            </w:tcBorders>
          </w:tcPr>
          <w:p>
            <w:pPr>
              <w:snapToGrid w:val="0"/>
              <w:rPr>
                <w:rFonts w:ascii="Times New Roman" w:hAnsi="Times New Roman" w:eastAsia="仿宋_GB2312"/>
                <w:sz w:val="18"/>
                <w:szCs w:val="18"/>
              </w:rPr>
            </w:pPr>
          </w:p>
        </w:tc>
        <w:tc>
          <w:tcPr>
            <w:tcW w:w="433" w:type="dxa"/>
            <w:tcBorders>
              <w:top w:val="nil"/>
              <w:left w:val="nil"/>
              <w:bottom w:val="nil"/>
              <w:right w:val="nil"/>
            </w:tcBorders>
          </w:tcPr>
          <w:p>
            <w:pPr>
              <w:snapToGrid w:val="0"/>
              <w:rPr>
                <w:rFonts w:ascii="Times New Roman" w:hAnsi="Times New Roman" w:eastAsia="仿宋_GB2312"/>
                <w:sz w:val="18"/>
                <w:szCs w:val="18"/>
              </w:rPr>
            </w:pPr>
          </w:p>
        </w:tc>
        <w:tc>
          <w:tcPr>
            <w:tcW w:w="1196" w:type="dxa"/>
            <w:tcBorders>
              <w:top w:val="nil"/>
              <w:left w:val="nil"/>
              <w:bottom w:val="nil"/>
              <w:right w:val="nil"/>
            </w:tcBorders>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118" w:type="dxa"/>
            <w:tcBorders>
              <w:top w:val="nil"/>
              <w:left w:val="nil"/>
              <w:bottom w:val="nil"/>
              <w:right w:val="nil"/>
            </w:tcBorders>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118" w:type="dxa"/>
            <w:tcBorders>
              <w:top w:val="nil"/>
              <w:left w:val="nil"/>
              <w:bottom w:val="nil"/>
              <w:right w:val="nil"/>
            </w:tcBorders>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118" w:type="dxa"/>
            <w:tcBorders>
              <w:top w:val="nil"/>
              <w:left w:val="nil"/>
              <w:bottom w:val="nil"/>
              <w:right w:val="nil"/>
            </w:tcBorders>
          </w:tcPr>
          <w:p>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118" w:type="dxa"/>
            <w:tcBorders>
              <w:top w:val="nil"/>
              <w:left w:val="nil"/>
              <w:bottom w:val="nil"/>
              <w:right w:val="nil"/>
            </w:tcBorders>
          </w:tcPr>
          <w:p>
            <w:pPr>
              <w:jc w:val="center"/>
              <w:rPr>
                <w:rFonts w:ascii="Times New Roman" w:hAnsi="Times New Roman" w:eastAsia="仿宋_GB2312"/>
                <w:sz w:val="18"/>
                <w:szCs w:val="18"/>
              </w:rPr>
            </w:pPr>
            <w:r>
              <w:rPr>
                <w:rFonts w:ascii="Times New Roman" w:hAnsi="Times New Roman" w:eastAsia="仿宋_GB2312"/>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0" w:hRule="atLeast"/>
          <w:jc w:val="center"/>
        </w:trPr>
        <w:tc>
          <w:tcPr>
            <w:tcW w:w="6448" w:type="dxa"/>
            <w:gridSpan w:val="7"/>
            <w:tcBorders>
              <w:top w:val="nil"/>
              <w:left w:val="nil"/>
              <w:bottom w:val="nil"/>
              <w:right w:val="nil"/>
            </w:tcBorders>
          </w:tcPr>
          <w:p>
            <w:pPr>
              <w:jc w:val="center"/>
              <w:rPr>
                <w:rFonts w:ascii="Times New Roman" w:hAnsi="Times New Roman" w:eastAsia="仿宋_GB2312"/>
                <w:sz w:val="18"/>
                <w:szCs w:val="18"/>
              </w:rPr>
            </w:pPr>
            <w:r>
              <w:rPr>
                <w:rFonts w:ascii="Times New Roman" w:hAnsi="Times New Roman" w:eastAsia="仿宋_GB2312"/>
                <w:sz w:val="18"/>
                <w:szCs w:val="18"/>
              </w:rPr>
              <w:t>事故发生的可能性等级</w:t>
            </w:r>
          </w:p>
        </w:tc>
      </w:tr>
    </w:tbl>
    <w:p>
      <w:pPr>
        <w:pStyle w:val="19"/>
        <w:ind w:firstLine="0" w:firstLineChars="0"/>
        <w:jc w:val="left"/>
        <w:rPr>
          <w:rFonts w:ascii="Times New Roman" w:eastAsia="仿宋_GB2312"/>
          <w:b/>
          <w:sz w:val="28"/>
          <w:szCs w:val="28"/>
        </w:rPr>
      </w:pPr>
      <w:bookmarkStart w:id="4" w:name="_Toc20007"/>
      <w:r>
        <w:rPr>
          <w:rFonts w:ascii="Times New Roman" w:eastAsia="仿宋_GB2312"/>
          <w:b/>
          <w:sz w:val="28"/>
          <w:szCs w:val="28"/>
        </w:rPr>
        <w:t>A.2作业条件危险性分析（LEC）评价法</w:t>
      </w:r>
      <w:bookmarkEnd w:id="4"/>
    </w:p>
    <w:p>
      <w:pPr>
        <w:pStyle w:val="19"/>
        <w:ind w:firstLine="560"/>
        <w:rPr>
          <w:rFonts w:ascii="Times New Roman" w:eastAsia="仿宋_GB2312"/>
        </w:rPr>
      </w:pPr>
      <w:r>
        <w:rPr>
          <w:rFonts w:ascii="Times New Roman" w:eastAsia="仿宋_GB2312"/>
          <w:sz w:val="28"/>
          <w:szCs w:val="28"/>
        </w:rPr>
        <w:t>作业条件危险性分析评价法（简称LEC）。L</w:t>
      </w:r>
      <w:r>
        <w:rPr>
          <w:rFonts w:hint="eastAsia" w:ascii="Times New Roman" w:eastAsia="仿宋_GB2312"/>
          <w:sz w:val="28"/>
          <w:szCs w:val="28"/>
        </w:rPr>
        <w:t>（</w:t>
      </w:r>
      <w:r>
        <w:rPr>
          <w:rFonts w:ascii="Times New Roman" w:eastAsia="仿宋_GB2312"/>
          <w:sz w:val="28"/>
          <w:szCs w:val="28"/>
        </w:rPr>
        <w:t>likelihood，事故发生的可能性</w:t>
      </w:r>
      <w:r>
        <w:rPr>
          <w:rFonts w:hint="eastAsia" w:ascii="Times New Roman" w:eastAsia="仿宋_GB2312"/>
          <w:sz w:val="28"/>
          <w:szCs w:val="28"/>
        </w:rPr>
        <w:t>）</w:t>
      </w:r>
      <w:r>
        <w:rPr>
          <w:rFonts w:ascii="Times New Roman" w:eastAsia="仿宋_GB2312"/>
          <w:sz w:val="28"/>
          <w:szCs w:val="28"/>
        </w:rPr>
        <w:t>、E</w:t>
      </w:r>
      <w:r>
        <w:rPr>
          <w:rFonts w:hint="eastAsia" w:ascii="Times New Roman" w:eastAsia="仿宋_GB2312"/>
          <w:sz w:val="28"/>
          <w:szCs w:val="28"/>
        </w:rPr>
        <w:t>（</w:t>
      </w:r>
      <w:r>
        <w:rPr>
          <w:rFonts w:ascii="Times New Roman" w:eastAsia="仿宋_GB2312"/>
          <w:sz w:val="28"/>
          <w:szCs w:val="28"/>
        </w:rPr>
        <w:t>exposure，人员暴露于危险环境中的频繁程度</w:t>
      </w:r>
      <w:r>
        <w:rPr>
          <w:rFonts w:hint="eastAsia" w:ascii="Times New Roman" w:eastAsia="仿宋_GB2312"/>
          <w:sz w:val="28"/>
          <w:szCs w:val="28"/>
        </w:rPr>
        <w:t>）</w:t>
      </w:r>
      <w:r>
        <w:rPr>
          <w:rFonts w:ascii="Times New Roman" w:eastAsia="仿宋_GB2312"/>
          <w:sz w:val="28"/>
          <w:szCs w:val="28"/>
        </w:rPr>
        <w:t>和C</w:t>
      </w:r>
      <w:r>
        <w:rPr>
          <w:rFonts w:hint="eastAsia" w:ascii="Times New Roman" w:eastAsia="仿宋_GB2312"/>
          <w:sz w:val="28"/>
          <w:szCs w:val="28"/>
        </w:rPr>
        <w:t>（</w:t>
      </w:r>
      <w:r>
        <w:rPr>
          <w:rFonts w:ascii="Times New Roman" w:eastAsia="仿宋_GB2312"/>
          <w:sz w:val="28"/>
          <w:szCs w:val="28"/>
        </w:rPr>
        <w:t>consequence，一旦发生事故可能造成的后果</w:t>
      </w:r>
      <w:r>
        <w:rPr>
          <w:rFonts w:hint="eastAsia" w:ascii="Times New Roman" w:eastAsia="仿宋_GB2312"/>
          <w:sz w:val="28"/>
          <w:szCs w:val="28"/>
        </w:rPr>
        <w:t>）</w:t>
      </w:r>
      <w:r>
        <w:rPr>
          <w:rFonts w:ascii="Times New Roman" w:eastAsia="仿宋_GB2312"/>
          <w:sz w:val="28"/>
          <w:szCs w:val="28"/>
        </w:rPr>
        <w:t>。给三种因素的不同等级分别确定不同的分值，再以三个分值的乘积D</w:t>
      </w:r>
      <w:r>
        <w:rPr>
          <w:rFonts w:hint="eastAsia" w:ascii="Times New Roman" w:eastAsia="仿宋_GB2312"/>
          <w:sz w:val="28"/>
          <w:szCs w:val="28"/>
        </w:rPr>
        <w:t>（</w:t>
      </w:r>
      <w:r>
        <w:rPr>
          <w:rFonts w:ascii="Times New Roman" w:eastAsia="仿宋_GB2312"/>
          <w:sz w:val="28"/>
          <w:szCs w:val="28"/>
        </w:rPr>
        <w:t>danger，危险性</w:t>
      </w:r>
      <w:r>
        <w:rPr>
          <w:rFonts w:hint="eastAsia" w:ascii="Times New Roman" w:eastAsia="仿宋_GB2312"/>
          <w:sz w:val="28"/>
          <w:szCs w:val="28"/>
        </w:rPr>
        <w:t>）</w:t>
      </w:r>
      <w:r>
        <w:rPr>
          <w:rFonts w:ascii="Times New Roman" w:eastAsia="仿宋_GB2312"/>
          <w:sz w:val="28"/>
          <w:szCs w:val="28"/>
        </w:rPr>
        <w:t xml:space="preserve">来评价作业条件危险性的大小，即:D=L×E×C。D值越大，说明该作业活动危险性大、风险大。 </w:t>
      </w:r>
    </w:p>
    <w:p>
      <w:pPr>
        <w:pStyle w:val="30"/>
        <w:tabs>
          <w:tab w:val="clear" w:pos="180"/>
        </w:tabs>
        <w:spacing w:beforeLines="0" w:afterLines="0"/>
        <w:rPr>
          <w:rFonts w:ascii="Times New Roman" w:eastAsia="仿宋_GB2312"/>
        </w:rPr>
      </w:pPr>
      <w:r>
        <w:rPr>
          <w:rFonts w:ascii="Times New Roman" w:eastAsia="仿宋_GB2312"/>
        </w:rPr>
        <w:t>表A.2-1  事故事件发生的可能性（L）判断准则</w:t>
      </w:r>
    </w:p>
    <w:tbl>
      <w:tblPr>
        <w:tblStyle w:val="17"/>
        <w:tblW w:w="868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
        <w:gridCol w:w="7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8" w:hRule="atLeast"/>
          <w:jc w:val="center"/>
        </w:trPr>
        <w:tc>
          <w:tcPr>
            <w:tcW w:w="813"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分值</w:t>
            </w:r>
          </w:p>
        </w:tc>
        <w:tc>
          <w:tcPr>
            <w:tcW w:w="7871"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事故、事件或偏差发生的可能性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871" w:type="dxa"/>
            <w:vAlign w:val="center"/>
          </w:tcPr>
          <w:p>
            <w:pPr>
              <w:rPr>
                <w:rFonts w:ascii="Times New Roman" w:hAnsi="Times New Roman" w:eastAsia="仿宋_GB2312"/>
                <w:sz w:val="18"/>
                <w:szCs w:val="18"/>
              </w:rPr>
            </w:pPr>
            <w:r>
              <w:rPr>
                <w:rFonts w:ascii="Times New Roman" w:hAnsi="Times New Roman" w:eastAsia="仿宋_GB2312"/>
                <w:sz w:val="18"/>
                <w:szCs w:val="18"/>
              </w:rPr>
              <w:t>完全可以预料。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871"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相当可能；或危害的发生不能被发现（没有监测系统）；或在现场没有采取防范、监测、保护、控制措施；或在正常情况下经常发生此类事故、事件或偏差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871"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可能，但不经常；或危害的发生不容易被发现；现场没有检测系统或保护措施（如没有保护装置、没有个人防护用品等），也未作过任何监测；或未严格按操作规程执行；或在现场有控制措施，但未有效执行或控制措施不当；或危害在预期情况下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871"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可能性小，完全意外；或危害的发生容易被发现；现场有监测系统或曾经作过监测；或过去曾经发生类似事故、事件或偏差；或在异常情况下发生过类似事故、事件或偏差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0.5</w:t>
            </w:r>
          </w:p>
        </w:tc>
        <w:tc>
          <w:tcPr>
            <w:tcW w:w="7871"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很不可能，可以设想；危害一旦发生能及时发现，并能定期进行监测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0.2</w:t>
            </w:r>
          </w:p>
        </w:tc>
        <w:tc>
          <w:tcPr>
            <w:tcW w:w="7871"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极不可能；有充分、有效的防范、控制、监测、保护措施；或员工安全卫生意识相当高，严格执行操作规程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jc w:val="center"/>
        </w:trPr>
        <w:tc>
          <w:tcPr>
            <w:tcW w:w="81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0.1</w:t>
            </w:r>
          </w:p>
        </w:tc>
        <w:tc>
          <w:tcPr>
            <w:tcW w:w="7871"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实际不可能</w:t>
            </w:r>
          </w:p>
        </w:tc>
      </w:tr>
    </w:tbl>
    <w:p>
      <w:pPr>
        <w:pStyle w:val="30"/>
        <w:tabs>
          <w:tab w:val="clear" w:pos="180"/>
        </w:tabs>
        <w:spacing w:beforeLines="0" w:afterLines="0"/>
        <w:rPr>
          <w:rFonts w:ascii="Times New Roman" w:eastAsia="仿宋_GB2312"/>
        </w:rPr>
      </w:pPr>
      <w:r>
        <w:rPr>
          <w:rFonts w:ascii="Times New Roman" w:eastAsia="仿宋_GB2312"/>
        </w:rPr>
        <w:t>表A.2-2  暴露于危险环境的频繁程度（E）判断准则</w:t>
      </w:r>
    </w:p>
    <w:tbl>
      <w:tblPr>
        <w:tblStyle w:val="17"/>
        <w:tblW w:w="871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3"/>
        <w:gridCol w:w="3262"/>
        <w:gridCol w:w="1507"/>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分值</w:t>
            </w:r>
          </w:p>
        </w:tc>
        <w:tc>
          <w:tcPr>
            <w:tcW w:w="3262"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频繁程度</w:t>
            </w:r>
          </w:p>
        </w:tc>
        <w:tc>
          <w:tcPr>
            <w:tcW w:w="1507"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分值</w:t>
            </w:r>
          </w:p>
        </w:tc>
        <w:tc>
          <w:tcPr>
            <w:tcW w:w="2816"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频繁程度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b/>
                <w:bCs/>
                <w:sz w:val="18"/>
                <w:szCs w:val="18"/>
              </w:rPr>
            </w:pPr>
            <w:r>
              <w:rPr>
                <w:rFonts w:ascii="Times New Roman" w:hAnsi="Times New Roman" w:eastAsia="仿宋_GB2312"/>
                <w:sz w:val="18"/>
                <w:szCs w:val="18"/>
              </w:rPr>
              <w:t>10</w:t>
            </w:r>
          </w:p>
        </w:tc>
        <w:tc>
          <w:tcPr>
            <w:tcW w:w="3262" w:type="dxa"/>
            <w:vAlign w:val="center"/>
          </w:tcPr>
          <w:p>
            <w:pPr>
              <w:rPr>
                <w:rFonts w:ascii="Times New Roman" w:hAnsi="Times New Roman" w:eastAsia="仿宋_GB2312"/>
                <w:b/>
                <w:bCs/>
                <w:sz w:val="18"/>
                <w:szCs w:val="18"/>
              </w:rPr>
            </w:pPr>
            <w:r>
              <w:rPr>
                <w:rFonts w:ascii="Times New Roman" w:hAnsi="Times New Roman" w:eastAsia="仿宋_GB2312"/>
                <w:sz w:val="18"/>
                <w:szCs w:val="18"/>
              </w:rPr>
              <w:t>连续暴露</w:t>
            </w:r>
          </w:p>
        </w:tc>
        <w:tc>
          <w:tcPr>
            <w:tcW w:w="1507" w:type="dxa"/>
            <w:vAlign w:val="center"/>
          </w:tcPr>
          <w:p>
            <w:pPr>
              <w:jc w:val="center"/>
              <w:rPr>
                <w:rFonts w:ascii="Times New Roman" w:hAnsi="Times New Roman" w:eastAsia="仿宋_GB2312"/>
                <w:b/>
                <w:bCs/>
                <w:sz w:val="18"/>
                <w:szCs w:val="18"/>
              </w:rPr>
            </w:pPr>
            <w:r>
              <w:rPr>
                <w:rFonts w:ascii="Times New Roman" w:hAnsi="Times New Roman" w:eastAsia="仿宋_GB2312"/>
                <w:sz w:val="18"/>
                <w:szCs w:val="18"/>
              </w:rPr>
              <w:t>2</w:t>
            </w:r>
          </w:p>
        </w:tc>
        <w:tc>
          <w:tcPr>
            <w:tcW w:w="2816" w:type="dxa"/>
            <w:vAlign w:val="center"/>
          </w:tcPr>
          <w:p>
            <w:pPr>
              <w:jc w:val="left"/>
              <w:rPr>
                <w:rFonts w:ascii="Times New Roman" w:hAnsi="Times New Roman" w:eastAsia="仿宋_GB2312"/>
                <w:b/>
                <w:bCs/>
                <w:sz w:val="18"/>
                <w:szCs w:val="18"/>
              </w:rPr>
            </w:pPr>
            <w:r>
              <w:rPr>
                <w:rFonts w:ascii="Times New Roman" w:hAnsi="Times New Roman" w:eastAsia="仿宋_GB2312"/>
                <w:sz w:val="18"/>
                <w:szCs w:val="18"/>
              </w:rPr>
              <w:t>每月一次暴露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b/>
                <w:bCs/>
                <w:sz w:val="18"/>
                <w:szCs w:val="18"/>
              </w:rPr>
            </w:pPr>
            <w:r>
              <w:rPr>
                <w:rFonts w:ascii="Times New Roman" w:hAnsi="Times New Roman" w:eastAsia="仿宋_GB2312"/>
                <w:sz w:val="18"/>
                <w:szCs w:val="18"/>
              </w:rPr>
              <w:t>6</w:t>
            </w:r>
          </w:p>
        </w:tc>
        <w:tc>
          <w:tcPr>
            <w:tcW w:w="3262" w:type="dxa"/>
            <w:vAlign w:val="center"/>
          </w:tcPr>
          <w:p>
            <w:pPr>
              <w:rPr>
                <w:rFonts w:ascii="Times New Roman" w:hAnsi="Times New Roman" w:eastAsia="仿宋_GB2312"/>
                <w:b/>
                <w:bCs/>
                <w:sz w:val="18"/>
                <w:szCs w:val="18"/>
              </w:rPr>
            </w:pPr>
            <w:r>
              <w:rPr>
                <w:rFonts w:ascii="Times New Roman" w:hAnsi="Times New Roman" w:eastAsia="仿宋_GB2312"/>
                <w:sz w:val="18"/>
                <w:szCs w:val="18"/>
              </w:rPr>
              <w:t>每天工作时间内暴露</w:t>
            </w:r>
          </w:p>
        </w:tc>
        <w:tc>
          <w:tcPr>
            <w:tcW w:w="1507" w:type="dxa"/>
            <w:vAlign w:val="center"/>
          </w:tcPr>
          <w:p>
            <w:pPr>
              <w:jc w:val="center"/>
              <w:rPr>
                <w:rFonts w:ascii="Times New Roman" w:hAnsi="Times New Roman" w:eastAsia="仿宋_GB2312"/>
                <w:b/>
                <w:bCs/>
                <w:sz w:val="18"/>
                <w:szCs w:val="18"/>
              </w:rPr>
            </w:pPr>
            <w:r>
              <w:rPr>
                <w:rFonts w:ascii="Times New Roman" w:hAnsi="Times New Roman" w:eastAsia="仿宋_GB2312"/>
                <w:sz w:val="18"/>
                <w:szCs w:val="18"/>
              </w:rPr>
              <w:t>1</w:t>
            </w:r>
          </w:p>
        </w:tc>
        <w:tc>
          <w:tcPr>
            <w:tcW w:w="2816" w:type="dxa"/>
            <w:vAlign w:val="center"/>
          </w:tcPr>
          <w:p>
            <w:pPr>
              <w:jc w:val="left"/>
              <w:rPr>
                <w:rFonts w:ascii="Times New Roman" w:hAnsi="Times New Roman" w:eastAsia="仿宋_GB2312"/>
                <w:b/>
                <w:bCs/>
                <w:sz w:val="18"/>
                <w:szCs w:val="18"/>
              </w:rPr>
            </w:pPr>
            <w:r>
              <w:rPr>
                <w:rFonts w:ascii="Times New Roman" w:hAnsi="Times New Roman" w:eastAsia="仿宋_GB2312"/>
                <w:sz w:val="18"/>
                <w:szCs w:val="18"/>
              </w:rPr>
              <w:t>每年几次暴露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7" w:hRule="atLeast"/>
          <w:jc w:val="center"/>
        </w:trPr>
        <w:tc>
          <w:tcPr>
            <w:tcW w:w="1133"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3262" w:type="dxa"/>
            <w:vAlign w:val="center"/>
          </w:tcPr>
          <w:p>
            <w:pPr>
              <w:rPr>
                <w:rFonts w:ascii="Times New Roman" w:hAnsi="Times New Roman" w:eastAsia="仿宋_GB2312"/>
                <w:sz w:val="18"/>
                <w:szCs w:val="18"/>
              </w:rPr>
            </w:pPr>
            <w:r>
              <w:rPr>
                <w:rFonts w:ascii="Times New Roman" w:hAnsi="Times New Roman" w:eastAsia="仿宋_GB2312"/>
                <w:sz w:val="18"/>
                <w:szCs w:val="18"/>
              </w:rPr>
              <w:t>每周一次或偶然暴露</w:t>
            </w:r>
          </w:p>
        </w:tc>
        <w:tc>
          <w:tcPr>
            <w:tcW w:w="1507"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0.5</w:t>
            </w:r>
          </w:p>
        </w:tc>
        <w:tc>
          <w:tcPr>
            <w:tcW w:w="2816" w:type="dxa"/>
            <w:vAlign w:val="center"/>
          </w:tcPr>
          <w:p>
            <w:pPr>
              <w:jc w:val="left"/>
              <w:rPr>
                <w:rFonts w:ascii="Times New Roman" w:hAnsi="Times New Roman" w:eastAsia="仿宋_GB2312"/>
                <w:sz w:val="18"/>
                <w:szCs w:val="18"/>
              </w:rPr>
            </w:pPr>
            <w:r>
              <w:rPr>
                <w:rFonts w:ascii="Times New Roman" w:hAnsi="Times New Roman" w:eastAsia="仿宋_GB2312"/>
                <w:sz w:val="18"/>
                <w:szCs w:val="18"/>
              </w:rPr>
              <w:t>非常罕见地暴露</w:t>
            </w:r>
          </w:p>
        </w:tc>
      </w:tr>
    </w:tbl>
    <w:p>
      <w:pPr>
        <w:pStyle w:val="30"/>
        <w:tabs>
          <w:tab w:val="clear" w:pos="180"/>
        </w:tabs>
        <w:spacing w:beforeLines="0" w:afterLines="0"/>
        <w:rPr>
          <w:rFonts w:ascii="Times New Roman" w:eastAsia="仿宋_GB2312"/>
        </w:rPr>
      </w:pPr>
      <w:r>
        <w:rPr>
          <w:rFonts w:ascii="Times New Roman" w:eastAsia="仿宋_GB2312"/>
        </w:rPr>
        <w:t>表A.2-3  发生事故事件偏差产生的后果严重性（C）判别准则</w:t>
      </w:r>
    </w:p>
    <w:tbl>
      <w:tblPr>
        <w:tblStyle w:val="17"/>
        <w:tblW w:w="864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2"/>
        <w:gridCol w:w="1660"/>
        <w:gridCol w:w="2129"/>
        <w:gridCol w:w="1320"/>
        <w:gridCol w:w="851"/>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tblHeader/>
          <w:jc w:val="center"/>
        </w:trPr>
        <w:tc>
          <w:tcPr>
            <w:tcW w:w="772"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分值</w:t>
            </w:r>
          </w:p>
        </w:tc>
        <w:tc>
          <w:tcPr>
            <w:tcW w:w="1660"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法律法规</w:t>
            </w:r>
          </w:p>
          <w:p>
            <w:pPr>
              <w:jc w:val="center"/>
              <w:rPr>
                <w:rFonts w:ascii="Times New Roman" w:hAnsi="Times New Roman" w:eastAsia="仿宋_GB2312"/>
                <w:b/>
                <w:bCs/>
                <w:sz w:val="18"/>
                <w:szCs w:val="18"/>
              </w:rPr>
            </w:pPr>
            <w:r>
              <w:rPr>
                <w:rFonts w:ascii="Times New Roman" w:hAnsi="Times New Roman" w:eastAsia="仿宋_GB2312"/>
                <w:b/>
                <w:bCs/>
                <w:sz w:val="18"/>
                <w:szCs w:val="18"/>
              </w:rPr>
              <w:t>及其他要求</w:t>
            </w:r>
          </w:p>
        </w:tc>
        <w:tc>
          <w:tcPr>
            <w:tcW w:w="2129"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人员伤亡</w:t>
            </w:r>
          </w:p>
        </w:tc>
        <w:tc>
          <w:tcPr>
            <w:tcW w:w="1320"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直接经济损失</w:t>
            </w:r>
          </w:p>
          <w:p>
            <w:pPr>
              <w:jc w:val="center"/>
              <w:rPr>
                <w:rFonts w:ascii="Times New Roman" w:hAnsi="Times New Roman" w:eastAsia="仿宋_GB2312"/>
                <w:b/>
                <w:bCs/>
                <w:sz w:val="18"/>
                <w:szCs w:val="18"/>
              </w:rPr>
            </w:pPr>
            <w:r>
              <w:rPr>
                <w:rFonts w:ascii="Times New Roman" w:hAnsi="Times New Roman" w:eastAsia="仿宋_GB2312"/>
                <w:b/>
                <w:bCs/>
                <w:sz w:val="18"/>
                <w:szCs w:val="18"/>
              </w:rPr>
              <w:t>（万元）</w:t>
            </w:r>
          </w:p>
        </w:tc>
        <w:tc>
          <w:tcPr>
            <w:tcW w:w="851"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停工</w:t>
            </w:r>
          </w:p>
        </w:tc>
        <w:tc>
          <w:tcPr>
            <w:tcW w:w="1909" w:type="dxa"/>
            <w:vAlign w:val="center"/>
          </w:tcPr>
          <w:p>
            <w:pPr>
              <w:jc w:val="center"/>
              <w:rPr>
                <w:rFonts w:ascii="Times New Roman" w:hAnsi="Times New Roman" w:eastAsia="仿宋_GB2312"/>
                <w:b/>
                <w:bCs/>
                <w:sz w:val="18"/>
                <w:szCs w:val="18"/>
              </w:rPr>
            </w:pPr>
            <w:r>
              <w:rPr>
                <w:rFonts w:ascii="Times New Roman" w:hAnsi="Times New Roman" w:eastAsia="仿宋_GB2312"/>
                <w:b/>
                <w:bCs/>
                <w:sz w:val="18"/>
                <w:szCs w:val="18"/>
              </w:rPr>
              <w:t>公司形象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jc w:val="center"/>
        </w:trPr>
        <w:tc>
          <w:tcPr>
            <w:tcW w:w="77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100</w:t>
            </w:r>
          </w:p>
        </w:tc>
        <w:tc>
          <w:tcPr>
            <w:tcW w:w="1660" w:type="dxa"/>
            <w:vAlign w:val="center"/>
          </w:tcPr>
          <w:p>
            <w:pPr>
              <w:rPr>
                <w:rFonts w:ascii="Times New Roman" w:hAnsi="Times New Roman" w:eastAsia="仿宋_GB2312"/>
                <w:sz w:val="18"/>
                <w:szCs w:val="18"/>
              </w:rPr>
            </w:pPr>
            <w:r>
              <w:rPr>
                <w:rFonts w:ascii="Times New Roman" w:hAnsi="Times New Roman" w:eastAsia="仿宋_GB2312"/>
                <w:sz w:val="18"/>
                <w:szCs w:val="18"/>
              </w:rPr>
              <w:t>严重违反法律法规和标准</w:t>
            </w:r>
          </w:p>
        </w:tc>
        <w:tc>
          <w:tcPr>
            <w:tcW w:w="2129" w:type="dxa"/>
            <w:vAlign w:val="center"/>
          </w:tcPr>
          <w:p>
            <w:pPr>
              <w:rPr>
                <w:rFonts w:ascii="Times New Roman" w:hAnsi="Times New Roman" w:eastAsia="仿宋_GB2312"/>
                <w:sz w:val="18"/>
                <w:szCs w:val="18"/>
              </w:rPr>
            </w:pPr>
            <w:r>
              <w:rPr>
                <w:rFonts w:ascii="Times New Roman" w:hAnsi="Times New Roman" w:eastAsia="仿宋_GB2312"/>
                <w:sz w:val="18"/>
                <w:szCs w:val="18"/>
              </w:rPr>
              <w:t>10人以上死亡，或50人以上重伤</w:t>
            </w:r>
          </w:p>
        </w:tc>
        <w:tc>
          <w:tcPr>
            <w:tcW w:w="1320" w:type="dxa"/>
            <w:vAlign w:val="center"/>
          </w:tcPr>
          <w:p>
            <w:pPr>
              <w:rPr>
                <w:rFonts w:ascii="Times New Roman" w:hAnsi="Times New Roman" w:eastAsia="仿宋_GB2312"/>
                <w:sz w:val="18"/>
                <w:szCs w:val="18"/>
              </w:rPr>
            </w:pPr>
            <w:r>
              <w:rPr>
                <w:rFonts w:ascii="Times New Roman" w:hAnsi="Times New Roman" w:eastAsia="仿宋_GB2312"/>
                <w:sz w:val="18"/>
                <w:szCs w:val="18"/>
              </w:rPr>
              <w:t>5000以上</w:t>
            </w:r>
          </w:p>
        </w:tc>
        <w:tc>
          <w:tcPr>
            <w:tcW w:w="851"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公司</w:t>
            </w:r>
          </w:p>
          <w:p>
            <w:pPr>
              <w:jc w:val="center"/>
              <w:rPr>
                <w:rFonts w:ascii="Times New Roman" w:hAnsi="Times New Roman" w:eastAsia="仿宋_GB2312"/>
                <w:sz w:val="18"/>
                <w:szCs w:val="18"/>
              </w:rPr>
            </w:pPr>
            <w:r>
              <w:rPr>
                <w:rFonts w:ascii="Times New Roman" w:hAnsi="Times New Roman" w:eastAsia="仿宋_GB2312"/>
                <w:sz w:val="18"/>
                <w:szCs w:val="18"/>
              </w:rPr>
              <w:t>停产</w:t>
            </w:r>
          </w:p>
        </w:tc>
        <w:tc>
          <w:tcPr>
            <w:tcW w:w="1909" w:type="dxa"/>
            <w:vAlign w:val="center"/>
          </w:tcPr>
          <w:p>
            <w:pPr>
              <w:rPr>
                <w:rFonts w:ascii="Times New Roman" w:hAnsi="Times New Roman" w:eastAsia="仿宋_GB2312"/>
                <w:sz w:val="18"/>
                <w:szCs w:val="18"/>
              </w:rPr>
            </w:pPr>
            <w:r>
              <w:rPr>
                <w:rFonts w:ascii="Times New Roman" w:hAnsi="Times New Roman" w:eastAsia="仿宋_GB2312"/>
                <w:sz w:val="18"/>
                <w:szCs w:val="18"/>
              </w:rPr>
              <w:t>重大国际、国内影响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jc w:val="center"/>
        </w:trPr>
        <w:tc>
          <w:tcPr>
            <w:tcW w:w="77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40</w:t>
            </w:r>
          </w:p>
        </w:tc>
        <w:tc>
          <w:tcPr>
            <w:tcW w:w="1660" w:type="dxa"/>
            <w:vAlign w:val="center"/>
          </w:tcPr>
          <w:p>
            <w:pPr>
              <w:rPr>
                <w:rFonts w:ascii="Times New Roman" w:hAnsi="Times New Roman" w:eastAsia="仿宋_GB2312"/>
                <w:sz w:val="18"/>
                <w:szCs w:val="18"/>
              </w:rPr>
            </w:pPr>
            <w:r>
              <w:rPr>
                <w:rFonts w:ascii="Times New Roman" w:hAnsi="Times New Roman" w:eastAsia="仿宋_GB2312"/>
                <w:sz w:val="18"/>
                <w:szCs w:val="18"/>
              </w:rPr>
              <w:t>违反法律法规和标准</w:t>
            </w:r>
          </w:p>
        </w:tc>
        <w:tc>
          <w:tcPr>
            <w:tcW w:w="2129" w:type="dxa"/>
            <w:vAlign w:val="center"/>
          </w:tcPr>
          <w:p>
            <w:pPr>
              <w:rPr>
                <w:rFonts w:ascii="Times New Roman" w:hAnsi="Times New Roman" w:eastAsia="仿宋_GB2312"/>
                <w:sz w:val="18"/>
                <w:szCs w:val="18"/>
              </w:rPr>
            </w:pPr>
            <w:r>
              <w:rPr>
                <w:rFonts w:ascii="Times New Roman" w:hAnsi="Times New Roman" w:eastAsia="仿宋_GB2312"/>
                <w:sz w:val="18"/>
                <w:szCs w:val="18"/>
              </w:rPr>
              <w:t>3人以上10人以下死亡，或10人以上50人以下重伤</w:t>
            </w:r>
          </w:p>
        </w:tc>
        <w:tc>
          <w:tcPr>
            <w:tcW w:w="1320" w:type="dxa"/>
            <w:vAlign w:val="center"/>
          </w:tcPr>
          <w:p>
            <w:pPr>
              <w:rPr>
                <w:rFonts w:ascii="Times New Roman" w:hAnsi="Times New Roman" w:eastAsia="仿宋_GB2312"/>
                <w:sz w:val="18"/>
                <w:szCs w:val="18"/>
              </w:rPr>
            </w:pPr>
            <w:r>
              <w:rPr>
                <w:rFonts w:ascii="Times New Roman" w:hAnsi="Times New Roman" w:eastAsia="仿宋_GB2312"/>
                <w:sz w:val="18"/>
                <w:szCs w:val="18"/>
              </w:rPr>
              <w:t>1000以上</w:t>
            </w:r>
          </w:p>
        </w:tc>
        <w:tc>
          <w:tcPr>
            <w:tcW w:w="851"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装置</w:t>
            </w:r>
          </w:p>
          <w:p>
            <w:pPr>
              <w:jc w:val="center"/>
              <w:rPr>
                <w:rFonts w:ascii="Times New Roman" w:hAnsi="Times New Roman" w:eastAsia="仿宋_GB2312"/>
                <w:sz w:val="18"/>
                <w:szCs w:val="18"/>
              </w:rPr>
            </w:pPr>
            <w:r>
              <w:rPr>
                <w:rFonts w:ascii="Times New Roman" w:hAnsi="Times New Roman" w:eastAsia="仿宋_GB2312"/>
                <w:sz w:val="18"/>
                <w:szCs w:val="18"/>
              </w:rPr>
              <w:t>停工</w:t>
            </w:r>
          </w:p>
        </w:tc>
        <w:tc>
          <w:tcPr>
            <w:tcW w:w="1909" w:type="dxa"/>
            <w:vAlign w:val="center"/>
          </w:tcPr>
          <w:p>
            <w:pPr>
              <w:rPr>
                <w:rFonts w:ascii="Times New Roman" w:hAnsi="Times New Roman" w:eastAsia="仿宋_GB2312"/>
                <w:sz w:val="18"/>
                <w:szCs w:val="18"/>
              </w:rPr>
            </w:pPr>
            <w:r>
              <w:rPr>
                <w:rFonts w:ascii="Times New Roman" w:hAnsi="Times New Roman" w:eastAsia="仿宋_GB2312"/>
                <w:sz w:val="18"/>
                <w:szCs w:val="18"/>
              </w:rPr>
              <w:t>行业内、省内影响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1" w:hRule="atLeast"/>
          <w:jc w:val="center"/>
        </w:trPr>
        <w:tc>
          <w:tcPr>
            <w:tcW w:w="77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1660" w:type="dxa"/>
            <w:vAlign w:val="center"/>
          </w:tcPr>
          <w:p>
            <w:pPr>
              <w:rPr>
                <w:rFonts w:ascii="Times New Roman" w:hAnsi="Times New Roman" w:eastAsia="仿宋_GB2312"/>
                <w:sz w:val="18"/>
                <w:szCs w:val="18"/>
              </w:rPr>
            </w:pPr>
            <w:r>
              <w:rPr>
                <w:rFonts w:ascii="Times New Roman" w:hAnsi="Times New Roman" w:eastAsia="仿宋_GB2312"/>
                <w:sz w:val="18"/>
                <w:szCs w:val="18"/>
              </w:rPr>
              <w:t>潜在违反法规和标准</w:t>
            </w:r>
          </w:p>
        </w:tc>
        <w:tc>
          <w:tcPr>
            <w:tcW w:w="2129" w:type="dxa"/>
            <w:vAlign w:val="center"/>
          </w:tcPr>
          <w:p>
            <w:pPr>
              <w:rPr>
                <w:rFonts w:ascii="Times New Roman" w:hAnsi="Times New Roman" w:eastAsia="仿宋_GB2312"/>
                <w:sz w:val="18"/>
                <w:szCs w:val="18"/>
              </w:rPr>
            </w:pPr>
            <w:r>
              <w:rPr>
                <w:rFonts w:ascii="Times New Roman" w:hAnsi="Times New Roman" w:eastAsia="仿宋_GB2312"/>
                <w:sz w:val="18"/>
                <w:szCs w:val="18"/>
              </w:rPr>
              <w:t>3人以下死亡，或10人以下重伤</w:t>
            </w:r>
          </w:p>
        </w:tc>
        <w:tc>
          <w:tcPr>
            <w:tcW w:w="1320" w:type="dxa"/>
            <w:vAlign w:val="center"/>
          </w:tcPr>
          <w:p>
            <w:pPr>
              <w:rPr>
                <w:rFonts w:ascii="Times New Roman" w:hAnsi="Times New Roman" w:eastAsia="仿宋_GB2312"/>
                <w:sz w:val="18"/>
                <w:szCs w:val="18"/>
              </w:rPr>
            </w:pPr>
            <w:r>
              <w:rPr>
                <w:rFonts w:ascii="Times New Roman" w:hAnsi="Times New Roman" w:eastAsia="仿宋_GB2312"/>
                <w:sz w:val="18"/>
                <w:szCs w:val="18"/>
              </w:rPr>
              <w:t>100以上</w:t>
            </w:r>
          </w:p>
        </w:tc>
        <w:tc>
          <w:tcPr>
            <w:tcW w:w="851"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部分装置停工</w:t>
            </w:r>
          </w:p>
        </w:tc>
        <w:tc>
          <w:tcPr>
            <w:tcW w:w="1909" w:type="dxa"/>
            <w:vAlign w:val="center"/>
          </w:tcPr>
          <w:p>
            <w:pPr>
              <w:rPr>
                <w:rFonts w:ascii="Times New Roman" w:hAnsi="Times New Roman" w:eastAsia="仿宋_GB2312"/>
                <w:sz w:val="18"/>
                <w:szCs w:val="18"/>
              </w:rPr>
            </w:pPr>
            <w:r>
              <w:rPr>
                <w:rFonts w:ascii="Times New Roman" w:hAnsi="Times New Roman" w:eastAsia="仿宋_GB2312"/>
                <w:sz w:val="18"/>
                <w:szCs w:val="18"/>
              </w:rPr>
              <w:t>地区影响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4" w:hRule="atLeast"/>
          <w:jc w:val="center"/>
        </w:trPr>
        <w:tc>
          <w:tcPr>
            <w:tcW w:w="77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660" w:type="dxa"/>
            <w:vAlign w:val="center"/>
          </w:tcPr>
          <w:p>
            <w:pPr>
              <w:rPr>
                <w:rFonts w:ascii="Times New Roman" w:hAnsi="Times New Roman" w:eastAsia="仿宋_GB2312"/>
                <w:sz w:val="18"/>
                <w:szCs w:val="18"/>
              </w:rPr>
            </w:pPr>
            <w:r>
              <w:rPr>
                <w:rFonts w:ascii="Times New Roman" w:hAnsi="Times New Roman" w:eastAsia="仿宋_GB2312"/>
                <w:sz w:val="18"/>
                <w:szCs w:val="18"/>
              </w:rPr>
              <w:t>不符合上级或行业的安全方针、制度、规定等</w:t>
            </w:r>
          </w:p>
        </w:tc>
        <w:tc>
          <w:tcPr>
            <w:tcW w:w="2129" w:type="dxa"/>
            <w:vAlign w:val="center"/>
          </w:tcPr>
          <w:p>
            <w:pPr>
              <w:rPr>
                <w:rFonts w:ascii="Times New Roman" w:hAnsi="Times New Roman" w:eastAsia="仿宋_GB2312"/>
                <w:sz w:val="18"/>
                <w:szCs w:val="18"/>
              </w:rPr>
            </w:pPr>
            <w:r>
              <w:rPr>
                <w:rFonts w:ascii="Times New Roman" w:hAnsi="Times New Roman" w:eastAsia="仿宋_GB2312"/>
                <w:sz w:val="18"/>
                <w:szCs w:val="18"/>
              </w:rPr>
              <w:t>丧失劳动力、截肢、骨折、听力丧失、慢性病</w:t>
            </w:r>
          </w:p>
        </w:tc>
        <w:tc>
          <w:tcPr>
            <w:tcW w:w="1320" w:type="dxa"/>
            <w:vAlign w:val="center"/>
          </w:tcPr>
          <w:p>
            <w:pPr>
              <w:rPr>
                <w:rFonts w:ascii="Times New Roman" w:hAnsi="Times New Roman" w:eastAsia="仿宋_GB2312"/>
                <w:sz w:val="18"/>
                <w:szCs w:val="18"/>
              </w:rPr>
            </w:pPr>
            <w:r>
              <w:rPr>
                <w:rFonts w:ascii="Times New Roman" w:hAnsi="Times New Roman" w:eastAsia="仿宋_GB2312"/>
                <w:sz w:val="18"/>
                <w:szCs w:val="18"/>
              </w:rPr>
              <w:t>10万以上</w:t>
            </w:r>
          </w:p>
        </w:tc>
        <w:tc>
          <w:tcPr>
            <w:tcW w:w="851"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部分设备停工</w:t>
            </w:r>
          </w:p>
        </w:tc>
        <w:tc>
          <w:tcPr>
            <w:tcW w:w="1909" w:type="dxa"/>
            <w:vAlign w:val="center"/>
          </w:tcPr>
          <w:p>
            <w:pPr>
              <w:rPr>
                <w:rFonts w:ascii="Times New Roman" w:hAnsi="Times New Roman" w:eastAsia="仿宋_GB2312"/>
                <w:sz w:val="18"/>
                <w:szCs w:val="18"/>
              </w:rPr>
            </w:pPr>
            <w:r>
              <w:rPr>
                <w:rFonts w:ascii="Times New Roman" w:hAnsi="Times New Roman" w:eastAsia="仿宋_GB2312"/>
                <w:sz w:val="18"/>
                <w:szCs w:val="18"/>
              </w:rPr>
              <w:t>公司及周边范围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jc w:val="center"/>
        </w:trPr>
        <w:tc>
          <w:tcPr>
            <w:tcW w:w="77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660" w:type="dxa"/>
            <w:vAlign w:val="center"/>
          </w:tcPr>
          <w:p>
            <w:pPr>
              <w:rPr>
                <w:rFonts w:ascii="Times New Roman" w:hAnsi="Times New Roman" w:eastAsia="仿宋_GB2312"/>
                <w:sz w:val="18"/>
                <w:szCs w:val="18"/>
              </w:rPr>
            </w:pPr>
            <w:r>
              <w:rPr>
                <w:rFonts w:ascii="Times New Roman" w:hAnsi="Times New Roman" w:eastAsia="仿宋_GB2312"/>
                <w:sz w:val="18"/>
                <w:szCs w:val="18"/>
              </w:rPr>
              <w:t>不符合公司的安全操作程序、规定</w:t>
            </w:r>
          </w:p>
        </w:tc>
        <w:tc>
          <w:tcPr>
            <w:tcW w:w="2129" w:type="dxa"/>
            <w:vAlign w:val="center"/>
          </w:tcPr>
          <w:p>
            <w:pPr>
              <w:rPr>
                <w:rFonts w:ascii="Times New Roman" w:hAnsi="Times New Roman" w:eastAsia="仿宋_GB2312"/>
                <w:sz w:val="18"/>
                <w:szCs w:val="18"/>
              </w:rPr>
            </w:pPr>
            <w:r>
              <w:rPr>
                <w:rFonts w:ascii="Times New Roman" w:hAnsi="Times New Roman" w:eastAsia="仿宋_GB2312"/>
                <w:sz w:val="18"/>
                <w:szCs w:val="18"/>
              </w:rPr>
              <w:t>轻微受伤、间歇不舒服</w:t>
            </w:r>
          </w:p>
        </w:tc>
        <w:tc>
          <w:tcPr>
            <w:tcW w:w="1320" w:type="dxa"/>
            <w:vAlign w:val="center"/>
          </w:tcPr>
          <w:p>
            <w:pPr>
              <w:rPr>
                <w:rFonts w:ascii="Times New Roman" w:hAnsi="Times New Roman" w:eastAsia="仿宋_GB2312"/>
                <w:sz w:val="18"/>
                <w:szCs w:val="18"/>
              </w:rPr>
            </w:pPr>
            <w:r>
              <w:rPr>
                <w:rFonts w:ascii="Times New Roman" w:hAnsi="Times New Roman" w:eastAsia="仿宋_GB2312"/>
                <w:sz w:val="18"/>
                <w:szCs w:val="18"/>
              </w:rPr>
              <w:t>1万以上</w:t>
            </w:r>
          </w:p>
        </w:tc>
        <w:tc>
          <w:tcPr>
            <w:tcW w:w="851"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1套设备停工</w:t>
            </w:r>
          </w:p>
        </w:tc>
        <w:tc>
          <w:tcPr>
            <w:tcW w:w="1909" w:type="dxa"/>
            <w:vAlign w:val="center"/>
          </w:tcPr>
          <w:p>
            <w:pPr>
              <w:rPr>
                <w:rFonts w:ascii="Times New Roman" w:hAnsi="Times New Roman" w:eastAsia="仿宋_GB2312"/>
                <w:sz w:val="18"/>
                <w:szCs w:val="18"/>
              </w:rPr>
            </w:pPr>
            <w:r>
              <w:rPr>
                <w:rFonts w:ascii="Times New Roman" w:hAnsi="Times New Roman" w:eastAsia="仿宋_GB2312"/>
                <w:sz w:val="18"/>
                <w:szCs w:val="18"/>
              </w:rPr>
              <w:t>引人关注，不利于基本的安全卫生要求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772"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660" w:type="dxa"/>
            <w:vAlign w:val="center"/>
          </w:tcPr>
          <w:p>
            <w:pPr>
              <w:rPr>
                <w:rFonts w:ascii="Times New Roman" w:hAnsi="Times New Roman" w:eastAsia="仿宋_GB2312"/>
                <w:sz w:val="18"/>
                <w:szCs w:val="18"/>
              </w:rPr>
            </w:pPr>
            <w:r>
              <w:rPr>
                <w:rFonts w:ascii="Times New Roman" w:hAnsi="Times New Roman" w:eastAsia="仿宋_GB2312"/>
                <w:sz w:val="18"/>
                <w:szCs w:val="18"/>
              </w:rPr>
              <w:t>完全符合</w:t>
            </w:r>
          </w:p>
        </w:tc>
        <w:tc>
          <w:tcPr>
            <w:tcW w:w="2129" w:type="dxa"/>
            <w:vAlign w:val="center"/>
          </w:tcPr>
          <w:p>
            <w:pPr>
              <w:rPr>
                <w:rFonts w:ascii="Times New Roman" w:hAnsi="Times New Roman" w:eastAsia="仿宋_GB2312"/>
                <w:sz w:val="18"/>
                <w:szCs w:val="18"/>
              </w:rPr>
            </w:pPr>
            <w:r>
              <w:rPr>
                <w:rFonts w:ascii="Times New Roman" w:hAnsi="Times New Roman" w:eastAsia="仿宋_GB2312"/>
                <w:sz w:val="18"/>
                <w:szCs w:val="18"/>
              </w:rPr>
              <w:t>无伤亡</w:t>
            </w:r>
          </w:p>
        </w:tc>
        <w:tc>
          <w:tcPr>
            <w:tcW w:w="1320" w:type="dxa"/>
            <w:vAlign w:val="center"/>
          </w:tcPr>
          <w:p>
            <w:pPr>
              <w:rPr>
                <w:rFonts w:ascii="Times New Roman" w:hAnsi="Times New Roman" w:eastAsia="仿宋_GB2312"/>
                <w:sz w:val="18"/>
                <w:szCs w:val="18"/>
              </w:rPr>
            </w:pPr>
            <w:r>
              <w:rPr>
                <w:rFonts w:ascii="Times New Roman" w:hAnsi="Times New Roman" w:eastAsia="仿宋_GB2312"/>
                <w:sz w:val="18"/>
                <w:szCs w:val="18"/>
              </w:rPr>
              <w:t>1万以下</w:t>
            </w:r>
          </w:p>
        </w:tc>
        <w:tc>
          <w:tcPr>
            <w:tcW w:w="851" w:type="dxa"/>
            <w:vAlign w:val="center"/>
          </w:tcPr>
          <w:p>
            <w:pPr>
              <w:jc w:val="center"/>
              <w:rPr>
                <w:rFonts w:ascii="Times New Roman" w:hAnsi="Times New Roman" w:eastAsia="仿宋_GB2312"/>
                <w:sz w:val="18"/>
                <w:szCs w:val="18"/>
              </w:rPr>
            </w:pPr>
            <w:r>
              <w:rPr>
                <w:rFonts w:ascii="Times New Roman" w:hAnsi="Times New Roman" w:eastAsia="仿宋_GB2312"/>
                <w:sz w:val="18"/>
                <w:szCs w:val="18"/>
              </w:rPr>
              <w:t>没有</w:t>
            </w:r>
          </w:p>
          <w:p>
            <w:pPr>
              <w:jc w:val="center"/>
              <w:rPr>
                <w:rFonts w:ascii="Times New Roman" w:hAnsi="Times New Roman" w:eastAsia="仿宋_GB2312"/>
                <w:sz w:val="18"/>
                <w:szCs w:val="18"/>
              </w:rPr>
            </w:pPr>
            <w:r>
              <w:rPr>
                <w:rFonts w:ascii="Times New Roman" w:hAnsi="Times New Roman" w:eastAsia="仿宋_GB2312"/>
                <w:sz w:val="18"/>
                <w:szCs w:val="18"/>
              </w:rPr>
              <w:t>停工</w:t>
            </w:r>
          </w:p>
        </w:tc>
        <w:tc>
          <w:tcPr>
            <w:tcW w:w="1909" w:type="dxa"/>
            <w:vAlign w:val="center"/>
          </w:tcPr>
          <w:p>
            <w:pPr>
              <w:rPr>
                <w:rFonts w:ascii="Times New Roman" w:hAnsi="Times New Roman" w:eastAsia="仿宋_GB2312"/>
                <w:sz w:val="18"/>
                <w:szCs w:val="18"/>
              </w:rPr>
            </w:pPr>
            <w:r>
              <w:rPr>
                <w:rFonts w:ascii="Times New Roman" w:hAnsi="Times New Roman" w:eastAsia="仿宋_GB2312"/>
                <w:sz w:val="18"/>
                <w:szCs w:val="18"/>
              </w:rPr>
              <w:t>形象没有受损</w:t>
            </w:r>
          </w:p>
        </w:tc>
      </w:tr>
    </w:tbl>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r>
        <w:rPr>
          <w:rFonts w:ascii="Times New Roman" w:eastAsia="仿宋_GB2312"/>
        </w:rPr>
        <w:t>A.2-4  风险等级判定准则及控制措施（D）</w:t>
      </w:r>
    </w:p>
    <w:tbl>
      <w:tblPr>
        <w:tblStyle w:val="17"/>
        <w:tblW w:w="86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3"/>
        <w:gridCol w:w="696"/>
        <w:gridCol w:w="1134"/>
        <w:gridCol w:w="3980"/>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343" w:type="dxa"/>
            <w:tcBorders>
              <w:bottom w:val="nil"/>
            </w:tcBorders>
            <w:vAlign w:val="center"/>
          </w:tcPr>
          <w:p>
            <w:pPr>
              <w:jc w:val="center"/>
              <w:rPr>
                <w:rFonts w:ascii="Times New Roman" w:hAnsi="Times New Roman" w:eastAsia="仿宋_GB2312"/>
                <w:b/>
                <w:bCs/>
                <w:spacing w:val="20"/>
                <w:sz w:val="18"/>
                <w:szCs w:val="18"/>
              </w:rPr>
            </w:pPr>
            <w:r>
              <w:rPr>
                <w:rFonts w:ascii="Times New Roman" w:hAnsi="Times New Roman" w:eastAsia="仿宋_GB2312"/>
                <w:b/>
                <w:bCs/>
                <w:spacing w:val="20"/>
                <w:sz w:val="18"/>
                <w:szCs w:val="18"/>
              </w:rPr>
              <w:t>风险值</w:t>
            </w:r>
          </w:p>
        </w:tc>
        <w:tc>
          <w:tcPr>
            <w:tcW w:w="1830" w:type="dxa"/>
            <w:gridSpan w:val="2"/>
            <w:vAlign w:val="center"/>
          </w:tcPr>
          <w:p>
            <w:pPr>
              <w:jc w:val="center"/>
              <w:rPr>
                <w:rFonts w:ascii="Times New Roman" w:hAnsi="Times New Roman" w:eastAsia="仿宋_GB2312"/>
                <w:b/>
                <w:bCs/>
                <w:spacing w:val="20"/>
                <w:sz w:val="18"/>
                <w:szCs w:val="18"/>
              </w:rPr>
            </w:pPr>
            <w:r>
              <w:rPr>
                <w:rFonts w:ascii="Times New Roman" w:hAnsi="Times New Roman" w:eastAsia="仿宋_GB2312"/>
                <w:b/>
                <w:bCs/>
                <w:spacing w:val="20"/>
                <w:sz w:val="18"/>
                <w:szCs w:val="18"/>
              </w:rPr>
              <w:t>风险等级</w:t>
            </w:r>
          </w:p>
        </w:tc>
        <w:tc>
          <w:tcPr>
            <w:tcW w:w="3980" w:type="dxa"/>
            <w:vAlign w:val="center"/>
          </w:tcPr>
          <w:p>
            <w:pPr>
              <w:jc w:val="center"/>
              <w:rPr>
                <w:rFonts w:ascii="Times New Roman" w:hAnsi="Times New Roman" w:eastAsia="仿宋_GB2312"/>
                <w:b/>
                <w:bCs/>
                <w:spacing w:val="20"/>
                <w:sz w:val="18"/>
                <w:szCs w:val="18"/>
              </w:rPr>
            </w:pPr>
            <w:r>
              <w:rPr>
                <w:rFonts w:ascii="Times New Roman" w:hAnsi="Times New Roman" w:eastAsia="仿宋_GB2312"/>
                <w:b/>
                <w:bCs/>
                <w:spacing w:val="20"/>
                <w:sz w:val="18"/>
                <w:szCs w:val="18"/>
              </w:rPr>
              <w:t>应采取的行动/控制措施</w:t>
            </w:r>
          </w:p>
        </w:tc>
        <w:tc>
          <w:tcPr>
            <w:tcW w:w="1458" w:type="dxa"/>
            <w:vAlign w:val="center"/>
          </w:tcPr>
          <w:p>
            <w:pPr>
              <w:jc w:val="center"/>
              <w:rPr>
                <w:rFonts w:ascii="Times New Roman" w:hAnsi="Times New Roman" w:eastAsia="仿宋_GB2312"/>
                <w:b/>
                <w:bCs/>
                <w:spacing w:val="20"/>
                <w:sz w:val="18"/>
                <w:szCs w:val="18"/>
              </w:rPr>
            </w:pPr>
            <w:r>
              <w:rPr>
                <w:rFonts w:ascii="Times New Roman" w:hAnsi="Times New Roman" w:eastAsia="仿宋_GB2312"/>
                <w:b/>
                <w:bCs/>
                <w:spacing w:val="20"/>
                <w:sz w:val="18"/>
                <w:szCs w:val="18"/>
              </w:rPr>
              <w:t>实施期限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1343" w:type="dxa"/>
            <w:tcBorders>
              <w:bottom w:val="single" w:color="auto" w:sz="4" w:space="0"/>
            </w:tcBorders>
            <w:shd w:val="clear" w:color="auto" w:fill="FF0000"/>
            <w:vAlign w:val="center"/>
          </w:tcPr>
          <w:p>
            <w:pPr>
              <w:jc w:val="center"/>
              <w:rPr>
                <w:rFonts w:ascii="Times New Roman" w:hAnsi="Times New Roman" w:eastAsia="仿宋_GB2312"/>
                <w:b/>
                <w:bCs/>
                <w:spacing w:val="20"/>
                <w:sz w:val="18"/>
                <w:szCs w:val="18"/>
              </w:rPr>
            </w:pPr>
            <w:r>
              <w:rPr>
                <w:rFonts w:ascii="Times New Roman" w:hAnsi="Times New Roman" w:eastAsia="仿宋_GB2312"/>
                <w:b/>
                <w:bCs/>
                <w:sz w:val="18"/>
                <w:szCs w:val="18"/>
              </w:rPr>
              <w:t>&gt;</w:t>
            </w:r>
            <w:r>
              <w:rPr>
                <w:rFonts w:ascii="Times New Roman" w:hAnsi="Times New Roman" w:eastAsia="仿宋_GB2312"/>
                <w:b/>
                <w:bCs/>
                <w:spacing w:val="20"/>
                <w:sz w:val="18"/>
                <w:szCs w:val="18"/>
              </w:rPr>
              <w:t>320</w:t>
            </w:r>
          </w:p>
        </w:tc>
        <w:tc>
          <w:tcPr>
            <w:tcW w:w="696"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1级</w:t>
            </w:r>
          </w:p>
        </w:tc>
        <w:tc>
          <w:tcPr>
            <w:tcW w:w="11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极其危险</w:t>
            </w:r>
          </w:p>
        </w:tc>
        <w:tc>
          <w:tcPr>
            <w:tcW w:w="3980" w:type="dxa"/>
            <w:vAlign w:val="center"/>
          </w:tcPr>
          <w:p>
            <w:pPr>
              <w:rPr>
                <w:rFonts w:ascii="Times New Roman" w:hAnsi="Times New Roman" w:eastAsia="仿宋_GB2312"/>
                <w:spacing w:val="20"/>
                <w:sz w:val="18"/>
                <w:szCs w:val="18"/>
              </w:rPr>
            </w:pPr>
            <w:r>
              <w:rPr>
                <w:rFonts w:ascii="Times New Roman" w:hAnsi="Times New Roman" w:eastAsia="仿宋_GB2312"/>
                <w:spacing w:val="20"/>
                <w:sz w:val="18"/>
                <w:szCs w:val="18"/>
              </w:rPr>
              <w:t>在采取措施降低危害前,不能继续作业,对改进措施进行评估</w:t>
            </w:r>
          </w:p>
        </w:tc>
        <w:tc>
          <w:tcPr>
            <w:tcW w:w="1458" w:type="dxa"/>
            <w:vAlign w:val="center"/>
          </w:tcPr>
          <w:p>
            <w:pPr>
              <w:jc w:val="center"/>
              <w:rPr>
                <w:rFonts w:ascii="Times New Roman" w:hAnsi="Times New Roman" w:eastAsia="仿宋_GB2312"/>
                <w:spacing w:val="20"/>
                <w:sz w:val="18"/>
                <w:szCs w:val="18"/>
              </w:rPr>
            </w:pPr>
            <w:r>
              <w:rPr>
                <w:rFonts w:ascii="Times New Roman" w:hAnsi="Times New Roman" w:eastAsia="仿宋_GB2312"/>
                <w:spacing w:val="20"/>
                <w:sz w:val="18"/>
                <w:szCs w:val="18"/>
              </w:rPr>
              <w:t>立刻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0" w:hRule="atLeast"/>
          <w:jc w:val="center"/>
        </w:trPr>
        <w:tc>
          <w:tcPr>
            <w:tcW w:w="1343" w:type="dxa"/>
            <w:tcBorders>
              <w:bottom w:val="single" w:color="auto" w:sz="4" w:space="0"/>
            </w:tcBorders>
            <w:shd w:val="clear" w:color="auto" w:fill="FFC000"/>
            <w:vAlign w:val="center"/>
          </w:tcPr>
          <w:p>
            <w:pPr>
              <w:jc w:val="center"/>
              <w:rPr>
                <w:rFonts w:ascii="Times New Roman" w:hAnsi="Times New Roman" w:eastAsia="仿宋_GB2312"/>
                <w:b/>
                <w:bCs/>
                <w:spacing w:val="20"/>
                <w:sz w:val="18"/>
                <w:szCs w:val="18"/>
              </w:rPr>
            </w:pPr>
            <w:r>
              <w:rPr>
                <w:rFonts w:ascii="Times New Roman" w:hAnsi="Times New Roman" w:eastAsia="仿宋_GB2312"/>
                <w:b/>
                <w:bCs/>
                <w:sz w:val="18"/>
                <w:szCs w:val="18"/>
              </w:rPr>
              <w:t>160～320</w:t>
            </w:r>
          </w:p>
        </w:tc>
        <w:tc>
          <w:tcPr>
            <w:tcW w:w="696"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2级</w:t>
            </w:r>
          </w:p>
        </w:tc>
        <w:tc>
          <w:tcPr>
            <w:tcW w:w="11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高度危险</w:t>
            </w:r>
          </w:p>
        </w:tc>
        <w:tc>
          <w:tcPr>
            <w:tcW w:w="3980" w:type="dxa"/>
            <w:vAlign w:val="center"/>
          </w:tcPr>
          <w:p>
            <w:pPr>
              <w:rPr>
                <w:rFonts w:ascii="Times New Roman" w:hAnsi="Times New Roman" w:eastAsia="仿宋_GB2312"/>
                <w:spacing w:val="20"/>
                <w:sz w:val="18"/>
                <w:szCs w:val="18"/>
              </w:rPr>
            </w:pPr>
            <w:r>
              <w:rPr>
                <w:rFonts w:ascii="Times New Roman" w:hAnsi="Times New Roman" w:eastAsia="仿宋_GB2312"/>
                <w:spacing w:val="20"/>
                <w:sz w:val="18"/>
                <w:szCs w:val="18"/>
              </w:rPr>
              <w:t>采取紧急措施降低风险，建立运行控制程序，定期检查、测量及评估</w:t>
            </w:r>
          </w:p>
        </w:tc>
        <w:tc>
          <w:tcPr>
            <w:tcW w:w="1458" w:type="dxa"/>
            <w:vAlign w:val="center"/>
          </w:tcPr>
          <w:p>
            <w:pPr>
              <w:jc w:val="center"/>
              <w:rPr>
                <w:rFonts w:ascii="Times New Roman" w:hAnsi="Times New Roman" w:eastAsia="仿宋_GB2312"/>
                <w:spacing w:val="20"/>
                <w:sz w:val="18"/>
                <w:szCs w:val="18"/>
              </w:rPr>
            </w:pPr>
            <w:r>
              <w:rPr>
                <w:rFonts w:ascii="Times New Roman" w:hAnsi="Times New Roman" w:eastAsia="仿宋_GB2312"/>
                <w:spacing w:val="20"/>
                <w:sz w:val="18"/>
                <w:szCs w:val="18"/>
              </w:rPr>
              <w:t>立即或近期整改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jc w:val="center"/>
        </w:trPr>
        <w:tc>
          <w:tcPr>
            <w:tcW w:w="1343" w:type="dxa"/>
            <w:tcBorders>
              <w:bottom w:val="single" w:color="auto" w:sz="4" w:space="0"/>
            </w:tcBorders>
            <w:shd w:val="clear" w:color="auto" w:fill="FFFF00"/>
            <w:vAlign w:val="center"/>
          </w:tcPr>
          <w:p>
            <w:pPr>
              <w:jc w:val="center"/>
              <w:rPr>
                <w:rFonts w:ascii="Times New Roman" w:hAnsi="Times New Roman" w:eastAsia="仿宋_GB2312"/>
                <w:b/>
                <w:bCs/>
                <w:spacing w:val="20"/>
                <w:sz w:val="18"/>
                <w:szCs w:val="18"/>
              </w:rPr>
            </w:pPr>
            <w:r>
              <w:rPr>
                <w:rFonts w:ascii="Times New Roman" w:hAnsi="Times New Roman" w:eastAsia="仿宋_GB2312"/>
                <w:sz w:val="18"/>
                <w:szCs w:val="18"/>
              </w:rPr>
              <w:t>70～160</w:t>
            </w:r>
          </w:p>
        </w:tc>
        <w:tc>
          <w:tcPr>
            <w:tcW w:w="696"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3级</w:t>
            </w:r>
          </w:p>
        </w:tc>
        <w:tc>
          <w:tcPr>
            <w:tcW w:w="11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显著危险</w:t>
            </w:r>
          </w:p>
        </w:tc>
        <w:tc>
          <w:tcPr>
            <w:tcW w:w="3980" w:type="dxa"/>
            <w:vAlign w:val="center"/>
          </w:tcPr>
          <w:p>
            <w:pPr>
              <w:rPr>
                <w:rFonts w:ascii="Times New Roman" w:hAnsi="Times New Roman" w:eastAsia="仿宋_GB2312"/>
                <w:spacing w:val="20"/>
                <w:sz w:val="18"/>
                <w:szCs w:val="18"/>
              </w:rPr>
            </w:pPr>
            <w:r>
              <w:rPr>
                <w:rFonts w:ascii="Times New Roman" w:hAnsi="Times New Roman" w:eastAsia="仿宋_GB2312"/>
                <w:spacing w:val="20"/>
                <w:sz w:val="18"/>
                <w:szCs w:val="18"/>
              </w:rPr>
              <w:t>可考虑建立目标、建立操作规程，加强培训及沟通</w:t>
            </w:r>
          </w:p>
        </w:tc>
        <w:tc>
          <w:tcPr>
            <w:tcW w:w="1458" w:type="dxa"/>
            <w:vAlign w:val="center"/>
          </w:tcPr>
          <w:p>
            <w:pPr>
              <w:jc w:val="center"/>
              <w:rPr>
                <w:rFonts w:ascii="Times New Roman" w:hAnsi="Times New Roman" w:eastAsia="仿宋_GB2312"/>
                <w:spacing w:val="20"/>
                <w:sz w:val="18"/>
                <w:szCs w:val="18"/>
              </w:rPr>
            </w:pPr>
            <w:r>
              <w:rPr>
                <w:rFonts w:ascii="Times New Roman" w:hAnsi="Times New Roman" w:eastAsia="仿宋_GB2312"/>
                <w:spacing w:val="20"/>
                <w:sz w:val="18"/>
                <w:szCs w:val="18"/>
              </w:rPr>
              <w:t>近期整改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3" w:hRule="atLeast"/>
          <w:jc w:val="center"/>
        </w:trPr>
        <w:tc>
          <w:tcPr>
            <w:tcW w:w="1343" w:type="dxa"/>
            <w:tcBorders>
              <w:bottom w:val="single" w:color="auto" w:sz="4" w:space="0"/>
            </w:tcBorders>
            <w:shd w:val="clear" w:color="auto" w:fill="00B0F0"/>
            <w:vAlign w:val="center"/>
          </w:tcPr>
          <w:p>
            <w:pPr>
              <w:jc w:val="center"/>
              <w:rPr>
                <w:rFonts w:ascii="Times New Roman" w:hAnsi="Times New Roman" w:eastAsia="仿宋_GB2312"/>
                <w:b/>
                <w:bCs/>
                <w:spacing w:val="20"/>
                <w:sz w:val="18"/>
                <w:szCs w:val="18"/>
              </w:rPr>
            </w:pPr>
            <w:r>
              <w:rPr>
                <w:rFonts w:ascii="Times New Roman" w:hAnsi="Times New Roman" w:eastAsia="仿宋_GB2312"/>
                <w:sz w:val="18"/>
                <w:szCs w:val="18"/>
              </w:rPr>
              <w:t>20～70</w:t>
            </w:r>
          </w:p>
        </w:tc>
        <w:tc>
          <w:tcPr>
            <w:tcW w:w="696"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4-1级</w:t>
            </w:r>
          </w:p>
        </w:tc>
        <w:tc>
          <w:tcPr>
            <w:tcW w:w="11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轻度危险</w:t>
            </w:r>
          </w:p>
        </w:tc>
        <w:tc>
          <w:tcPr>
            <w:tcW w:w="3980" w:type="dxa"/>
            <w:vAlign w:val="center"/>
          </w:tcPr>
          <w:p>
            <w:pPr>
              <w:rPr>
                <w:rFonts w:ascii="Times New Roman" w:hAnsi="Times New Roman" w:eastAsia="仿宋_GB2312"/>
                <w:spacing w:val="20"/>
                <w:sz w:val="18"/>
                <w:szCs w:val="18"/>
              </w:rPr>
            </w:pPr>
            <w:r>
              <w:rPr>
                <w:rFonts w:ascii="Times New Roman" w:hAnsi="Times New Roman" w:eastAsia="仿宋_GB2312"/>
                <w:spacing w:val="20"/>
                <w:sz w:val="18"/>
                <w:szCs w:val="18"/>
              </w:rPr>
              <w:t>可考虑建立操作规程、作业指导书，但需定期检查</w:t>
            </w:r>
          </w:p>
        </w:tc>
        <w:tc>
          <w:tcPr>
            <w:tcW w:w="1458" w:type="dxa"/>
            <w:vAlign w:val="center"/>
          </w:tcPr>
          <w:p>
            <w:pPr>
              <w:jc w:val="center"/>
              <w:rPr>
                <w:rFonts w:ascii="Times New Roman" w:hAnsi="Times New Roman" w:eastAsia="仿宋_GB2312"/>
                <w:spacing w:val="20"/>
                <w:sz w:val="18"/>
                <w:szCs w:val="18"/>
              </w:rPr>
            </w:pPr>
            <w:r>
              <w:rPr>
                <w:rFonts w:ascii="Times New Roman" w:hAnsi="Times New Roman" w:eastAsia="仿宋_GB2312"/>
                <w:spacing w:val="20"/>
                <w:sz w:val="18"/>
                <w:szCs w:val="18"/>
              </w:rPr>
              <w:t>有条件、有经费时治理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343" w:type="dxa"/>
            <w:shd w:val="clear" w:color="auto" w:fill="00B0F0"/>
            <w:vAlign w:val="center"/>
          </w:tcPr>
          <w:p>
            <w:pPr>
              <w:jc w:val="center"/>
              <w:rPr>
                <w:rFonts w:ascii="Times New Roman" w:hAnsi="Times New Roman" w:eastAsia="仿宋_GB2312"/>
                <w:b/>
                <w:bCs/>
                <w:spacing w:val="20"/>
                <w:sz w:val="18"/>
                <w:szCs w:val="18"/>
              </w:rPr>
            </w:pPr>
            <w:r>
              <w:rPr>
                <w:rFonts w:ascii="Times New Roman" w:hAnsi="Times New Roman" w:eastAsia="仿宋_GB2312"/>
                <w:sz w:val="18"/>
                <w:szCs w:val="18"/>
              </w:rPr>
              <w:t>&lt;20</w:t>
            </w:r>
          </w:p>
        </w:tc>
        <w:tc>
          <w:tcPr>
            <w:tcW w:w="696"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4-2级</w:t>
            </w:r>
          </w:p>
        </w:tc>
        <w:tc>
          <w:tcPr>
            <w:tcW w:w="1134" w:type="dxa"/>
            <w:vAlign w:val="center"/>
          </w:tcPr>
          <w:p>
            <w:pPr>
              <w:autoSpaceDE w:val="0"/>
              <w:autoSpaceDN w:val="0"/>
              <w:adjustRightInd w:val="0"/>
              <w:snapToGrid w:val="0"/>
              <w:jc w:val="center"/>
              <w:rPr>
                <w:rFonts w:ascii="Times New Roman" w:hAnsi="Times New Roman" w:eastAsia="仿宋_GB2312"/>
                <w:sz w:val="18"/>
                <w:szCs w:val="18"/>
              </w:rPr>
            </w:pPr>
            <w:r>
              <w:rPr>
                <w:rFonts w:ascii="Times New Roman" w:hAnsi="Times New Roman" w:eastAsia="仿宋_GB2312"/>
                <w:sz w:val="18"/>
                <w:szCs w:val="18"/>
              </w:rPr>
              <w:t>稍有危险</w:t>
            </w:r>
          </w:p>
        </w:tc>
        <w:tc>
          <w:tcPr>
            <w:tcW w:w="3980" w:type="dxa"/>
            <w:vAlign w:val="center"/>
          </w:tcPr>
          <w:p>
            <w:pPr>
              <w:rPr>
                <w:rFonts w:ascii="Times New Roman" w:hAnsi="Times New Roman" w:eastAsia="仿宋_GB2312"/>
                <w:spacing w:val="20"/>
                <w:sz w:val="18"/>
                <w:szCs w:val="18"/>
              </w:rPr>
            </w:pPr>
            <w:r>
              <w:rPr>
                <w:rFonts w:ascii="Times New Roman" w:hAnsi="Times New Roman" w:eastAsia="仿宋_GB2312"/>
                <w:spacing w:val="20"/>
                <w:sz w:val="18"/>
                <w:szCs w:val="18"/>
              </w:rPr>
              <w:t>无需采用控制措施，但需保存记录</w:t>
            </w:r>
          </w:p>
        </w:tc>
        <w:tc>
          <w:tcPr>
            <w:tcW w:w="1458" w:type="dxa"/>
            <w:vAlign w:val="center"/>
          </w:tcPr>
          <w:p>
            <w:pPr>
              <w:jc w:val="center"/>
              <w:rPr>
                <w:rFonts w:ascii="Times New Roman" w:hAnsi="Times New Roman" w:eastAsia="仿宋_GB2312"/>
                <w:spacing w:val="20"/>
                <w:sz w:val="18"/>
                <w:szCs w:val="18"/>
              </w:rPr>
            </w:pPr>
            <w:r>
              <w:rPr>
                <w:rFonts w:ascii="Times New Roman" w:hAnsi="Times New Roman" w:eastAsia="仿宋_GB2312"/>
                <w:spacing w:val="20"/>
                <w:sz w:val="18"/>
                <w:szCs w:val="18"/>
              </w:rPr>
              <w:t>/</w:t>
            </w:r>
          </w:p>
        </w:tc>
      </w:tr>
    </w:tbl>
    <w:p>
      <w:pPr>
        <w:pStyle w:val="19"/>
        <w:ind w:firstLine="0" w:firstLineChars="0"/>
        <w:jc w:val="left"/>
        <w:rPr>
          <w:rFonts w:ascii="Times New Roman" w:eastAsia="仿宋_GB2312"/>
          <w:b/>
          <w:sz w:val="28"/>
          <w:szCs w:val="28"/>
        </w:rPr>
      </w:pPr>
      <w:bookmarkStart w:id="5" w:name="_Toc32433"/>
      <w:r>
        <w:rPr>
          <w:rFonts w:ascii="Times New Roman" w:eastAsia="仿宋_GB2312"/>
          <w:b/>
          <w:sz w:val="28"/>
          <w:szCs w:val="28"/>
        </w:rPr>
        <w:t>A.3作业条件风险程度评价——MES法</w:t>
      </w:r>
      <w:bookmarkEnd w:id="5"/>
    </w:p>
    <w:p>
      <w:pPr>
        <w:pStyle w:val="19"/>
        <w:ind w:firstLine="560"/>
        <w:rPr>
          <w:rFonts w:ascii="Times New Roman" w:eastAsia="仿宋_GB2312"/>
        </w:rPr>
      </w:pPr>
      <w:r>
        <w:rPr>
          <w:rFonts w:ascii="Times New Roman" w:eastAsia="仿宋_GB2312"/>
          <w:sz w:val="28"/>
          <w:szCs w:val="28"/>
        </w:rPr>
        <w:t>作业条件风险程度评价法（简称MES法），R= M×E×S ，其中R是危险性（也称风险度），是事故发生的可能性与事件后果的结合， M是控制措施的状态；E是人体暴露于危险状态的频繁程度或危险状态出现的频次;</w:t>
      </w:r>
      <w:r>
        <w:rPr>
          <w:rFonts w:ascii="Times New Roman" w:eastAsia="仿宋_GB2312"/>
        </w:rPr>
        <w:t xml:space="preserve"> </w:t>
      </w:r>
      <w:r>
        <w:rPr>
          <w:rFonts w:ascii="Times New Roman" w:eastAsia="仿宋_GB2312"/>
          <w:sz w:val="28"/>
          <w:szCs w:val="28"/>
        </w:rPr>
        <w:t>S是事故的可能后果；R值越大，说明危险性大、风险大。</w:t>
      </w:r>
    </w:p>
    <w:p>
      <w:pPr>
        <w:pStyle w:val="19"/>
        <w:ind w:firstLine="0" w:firstLineChars="0"/>
        <w:jc w:val="left"/>
        <w:rPr>
          <w:rFonts w:ascii="Times New Roman" w:eastAsia="仿宋_GB2312"/>
          <w:b/>
          <w:sz w:val="28"/>
          <w:szCs w:val="28"/>
        </w:rPr>
      </w:pPr>
      <w:bookmarkStart w:id="6" w:name="_Toc21816"/>
      <w:r>
        <w:rPr>
          <w:rFonts w:ascii="Times New Roman" w:eastAsia="仿宋_GB2312"/>
          <w:b/>
          <w:sz w:val="28"/>
          <w:szCs w:val="28"/>
        </w:rPr>
        <w:t>A.3.1控制措施的状态M</w:t>
      </w:r>
      <w:bookmarkEnd w:id="6"/>
    </w:p>
    <w:p>
      <w:pPr>
        <w:pStyle w:val="19"/>
        <w:ind w:firstLine="560"/>
        <w:rPr>
          <w:rFonts w:ascii="Times New Roman" w:eastAsia="仿宋_GB2312"/>
        </w:rPr>
      </w:pPr>
      <w:r>
        <w:rPr>
          <w:rFonts w:ascii="Times New Roman" w:eastAsia="仿宋_GB2312"/>
          <w:sz w:val="28"/>
          <w:szCs w:val="28"/>
        </w:rPr>
        <w:t>对于特定危害引起特定事故（这里“特定事故”一词既包含“类型”的含义，如碰伤、灼伤、轧入、高处坠落、触电、火灾、爆炸等；也包含“程度”的含义，如死亡、永久性部分丧失劳动能力、暂时性全部丧失劳动能力、仅需急救、轻微设备损失等）而言，无控制措施时发生的可能性较大，有减轻后果的应急措施时发生的可能性较小，有预防措施时发生的可能性最小。控制措施的状态M的赋值见表A.3-1。</w:t>
      </w:r>
    </w:p>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p>
    <w:p>
      <w:pPr>
        <w:pStyle w:val="30"/>
        <w:tabs>
          <w:tab w:val="clear" w:pos="180"/>
        </w:tabs>
        <w:spacing w:beforeLines="0" w:afterLines="0"/>
        <w:rPr>
          <w:rFonts w:ascii="Times New Roman" w:eastAsia="仿宋_GB2312"/>
        </w:rPr>
      </w:pPr>
      <w:r>
        <w:rPr>
          <w:rFonts w:ascii="Times New Roman" w:eastAsia="仿宋_GB2312"/>
        </w:rPr>
        <w:t>表A.3-1控制措施的状态M</w:t>
      </w:r>
    </w:p>
    <w:tbl>
      <w:tblPr>
        <w:tblStyle w:val="17"/>
        <w:tblW w:w="852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561"/>
        <w:gridCol w:w="596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295" w:hRule="atLeast"/>
          <w:jc w:val="center"/>
        </w:trPr>
        <w:tc>
          <w:tcPr>
            <w:tcW w:w="2561" w:type="dxa"/>
            <w:tcBorders>
              <w:top w:val="single" w:color="auto" w:sz="8" w:space="0"/>
              <w:left w:val="single" w:color="auto" w:sz="8" w:space="0"/>
            </w:tcBorders>
            <w:vAlign w:val="center"/>
          </w:tcPr>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分数值</w:t>
            </w:r>
          </w:p>
        </w:tc>
        <w:tc>
          <w:tcPr>
            <w:tcW w:w="5961" w:type="dxa"/>
            <w:tcBorders>
              <w:top w:val="single" w:color="auto" w:sz="8" w:space="0"/>
              <w:right w:val="single" w:color="auto" w:sz="8" w:space="0"/>
            </w:tcBorders>
            <w:vAlign w:val="center"/>
          </w:tcPr>
          <w:p>
            <w:pPr>
              <w:ind w:firstLine="360"/>
              <w:jc w:val="center"/>
              <w:rPr>
                <w:rFonts w:ascii="Times New Roman" w:hAnsi="Times New Roman" w:eastAsia="仿宋_GB2312"/>
                <w:b/>
                <w:sz w:val="18"/>
                <w:szCs w:val="18"/>
              </w:rPr>
            </w:pPr>
            <w:r>
              <w:rPr>
                <w:rFonts w:ascii="Times New Roman" w:hAnsi="Times New Roman" w:eastAsia="仿宋_GB2312"/>
                <w:b/>
                <w:sz w:val="18"/>
                <w:szCs w:val="18"/>
              </w:rPr>
              <w:t>控制措施的状态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154" w:hRule="atLeast"/>
          <w:jc w:val="center"/>
        </w:trPr>
        <w:tc>
          <w:tcPr>
            <w:tcW w:w="2561" w:type="dxa"/>
            <w:tcBorders>
              <w:top w:val="single" w:color="auto" w:sz="8" w:space="0"/>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5</w:t>
            </w:r>
          </w:p>
        </w:tc>
        <w:tc>
          <w:tcPr>
            <w:tcW w:w="5961" w:type="dxa"/>
            <w:tcBorders>
              <w:top w:val="single" w:color="auto" w:sz="8" w:space="0"/>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无控制措施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256" w:hRule="atLeast"/>
          <w:jc w:val="center"/>
        </w:trPr>
        <w:tc>
          <w:tcPr>
            <w:tcW w:w="2561" w:type="dxa"/>
            <w:tcBorders>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3</w:t>
            </w:r>
          </w:p>
        </w:tc>
        <w:tc>
          <w:tcPr>
            <w:tcW w:w="5961" w:type="dxa"/>
            <w:tcBorders>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有减轻后果的应急措施，如警报系统、个体防护用品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246" w:hRule="atLeast"/>
          <w:jc w:val="center"/>
        </w:trPr>
        <w:tc>
          <w:tcPr>
            <w:tcW w:w="2561" w:type="dxa"/>
            <w:tcBorders>
              <w:left w:val="single" w:color="auto" w:sz="8" w:space="0"/>
              <w:bottom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1</w:t>
            </w:r>
          </w:p>
        </w:tc>
        <w:tc>
          <w:tcPr>
            <w:tcW w:w="5961" w:type="dxa"/>
            <w:tcBorders>
              <w:bottom w:val="single" w:color="auto" w:sz="8" w:space="0"/>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 xml:space="preserve">有预防措施，如机器防护装置等，但须保证有效   </w:t>
            </w:r>
          </w:p>
        </w:tc>
      </w:tr>
    </w:tbl>
    <w:p>
      <w:pPr>
        <w:pStyle w:val="19"/>
        <w:ind w:firstLine="0" w:firstLineChars="0"/>
        <w:jc w:val="left"/>
        <w:rPr>
          <w:rFonts w:ascii="Times New Roman" w:eastAsia="仿宋_GB2312"/>
          <w:b/>
          <w:sz w:val="28"/>
          <w:szCs w:val="28"/>
        </w:rPr>
      </w:pPr>
      <w:bookmarkStart w:id="7" w:name="_Toc3232"/>
      <w:r>
        <w:rPr>
          <w:rFonts w:ascii="Times New Roman" w:eastAsia="仿宋_GB2312"/>
          <w:b/>
          <w:sz w:val="28"/>
          <w:szCs w:val="28"/>
        </w:rPr>
        <w:t>A.3.2人体暴露或危险状态出现的频繁程度E</w:t>
      </w:r>
      <w:bookmarkEnd w:id="7"/>
    </w:p>
    <w:p>
      <w:pPr>
        <w:pStyle w:val="19"/>
        <w:ind w:firstLine="560"/>
        <w:rPr>
          <w:rFonts w:ascii="Times New Roman" w:eastAsia="仿宋_GB2312"/>
        </w:rPr>
      </w:pPr>
      <w:r>
        <w:rPr>
          <w:rFonts w:ascii="Times New Roman" w:eastAsia="仿宋_GB2312"/>
          <w:sz w:val="28"/>
          <w:szCs w:val="28"/>
        </w:rPr>
        <w:t>人体暴露于危险状态的频繁程度越大，发生伤害事故的可能性越大；危险状态出现的频次越高，发生财产损失的可能性越大。人体暴露的频繁程度或危险状态出现的频次E的赋值见表A.3-2。</w:t>
      </w:r>
    </w:p>
    <w:p>
      <w:pPr>
        <w:pStyle w:val="30"/>
        <w:tabs>
          <w:tab w:val="clear" w:pos="180"/>
        </w:tabs>
        <w:spacing w:beforeLines="0" w:afterLines="0"/>
        <w:rPr>
          <w:rFonts w:ascii="Times New Roman" w:eastAsia="仿宋_GB2312"/>
        </w:rPr>
      </w:pPr>
      <w:r>
        <w:rPr>
          <w:rFonts w:ascii="Times New Roman" w:eastAsia="仿宋_GB2312"/>
        </w:rPr>
        <w:t>表A.3-2  人体暴露的频繁程度或危险状态出现的频次E</w:t>
      </w:r>
    </w:p>
    <w:tbl>
      <w:tblPr>
        <w:tblStyle w:val="17"/>
        <w:tblW w:w="852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43"/>
        <w:gridCol w:w="3772"/>
        <w:gridCol w:w="360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97" w:hRule="atLeast"/>
          <w:jc w:val="center"/>
        </w:trPr>
        <w:tc>
          <w:tcPr>
            <w:tcW w:w="1143" w:type="dxa"/>
            <w:tcBorders>
              <w:top w:val="single" w:color="auto" w:sz="8" w:space="0"/>
              <w:left w:val="single" w:color="auto" w:sz="8" w:space="0"/>
            </w:tcBorders>
            <w:vAlign w:val="center"/>
          </w:tcPr>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分数值</w:t>
            </w:r>
          </w:p>
        </w:tc>
        <w:tc>
          <w:tcPr>
            <w:tcW w:w="3772" w:type="dxa"/>
            <w:tcBorders>
              <w:top w:val="single" w:color="auto" w:sz="8" w:space="0"/>
            </w:tcBorders>
            <w:vAlign w:val="center"/>
          </w:tcPr>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E</w:t>
            </w:r>
            <w:r>
              <w:rPr>
                <w:rFonts w:ascii="Times New Roman" w:hAnsi="Times New Roman" w:eastAsia="仿宋_GB2312"/>
                <w:b/>
                <w:sz w:val="18"/>
                <w:szCs w:val="18"/>
                <w:vertAlign w:val="subscript"/>
              </w:rPr>
              <w:t>1</w:t>
            </w:r>
            <w:r>
              <w:rPr>
                <w:rFonts w:ascii="Times New Roman" w:hAnsi="Times New Roman" w:eastAsia="仿宋_GB2312"/>
                <w:b/>
                <w:sz w:val="18"/>
                <w:szCs w:val="18"/>
              </w:rPr>
              <w:t>（人身伤害和职业相关病症）：</w:t>
            </w:r>
          </w:p>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人体暴露于危险状态的频繁程度</w:t>
            </w:r>
          </w:p>
        </w:tc>
        <w:tc>
          <w:tcPr>
            <w:tcW w:w="3607" w:type="dxa"/>
            <w:tcBorders>
              <w:top w:val="single" w:color="auto" w:sz="8" w:space="0"/>
              <w:right w:val="single" w:color="auto" w:sz="8" w:space="0"/>
            </w:tcBorders>
            <w:vAlign w:val="center"/>
          </w:tcPr>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E</w:t>
            </w:r>
            <w:r>
              <w:rPr>
                <w:rFonts w:ascii="Times New Roman" w:hAnsi="Times New Roman" w:eastAsia="仿宋_GB2312"/>
                <w:b/>
                <w:sz w:val="18"/>
                <w:szCs w:val="18"/>
                <w:vertAlign w:val="subscript"/>
              </w:rPr>
              <w:t>2</w:t>
            </w:r>
            <w:r>
              <w:rPr>
                <w:rFonts w:ascii="Times New Roman" w:hAnsi="Times New Roman" w:eastAsia="仿宋_GB2312"/>
                <w:b/>
                <w:sz w:val="18"/>
                <w:szCs w:val="18"/>
              </w:rPr>
              <w:t>（财产损失和环境污染）：</w:t>
            </w:r>
          </w:p>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危险状态出现的频次</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9" w:hRule="atLeast"/>
          <w:jc w:val="center"/>
        </w:trPr>
        <w:tc>
          <w:tcPr>
            <w:tcW w:w="1143" w:type="dxa"/>
            <w:tcBorders>
              <w:top w:val="single" w:color="auto" w:sz="8" w:space="0"/>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10</w:t>
            </w:r>
          </w:p>
        </w:tc>
        <w:tc>
          <w:tcPr>
            <w:tcW w:w="3772" w:type="dxa"/>
            <w:tcBorders>
              <w:top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连续暴露</w:t>
            </w:r>
          </w:p>
        </w:tc>
        <w:tc>
          <w:tcPr>
            <w:tcW w:w="3607" w:type="dxa"/>
            <w:tcBorders>
              <w:top w:val="single" w:color="auto" w:sz="8" w:space="0"/>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常态</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52" w:hRule="atLeast"/>
          <w:jc w:val="center"/>
        </w:trPr>
        <w:tc>
          <w:tcPr>
            <w:tcW w:w="1143" w:type="dxa"/>
            <w:tcBorders>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6</w:t>
            </w:r>
          </w:p>
        </w:tc>
        <w:tc>
          <w:tcPr>
            <w:tcW w:w="3772" w:type="dxa"/>
            <w:vAlign w:val="center"/>
          </w:tcPr>
          <w:p>
            <w:pPr>
              <w:widowControl/>
              <w:rPr>
                <w:rFonts w:ascii="Times New Roman" w:hAnsi="Times New Roman" w:eastAsia="仿宋_GB2312"/>
                <w:sz w:val="18"/>
                <w:szCs w:val="18"/>
              </w:rPr>
            </w:pPr>
            <w:r>
              <w:rPr>
                <w:rFonts w:ascii="Times New Roman" w:hAnsi="Times New Roman" w:eastAsia="仿宋_GB2312"/>
                <w:sz w:val="18"/>
                <w:szCs w:val="18"/>
              </w:rPr>
              <w:t>每天工作时间内暴露</w:t>
            </w:r>
          </w:p>
        </w:tc>
        <w:tc>
          <w:tcPr>
            <w:tcW w:w="3607" w:type="dxa"/>
            <w:tcBorders>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每天工作时间出现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42" w:hRule="atLeast"/>
          <w:jc w:val="center"/>
        </w:trPr>
        <w:tc>
          <w:tcPr>
            <w:tcW w:w="1143" w:type="dxa"/>
            <w:tcBorders>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3</w:t>
            </w:r>
          </w:p>
        </w:tc>
        <w:tc>
          <w:tcPr>
            <w:tcW w:w="3772" w:type="dxa"/>
            <w:vAlign w:val="center"/>
          </w:tcPr>
          <w:p>
            <w:pPr>
              <w:widowControl/>
              <w:rPr>
                <w:rFonts w:ascii="Times New Roman" w:hAnsi="Times New Roman" w:eastAsia="仿宋_GB2312"/>
                <w:sz w:val="18"/>
                <w:szCs w:val="18"/>
              </w:rPr>
            </w:pPr>
            <w:r>
              <w:rPr>
                <w:rFonts w:ascii="Times New Roman" w:hAnsi="Times New Roman" w:eastAsia="仿宋_GB2312"/>
                <w:sz w:val="18"/>
                <w:szCs w:val="18"/>
              </w:rPr>
              <w:t>每周一次，或偶然暴露</w:t>
            </w:r>
          </w:p>
        </w:tc>
        <w:tc>
          <w:tcPr>
            <w:tcW w:w="3607" w:type="dxa"/>
            <w:tcBorders>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每周一次，或偶然出现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18" w:hRule="atLeast"/>
          <w:jc w:val="center"/>
        </w:trPr>
        <w:tc>
          <w:tcPr>
            <w:tcW w:w="1143" w:type="dxa"/>
            <w:tcBorders>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2</w:t>
            </w:r>
          </w:p>
        </w:tc>
        <w:tc>
          <w:tcPr>
            <w:tcW w:w="3772" w:type="dxa"/>
            <w:vAlign w:val="center"/>
          </w:tcPr>
          <w:p>
            <w:pPr>
              <w:widowControl/>
              <w:rPr>
                <w:rFonts w:ascii="Times New Roman" w:hAnsi="Times New Roman" w:eastAsia="仿宋_GB2312"/>
                <w:sz w:val="18"/>
                <w:szCs w:val="18"/>
              </w:rPr>
            </w:pPr>
            <w:r>
              <w:rPr>
                <w:rFonts w:ascii="Times New Roman" w:hAnsi="Times New Roman" w:eastAsia="仿宋_GB2312"/>
                <w:sz w:val="18"/>
                <w:szCs w:val="18"/>
              </w:rPr>
              <w:t>每月一次暴露</w:t>
            </w:r>
          </w:p>
        </w:tc>
        <w:tc>
          <w:tcPr>
            <w:tcW w:w="3607" w:type="dxa"/>
            <w:tcBorders>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每月一次出现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8" w:hRule="atLeast"/>
          <w:jc w:val="center"/>
        </w:trPr>
        <w:tc>
          <w:tcPr>
            <w:tcW w:w="1143" w:type="dxa"/>
            <w:tcBorders>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1</w:t>
            </w:r>
          </w:p>
        </w:tc>
        <w:tc>
          <w:tcPr>
            <w:tcW w:w="3772" w:type="dxa"/>
            <w:vAlign w:val="center"/>
          </w:tcPr>
          <w:p>
            <w:pPr>
              <w:widowControl/>
              <w:rPr>
                <w:rFonts w:ascii="Times New Roman" w:hAnsi="Times New Roman" w:eastAsia="仿宋_GB2312"/>
                <w:sz w:val="18"/>
                <w:szCs w:val="18"/>
              </w:rPr>
            </w:pPr>
            <w:r>
              <w:rPr>
                <w:rFonts w:ascii="Times New Roman" w:hAnsi="Times New Roman" w:eastAsia="仿宋_GB2312"/>
                <w:sz w:val="18"/>
                <w:szCs w:val="18"/>
              </w:rPr>
              <w:t>每年几次暴露</w:t>
            </w:r>
          </w:p>
        </w:tc>
        <w:tc>
          <w:tcPr>
            <w:tcW w:w="3607" w:type="dxa"/>
            <w:tcBorders>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每年几次出现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42" w:hRule="atLeast"/>
          <w:jc w:val="center"/>
        </w:trPr>
        <w:tc>
          <w:tcPr>
            <w:tcW w:w="1143" w:type="dxa"/>
            <w:tcBorders>
              <w:left w:val="single" w:color="auto" w:sz="8" w:space="0"/>
            </w:tcBorders>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0.5</w:t>
            </w:r>
          </w:p>
        </w:tc>
        <w:tc>
          <w:tcPr>
            <w:tcW w:w="3772" w:type="dxa"/>
            <w:vAlign w:val="center"/>
          </w:tcPr>
          <w:p>
            <w:pPr>
              <w:widowControl/>
              <w:rPr>
                <w:rFonts w:ascii="Times New Roman" w:hAnsi="Times New Roman" w:eastAsia="仿宋_GB2312"/>
                <w:sz w:val="18"/>
                <w:szCs w:val="18"/>
              </w:rPr>
            </w:pPr>
            <w:r>
              <w:rPr>
                <w:rFonts w:ascii="Times New Roman" w:hAnsi="Times New Roman" w:eastAsia="仿宋_GB2312"/>
                <w:sz w:val="18"/>
                <w:szCs w:val="18"/>
              </w:rPr>
              <w:t>更少的暴露</w:t>
            </w:r>
          </w:p>
        </w:tc>
        <w:tc>
          <w:tcPr>
            <w:tcW w:w="3607" w:type="dxa"/>
            <w:tcBorders>
              <w:right w:val="single" w:color="auto" w:sz="8" w:space="0"/>
            </w:tcBorders>
            <w:vAlign w:val="center"/>
          </w:tcPr>
          <w:p>
            <w:pPr>
              <w:widowControl/>
              <w:rPr>
                <w:rFonts w:ascii="Times New Roman" w:hAnsi="Times New Roman" w:eastAsia="仿宋_GB2312"/>
                <w:sz w:val="18"/>
                <w:szCs w:val="18"/>
              </w:rPr>
            </w:pPr>
            <w:r>
              <w:rPr>
                <w:rFonts w:ascii="Times New Roman" w:hAnsi="Times New Roman" w:eastAsia="仿宋_GB2312"/>
                <w:sz w:val="18"/>
                <w:szCs w:val="18"/>
              </w:rPr>
              <w:t>更少的出现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42" w:hRule="atLeast"/>
          <w:jc w:val="center"/>
        </w:trPr>
        <w:tc>
          <w:tcPr>
            <w:tcW w:w="8522" w:type="dxa"/>
            <w:gridSpan w:val="3"/>
            <w:tcBorders>
              <w:left w:val="single" w:color="auto" w:sz="8" w:space="0"/>
              <w:bottom w:val="single" w:color="auto" w:sz="8" w:space="0"/>
              <w:right w:val="single" w:color="auto" w:sz="8" w:space="0"/>
            </w:tcBorders>
            <w:vAlign w:val="center"/>
          </w:tcPr>
          <w:p>
            <w:pPr>
              <w:pStyle w:val="9"/>
              <w:ind w:firstLine="360"/>
              <w:rPr>
                <w:rFonts w:ascii="Times New Roman" w:hAnsi="Times New Roman" w:eastAsia="仿宋_GB2312"/>
                <w:sz w:val="18"/>
                <w:szCs w:val="18"/>
              </w:rPr>
            </w:pPr>
            <w:r>
              <w:rPr>
                <w:rFonts w:ascii="Times New Roman" w:hAnsi="Times New Roman" w:eastAsia="仿宋_GB2312"/>
                <w:sz w:val="18"/>
                <w:szCs w:val="18"/>
              </w:rPr>
              <w:t>注1：8小时不离工作岗位，算“连续暴露”；危险状态常存，算“常态”。</w:t>
            </w:r>
          </w:p>
          <w:p>
            <w:pPr>
              <w:widowControl/>
              <w:rPr>
                <w:rFonts w:ascii="Times New Roman" w:hAnsi="Times New Roman" w:eastAsia="仿宋_GB2312"/>
                <w:sz w:val="18"/>
                <w:szCs w:val="18"/>
              </w:rPr>
            </w:pPr>
            <w:r>
              <w:rPr>
                <w:rFonts w:ascii="Times New Roman" w:hAnsi="Times New Roman" w:eastAsia="仿宋_GB2312"/>
                <w:sz w:val="18"/>
                <w:szCs w:val="18"/>
              </w:rPr>
              <w:t>注2：8小时内暴露一至几次，算“每天工作时间暴露”；危险状态出现一至几次，算“每天工作时间出现”。</w:t>
            </w:r>
          </w:p>
        </w:tc>
      </w:tr>
    </w:tbl>
    <w:p>
      <w:pPr>
        <w:pStyle w:val="19"/>
        <w:ind w:firstLine="0" w:firstLineChars="0"/>
        <w:jc w:val="left"/>
        <w:rPr>
          <w:rFonts w:ascii="Times New Roman" w:eastAsia="仿宋_GB2312"/>
          <w:b/>
          <w:sz w:val="28"/>
          <w:szCs w:val="28"/>
        </w:rPr>
      </w:pPr>
      <w:bookmarkStart w:id="8" w:name="_Toc6944"/>
      <w:r>
        <w:rPr>
          <w:rFonts w:ascii="Times New Roman" w:eastAsia="仿宋_GB2312"/>
          <w:b/>
          <w:sz w:val="28"/>
          <w:szCs w:val="28"/>
        </w:rPr>
        <w:t>A.3.3事故的可能后果S</w:t>
      </w:r>
      <w:bookmarkEnd w:id="8"/>
    </w:p>
    <w:p>
      <w:pPr>
        <w:pStyle w:val="19"/>
        <w:ind w:firstLine="560"/>
        <w:rPr>
          <w:rFonts w:ascii="Times New Roman" w:eastAsia="仿宋_GB2312"/>
        </w:rPr>
      </w:pPr>
      <w:r>
        <w:rPr>
          <w:rFonts w:ascii="Times New Roman" w:eastAsia="仿宋_GB2312"/>
          <w:sz w:val="28"/>
          <w:szCs w:val="28"/>
        </w:rPr>
        <w:t>表A.3-3表示按伤害、职业相关病症、财产损失、环境影响等方面不同事故后果的分档赋值。</w:t>
      </w:r>
    </w:p>
    <w:p>
      <w:pPr>
        <w:pStyle w:val="30"/>
        <w:tabs>
          <w:tab w:val="clear" w:pos="180"/>
        </w:tabs>
        <w:spacing w:beforeLines="0" w:afterLines="0"/>
        <w:rPr>
          <w:rFonts w:ascii="Times New Roman" w:eastAsia="仿宋_GB2312"/>
        </w:rPr>
      </w:pPr>
      <w:r>
        <w:rPr>
          <w:rFonts w:ascii="Times New Roman" w:eastAsia="仿宋_GB2312"/>
        </w:rPr>
        <w:t>A.3-3  事故的可能后果S</w:t>
      </w:r>
    </w:p>
    <w:tbl>
      <w:tblPr>
        <w:tblStyle w:val="17"/>
        <w:tblW w:w="852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02"/>
        <w:gridCol w:w="1701"/>
        <w:gridCol w:w="1531"/>
        <w:gridCol w:w="1594"/>
        <w:gridCol w:w="289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61" w:hRule="atLeast"/>
          <w:jc w:val="center"/>
        </w:trPr>
        <w:tc>
          <w:tcPr>
            <w:tcW w:w="802" w:type="dxa"/>
            <w:vMerge w:val="restart"/>
            <w:tcBorders>
              <w:top w:val="single" w:color="auto" w:sz="8" w:space="0"/>
              <w:left w:val="single" w:color="auto" w:sz="8" w:space="0"/>
            </w:tcBorders>
            <w:vAlign w:val="center"/>
          </w:tcPr>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分</w:t>
            </w:r>
          </w:p>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数</w:t>
            </w:r>
          </w:p>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值</w:t>
            </w:r>
          </w:p>
        </w:tc>
        <w:tc>
          <w:tcPr>
            <w:tcW w:w="7720" w:type="dxa"/>
            <w:gridSpan w:val="4"/>
            <w:tcBorders>
              <w:top w:val="single" w:color="auto" w:sz="8" w:space="0"/>
              <w:right w:val="single" w:color="auto" w:sz="8" w:space="0"/>
            </w:tcBorders>
            <w:vAlign w:val="center"/>
          </w:tcPr>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事故的可能后果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95" w:hRule="atLeast"/>
          <w:jc w:val="center"/>
        </w:trPr>
        <w:tc>
          <w:tcPr>
            <w:tcW w:w="802" w:type="dxa"/>
            <w:vMerge w:val="continue"/>
            <w:tcBorders>
              <w:left w:val="single" w:color="auto" w:sz="8" w:space="0"/>
            </w:tcBorders>
            <w:vAlign w:val="center"/>
          </w:tcPr>
          <w:p>
            <w:pPr>
              <w:pStyle w:val="9"/>
              <w:adjustRightInd w:val="0"/>
              <w:snapToGrid w:val="0"/>
              <w:ind w:firstLine="361"/>
              <w:jc w:val="center"/>
              <w:rPr>
                <w:rFonts w:ascii="Times New Roman" w:hAnsi="Times New Roman" w:eastAsia="仿宋_GB2312"/>
                <w:b/>
                <w:sz w:val="18"/>
                <w:szCs w:val="18"/>
              </w:rPr>
            </w:pPr>
          </w:p>
        </w:tc>
        <w:tc>
          <w:tcPr>
            <w:tcW w:w="1701" w:type="dxa"/>
            <w:vAlign w:val="center"/>
          </w:tcPr>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伤害</w:t>
            </w:r>
          </w:p>
        </w:tc>
        <w:tc>
          <w:tcPr>
            <w:tcW w:w="1531" w:type="dxa"/>
            <w:vAlign w:val="center"/>
          </w:tcPr>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职业相关病症</w:t>
            </w:r>
          </w:p>
        </w:tc>
        <w:tc>
          <w:tcPr>
            <w:tcW w:w="1594" w:type="dxa"/>
            <w:vAlign w:val="center"/>
          </w:tcPr>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财产损失（元）</w:t>
            </w:r>
          </w:p>
        </w:tc>
        <w:tc>
          <w:tcPr>
            <w:tcW w:w="2894" w:type="dxa"/>
            <w:tcBorders>
              <w:right w:val="single" w:color="auto" w:sz="8" w:space="0"/>
            </w:tcBorders>
            <w:vAlign w:val="center"/>
          </w:tcPr>
          <w:p>
            <w:pPr>
              <w:pStyle w:val="9"/>
              <w:adjustRightInd w:val="0"/>
              <w:snapToGrid w:val="0"/>
              <w:ind w:firstLine="361"/>
              <w:jc w:val="center"/>
              <w:rPr>
                <w:rFonts w:ascii="Times New Roman" w:hAnsi="Times New Roman" w:eastAsia="仿宋_GB2312"/>
                <w:b/>
                <w:sz w:val="18"/>
                <w:szCs w:val="18"/>
              </w:rPr>
            </w:pPr>
            <w:r>
              <w:rPr>
                <w:rFonts w:ascii="Times New Roman" w:hAnsi="Times New Roman" w:eastAsia="仿宋_GB2312"/>
                <w:b/>
                <w:sz w:val="18"/>
                <w:szCs w:val="18"/>
              </w:rPr>
              <w:t>环境影响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49" w:hRule="atLeast"/>
          <w:jc w:val="center"/>
        </w:trPr>
        <w:tc>
          <w:tcPr>
            <w:tcW w:w="802" w:type="dxa"/>
            <w:tcBorders>
              <w:top w:val="single" w:color="auto" w:sz="8" w:space="0"/>
              <w:left w:val="single" w:color="auto" w:sz="8" w:space="0"/>
            </w:tcBorders>
            <w:vAlign w:val="center"/>
          </w:tcPr>
          <w:p>
            <w:pPr>
              <w:pStyle w:val="9"/>
              <w:adjustRightInd w:val="0"/>
              <w:snapToGrid w:val="0"/>
              <w:ind w:firstLine="360"/>
              <w:jc w:val="center"/>
              <w:rPr>
                <w:rFonts w:ascii="Times New Roman" w:hAnsi="Times New Roman" w:eastAsia="仿宋_GB2312"/>
                <w:sz w:val="18"/>
                <w:szCs w:val="18"/>
              </w:rPr>
            </w:pPr>
            <w:r>
              <w:rPr>
                <w:rFonts w:ascii="Times New Roman" w:hAnsi="Times New Roman" w:eastAsia="仿宋_GB2312"/>
                <w:sz w:val="18"/>
                <w:szCs w:val="18"/>
              </w:rPr>
              <w:t>10</w:t>
            </w:r>
          </w:p>
        </w:tc>
        <w:tc>
          <w:tcPr>
            <w:tcW w:w="1701" w:type="dxa"/>
            <w:tcBorders>
              <w:top w:val="single" w:color="auto" w:sz="8" w:space="0"/>
            </w:tcBorders>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有多人死亡</w:t>
            </w:r>
          </w:p>
        </w:tc>
        <w:tc>
          <w:tcPr>
            <w:tcW w:w="1531" w:type="dxa"/>
            <w:tcBorders>
              <w:top w:val="single" w:color="auto" w:sz="8" w:space="0"/>
            </w:tcBorders>
            <w:vAlign w:val="center"/>
          </w:tcPr>
          <w:p>
            <w:pPr>
              <w:widowControl/>
              <w:adjustRightInd w:val="0"/>
              <w:snapToGrid w:val="0"/>
              <w:rPr>
                <w:rFonts w:ascii="Times New Roman" w:hAnsi="Times New Roman" w:eastAsia="仿宋_GB2312"/>
                <w:sz w:val="18"/>
                <w:szCs w:val="18"/>
              </w:rPr>
            </w:pPr>
          </w:p>
        </w:tc>
        <w:tc>
          <w:tcPr>
            <w:tcW w:w="1594" w:type="dxa"/>
            <w:tcBorders>
              <w:top w:val="single" w:color="auto" w:sz="8" w:space="0"/>
            </w:tcBorders>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＞1千万</w:t>
            </w:r>
          </w:p>
        </w:tc>
        <w:tc>
          <w:tcPr>
            <w:tcW w:w="2894" w:type="dxa"/>
            <w:tcBorders>
              <w:top w:val="single" w:color="auto" w:sz="8" w:space="0"/>
              <w:right w:val="single" w:color="auto" w:sz="8" w:space="0"/>
            </w:tcBorders>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有重大环境影响的不可控排放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46" w:hRule="atLeast"/>
          <w:jc w:val="center"/>
        </w:trPr>
        <w:tc>
          <w:tcPr>
            <w:tcW w:w="802" w:type="dxa"/>
            <w:tcBorders>
              <w:left w:val="single" w:color="auto" w:sz="8" w:space="0"/>
            </w:tcBorders>
            <w:vAlign w:val="center"/>
          </w:tcPr>
          <w:p>
            <w:pPr>
              <w:pStyle w:val="9"/>
              <w:adjustRightInd w:val="0"/>
              <w:snapToGrid w:val="0"/>
              <w:ind w:firstLine="360"/>
              <w:jc w:val="center"/>
              <w:rPr>
                <w:rFonts w:ascii="Times New Roman" w:hAnsi="Times New Roman" w:eastAsia="仿宋_GB2312"/>
                <w:sz w:val="18"/>
                <w:szCs w:val="18"/>
              </w:rPr>
            </w:pPr>
            <w:r>
              <w:rPr>
                <w:rFonts w:ascii="Times New Roman" w:hAnsi="Times New Roman" w:eastAsia="仿宋_GB2312"/>
                <w:sz w:val="18"/>
                <w:szCs w:val="18"/>
              </w:rPr>
              <w:t>8</w:t>
            </w:r>
          </w:p>
        </w:tc>
        <w:tc>
          <w:tcPr>
            <w:tcW w:w="1701" w:type="dxa"/>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有一人死亡或 多人永久失能</w:t>
            </w:r>
          </w:p>
        </w:tc>
        <w:tc>
          <w:tcPr>
            <w:tcW w:w="1531"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职业病（多人）</w:t>
            </w:r>
          </w:p>
        </w:tc>
        <w:tc>
          <w:tcPr>
            <w:tcW w:w="1594"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100万—1000万</w:t>
            </w:r>
          </w:p>
        </w:tc>
        <w:tc>
          <w:tcPr>
            <w:tcW w:w="2894" w:type="dxa"/>
            <w:tcBorders>
              <w:right w:val="single" w:color="auto" w:sz="8" w:space="0"/>
            </w:tcBorders>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有中等环境影响的不可控排放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00" w:hRule="atLeast"/>
          <w:jc w:val="center"/>
        </w:trPr>
        <w:tc>
          <w:tcPr>
            <w:tcW w:w="802" w:type="dxa"/>
            <w:tcBorders>
              <w:left w:val="single" w:color="auto" w:sz="8" w:space="0"/>
            </w:tcBorders>
            <w:vAlign w:val="center"/>
          </w:tcPr>
          <w:p>
            <w:pPr>
              <w:pStyle w:val="9"/>
              <w:adjustRightInd w:val="0"/>
              <w:snapToGrid w:val="0"/>
              <w:ind w:firstLine="360"/>
              <w:jc w:val="center"/>
              <w:rPr>
                <w:rFonts w:ascii="Times New Roman" w:hAnsi="Times New Roman" w:eastAsia="仿宋_GB2312"/>
                <w:sz w:val="18"/>
                <w:szCs w:val="18"/>
              </w:rPr>
            </w:pPr>
            <w:r>
              <w:rPr>
                <w:rFonts w:ascii="Times New Roman" w:hAnsi="Times New Roman" w:eastAsia="仿宋_GB2312"/>
                <w:sz w:val="18"/>
                <w:szCs w:val="18"/>
              </w:rPr>
              <w:t>4</w:t>
            </w:r>
          </w:p>
        </w:tc>
        <w:tc>
          <w:tcPr>
            <w:tcW w:w="1701" w:type="dxa"/>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永久失能（一人）</w:t>
            </w:r>
          </w:p>
        </w:tc>
        <w:tc>
          <w:tcPr>
            <w:tcW w:w="1531"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职业 病（一人）</w:t>
            </w:r>
          </w:p>
        </w:tc>
        <w:tc>
          <w:tcPr>
            <w:tcW w:w="1594"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10万—100万</w:t>
            </w:r>
          </w:p>
        </w:tc>
        <w:tc>
          <w:tcPr>
            <w:tcW w:w="2894" w:type="dxa"/>
            <w:tcBorders>
              <w:right w:val="single" w:color="auto" w:sz="8" w:space="0"/>
            </w:tcBorders>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有较轻环境影响的不可控排放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494" w:hRule="atLeast"/>
          <w:jc w:val="center"/>
        </w:trPr>
        <w:tc>
          <w:tcPr>
            <w:tcW w:w="802" w:type="dxa"/>
            <w:tcBorders>
              <w:left w:val="single" w:color="auto" w:sz="8" w:space="0"/>
            </w:tcBorders>
            <w:vAlign w:val="center"/>
          </w:tcPr>
          <w:p>
            <w:pPr>
              <w:pStyle w:val="9"/>
              <w:adjustRightInd w:val="0"/>
              <w:snapToGrid w:val="0"/>
              <w:ind w:firstLine="360"/>
              <w:jc w:val="center"/>
              <w:rPr>
                <w:rFonts w:ascii="Times New Roman" w:hAnsi="Times New Roman" w:eastAsia="仿宋_GB2312"/>
                <w:sz w:val="18"/>
                <w:szCs w:val="18"/>
              </w:rPr>
            </w:pPr>
            <w:r>
              <w:rPr>
                <w:rFonts w:ascii="Times New Roman" w:hAnsi="Times New Roman" w:eastAsia="仿宋_GB2312"/>
                <w:sz w:val="18"/>
                <w:szCs w:val="18"/>
              </w:rPr>
              <w:t>2</w:t>
            </w:r>
          </w:p>
        </w:tc>
        <w:tc>
          <w:tcPr>
            <w:tcW w:w="1701" w:type="dxa"/>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需医院治疗，缺工</w:t>
            </w:r>
          </w:p>
        </w:tc>
        <w:tc>
          <w:tcPr>
            <w:tcW w:w="1531"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职业性多发病</w:t>
            </w:r>
          </w:p>
        </w:tc>
        <w:tc>
          <w:tcPr>
            <w:tcW w:w="1594"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1万—10万</w:t>
            </w:r>
          </w:p>
        </w:tc>
        <w:tc>
          <w:tcPr>
            <w:tcW w:w="2894" w:type="dxa"/>
            <w:tcBorders>
              <w:right w:val="single" w:color="auto" w:sz="8" w:space="0"/>
            </w:tcBorders>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有局部环境影响的可控排放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558" w:hRule="atLeast"/>
          <w:jc w:val="center"/>
        </w:trPr>
        <w:tc>
          <w:tcPr>
            <w:tcW w:w="802" w:type="dxa"/>
            <w:tcBorders>
              <w:left w:val="single" w:color="auto" w:sz="8" w:space="0"/>
            </w:tcBorders>
            <w:vAlign w:val="center"/>
          </w:tcPr>
          <w:p>
            <w:pPr>
              <w:pStyle w:val="9"/>
              <w:adjustRightInd w:val="0"/>
              <w:snapToGrid w:val="0"/>
              <w:ind w:firstLine="360"/>
              <w:jc w:val="center"/>
              <w:rPr>
                <w:rFonts w:ascii="Times New Roman" w:hAnsi="Times New Roman" w:eastAsia="仿宋_GB2312"/>
                <w:sz w:val="18"/>
                <w:szCs w:val="18"/>
              </w:rPr>
            </w:pPr>
            <w:r>
              <w:rPr>
                <w:rFonts w:ascii="Times New Roman" w:hAnsi="Times New Roman" w:eastAsia="仿宋_GB2312"/>
                <w:sz w:val="18"/>
                <w:szCs w:val="18"/>
              </w:rPr>
              <w:t>1</w:t>
            </w:r>
          </w:p>
        </w:tc>
        <w:tc>
          <w:tcPr>
            <w:tcW w:w="1701" w:type="dxa"/>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轻微，仅需急救</w:t>
            </w:r>
          </w:p>
        </w:tc>
        <w:tc>
          <w:tcPr>
            <w:tcW w:w="1531" w:type="dxa"/>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职业因素引起的身体不适</w:t>
            </w:r>
          </w:p>
        </w:tc>
        <w:tc>
          <w:tcPr>
            <w:tcW w:w="1594" w:type="dxa"/>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＜1万</w:t>
            </w:r>
          </w:p>
        </w:tc>
        <w:tc>
          <w:tcPr>
            <w:tcW w:w="2894" w:type="dxa"/>
            <w:tcBorders>
              <w:right w:val="single" w:color="auto" w:sz="8" w:space="0"/>
            </w:tcBorders>
            <w:vAlign w:val="center"/>
          </w:tcPr>
          <w:p>
            <w:pPr>
              <w:widowControl/>
              <w:adjustRightInd w:val="0"/>
              <w:snapToGrid w:val="0"/>
              <w:rPr>
                <w:rFonts w:ascii="Times New Roman" w:hAnsi="Times New Roman" w:eastAsia="仿宋_GB2312"/>
                <w:sz w:val="18"/>
                <w:szCs w:val="18"/>
              </w:rPr>
            </w:pPr>
            <w:r>
              <w:rPr>
                <w:rFonts w:ascii="Times New Roman" w:hAnsi="Times New Roman" w:eastAsia="仿宋_GB2312"/>
                <w:sz w:val="18"/>
                <w:szCs w:val="18"/>
              </w:rPr>
              <w:t>无环境影响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cantSplit/>
          <w:trHeight w:val="396" w:hRule="atLeast"/>
          <w:jc w:val="center"/>
        </w:trPr>
        <w:tc>
          <w:tcPr>
            <w:tcW w:w="8522" w:type="dxa"/>
            <w:gridSpan w:val="5"/>
            <w:tcBorders>
              <w:left w:val="single" w:color="auto" w:sz="8" w:space="0"/>
              <w:bottom w:val="single" w:color="auto" w:sz="8" w:space="0"/>
              <w:right w:val="single" w:color="auto" w:sz="8" w:space="0"/>
            </w:tcBorders>
            <w:vAlign w:val="center"/>
          </w:tcPr>
          <w:p>
            <w:pPr>
              <w:pStyle w:val="9"/>
              <w:adjustRightInd w:val="0"/>
              <w:snapToGrid w:val="0"/>
              <w:ind w:firstLine="360"/>
              <w:rPr>
                <w:rFonts w:ascii="Times New Roman" w:hAnsi="Times New Roman" w:eastAsia="仿宋_GB2312"/>
                <w:sz w:val="18"/>
                <w:szCs w:val="18"/>
              </w:rPr>
            </w:pPr>
            <w:r>
              <w:rPr>
                <w:rFonts w:ascii="Times New Roman" w:hAnsi="Times New Roman" w:eastAsia="仿宋_GB2312"/>
                <w:sz w:val="18"/>
                <w:szCs w:val="18"/>
              </w:rPr>
              <w:t>注：表中财产损失一栏的分档赋值，可根据行业和企业的特点进行适当调整。</w:t>
            </w:r>
          </w:p>
        </w:tc>
      </w:tr>
    </w:tbl>
    <w:p>
      <w:pPr>
        <w:pStyle w:val="19"/>
        <w:ind w:firstLine="0" w:firstLineChars="0"/>
        <w:jc w:val="left"/>
        <w:rPr>
          <w:rFonts w:ascii="Times New Roman" w:eastAsia="仿宋_GB2312"/>
          <w:b/>
          <w:sz w:val="28"/>
          <w:szCs w:val="28"/>
        </w:rPr>
      </w:pPr>
      <w:bookmarkStart w:id="9" w:name="_Toc24681"/>
      <w:r>
        <w:rPr>
          <w:rFonts w:ascii="Times New Roman" w:eastAsia="仿宋_GB2312"/>
          <w:b/>
          <w:sz w:val="28"/>
          <w:szCs w:val="28"/>
        </w:rPr>
        <w:t>A.3.4根据可能性和后果确定风险程度</w:t>
      </w:r>
      <w:bookmarkEnd w:id="9"/>
    </w:p>
    <w:p>
      <w:pPr>
        <w:pStyle w:val="19"/>
        <w:ind w:firstLine="560"/>
        <w:rPr>
          <w:rFonts w:ascii="Times New Roman" w:eastAsia="仿宋_GB2312"/>
          <w:sz w:val="28"/>
          <w:szCs w:val="28"/>
        </w:rPr>
      </w:pPr>
      <w:r>
        <w:rPr>
          <w:rFonts w:ascii="Times New Roman" w:eastAsia="仿宋_GB2312"/>
          <w:sz w:val="28"/>
          <w:szCs w:val="28"/>
        </w:rPr>
        <w:t>将控制措施的状态M、暴露的频繁程度E（E1或E2）、一旦发生事故会造成的损失后果S分别分为若干等级，并赋予一定的相应分值。风险程度R为三者的乘积</w:t>
      </w:r>
      <w:r>
        <w:rPr>
          <w:rFonts w:hint="eastAsia" w:ascii="Times New Roman" w:eastAsia="仿宋_GB2312"/>
          <w:sz w:val="28"/>
          <w:szCs w:val="28"/>
        </w:rPr>
        <w:t>（</w:t>
      </w:r>
      <w:r>
        <w:rPr>
          <w:rFonts w:ascii="Times New Roman" w:eastAsia="仿宋_GB2312"/>
          <w:sz w:val="28"/>
          <w:szCs w:val="28"/>
        </w:rPr>
        <w:t>R= MES</w:t>
      </w:r>
      <w:r>
        <w:rPr>
          <w:rFonts w:hint="eastAsia" w:ascii="Times New Roman" w:eastAsia="仿宋_GB2312"/>
          <w:sz w:val="28"/>
          <w:szCs w:val="28"/>
        </w:rPr>
        <w:t>）</w:t>
      </w:r>
      <w:r>
        <w:rPr>
          <w:rFonts w:ascii="Times New Roman" w:eastAsia="仿宋_GB2312"/>
          <w:sz w:val="28"/>
          <w:szCs w:val="28"/>
        </w:rPr>
        <w:t>。将R亦分为若干等级。针对特定的作业条件，恰当选取M、E、S的值，根据相乘后的积确定风险程度R的级别。风险程度的分级见表A.3-4。</w:t>
      </w:r>
    </w:p>
    <w:p>
      <w:pPr>
        <w:pStyle w:val="30"/>
        <w:tabs>
          <w:tab w:val="clear" w:pos="180"/>
        </w:tabs>
        <w:spacing w:beforeLines="0" w:afterLines="0"/>
        <w:rPr>
          <w:rFonts w:ascii="Times New Roman" w:eastAsia="仿宋_GB2312"/>
        </w:rPr>
      </w:pPr>
      <w:r>
        <w:rPr>
          <w:rFonts w:ascii="Times New Roman" w:eastAsia="仿宋_GB2312"/>
        </w:rPr>
        <w:t>A.3-4  风险程度的分级</w:t>
      </w:r>
    </w:p>
    <w:tbl>
      <w:tblPr>
        <w:tblStyle w:val="17"/>
        <w:tblW w:w="852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3049"/>
        <w:gridCol w:w="2736"/>
        <w:gridCol w:w="273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40" w:hRule="atLeast"/>
          <w:tblHeader/>
          <w:jc w:val="center"/>
        </w:trPr>
        <w:tc>
          <w:tcPr>
            <w:tcW w:w="3049" w:type="dxa"/>
            <w:tcBorders>
              <w:top w:val="single" w:color="auto" w:sz="8" w:space="0"/>
              <w:left w:val="single" w:color="auto" w:sz="8" w:space="0"/>
              <w:bottom w:val="single" w:color="auto" w:sz="8" w:space="0"/>
            </w:tcBorders>
            <w:vAlign w:val="center"/>
          </w:tcPr>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R=MES</w:t>
            </w:r>
          </w:p>
        </w:tc>
        <w:tc>
          <w:tcPr>
            <w:tcW w:w="5473" w:type="dxa"/>
            <w:gridSpan w:val="2"/>
            <w:tcBorders>
              <w:top w:val="single" w:color="auto" w:sz="8" w:space="0"/>
              <w:bottom w:val="single" w:color="auto" w:sz="8" w:space="0"/>
              <w:right w:val="single" w:color="auto" w:sz="8" w:space="0"/>
            </w:tcBorders>
            <w:vAlign w:val="center"/>
          </w:tcPr>
          <w:p>
            <w:pPr>
              <w:pStyle w:val="9"/>
              <w:ind w:firstLine="361"/>
              <w:jc w:val="center"/>
              <w:rPr>
                <w:rFonts w:ascii="Times New Roman" w:hAnsi="Times New Roman" w:eastAsia="仿宋_GB2312"/>
                <w:b/>
                <w:sz w:val="18"/>
                <w:szCs w:val="18"/>
              </w:rPr>
            </w:pPr>
            <w:r>
              <w:rPr>
                <w:rFonts w:ascii="Times New Roman" w:hAnsi="Times New Roman" w:eastAsia="仿宋_GB2312"/>
                <w:b/>
                <w:sz w:val="18"/>
                <w:szCs w:val="18"/>
              </w:rPr>
              <w:t>风险程度（等级）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FF0000"/>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＞180</w:t>
            </w:r>
          </w:p>
        </w:tc>
        <w:tc>
          <w:tcPr>
            <w:tcW w:w="2736" w:type="dxa"/>
            <w:tcBorders>
              <w:top w:val="single" w:color="auto" w:sz="8" w:space="0"/>
              <w:bottom w:val="single" w:color="auto" w:sz="8" w:space="0"/>
              <w:right w:val="single" w:color="auto" w:sz="8" w:space="0"/>
            </w:tcBorders>
            <w:shd w:val="clear" w:color="auto" w:fill="FF000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1级</w:t>
            </w:r>
          </w:p>
        </w:tc>
        <w:tc>
          <w:tcPr>
            <w:tcW w:w="2737" w:type="dxa"/>
            <w:tcBorders>
              <w:top w:val="single" w:color="auto" w:sz="8" w:space="0"/>
              <w:bottom w:val="single" w:color="auto" w:sz="8" w:space="0"/>
              <w:right w:val="single" w:color="auto" w:sz="8" w:space="0"/>
            </w:tcBorders>
            <w:shd w:val="clear" w:color="auto" w:fill="FF000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极其危险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FFC000"/>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90-150</w:t>
            </w:r>
          </w:p>
        </w:tc>
        <w:tc>
          <w:tcPr>
            <w:tcW w:w="2736" w:type="dxa"/>
            <w:tcBorders>
              <w:top w:val="single" w:color="auto" w:sz="8" w:space="0"/>
              <w:bottom w:val="single" w:color="auto" w:sz="8" w:space="0"/>
              <w:right w:val="single" w:color="auto" w:sz="8" w:space="0"/>
            </w:tcBorders>
            <w:shd w:val="clear" w:color="auto" w:fill="FFC00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2级</w:t>
            </w:r>
          </w:p>
        </w:tc>
        <w:tc>
          <w:tcPr>
            <w:tcW w:w="2737" w:type="dxa"/>
            <w:tcBorders>
              <w:top w:val="single" w:color="auto" w:sz="8" w:space="0"/>
              <w:bottom w:val="single" w:color="auto" w:sz="8" w:space="0"/>
              <w:right w:val="single" w:color="auto" w:sz="8" w:space="0"/>
            </w:tcBorders>
            <w:shd w:val="clear" w:color="auto" w:fill="FFC00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高度危险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FFFF00"/>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50-80</w:t>
            </w:r>
          </w:p>
        </w:tc>
        <w:tc>
          <w:tcPr>
            <w:tcW w:w="2736" w:type="dxa"/>
            <w:tcBorders>
              <w:top w:val="single" w:color="auto" w:sz="8" w:space="0"/>
              <w:bottom w:val="single" w:color="auto" w:sz="8" w:space="0"/>
              <w:right w:val="single" w:color="auto" w:sz="8" w:space="0"/>
            </w:tcBorders>
            <w:shd w:val="clear" w:color="auto" w:fill="FFFF0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3级</w:t>
            </w:r>
          </w:p>
        </w:tc>
        <w:tc>
          <w:tcPr>
            <w:tcW w:w="2737" w:type="dxa"/>
            <w:tcBorders>
              <w:top w:val="single" w:color="auto" w:sz="8" w:space="0"/>
              <w:bottom w:val="single" w:color="auto" w:sz="8" w:space="0"/>
              <w:right w:val="single" w:color="auto" w:sz="8" w:space="0"/>
            </w:tcBorders>
            <w:shd w:val="clear" w:color="auto" w:fill="FFFF0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显著危险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8" w:space="0"/>
            </w:tcBorders>
            <w:shd w:val="clear" w:color="auto" w:fill="00B0F0"/>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20-48</w:t>
            </w:r>
          </w:p>
        </w:tc>
        <w:tc>
          <w:tcPr>
            <w:tcW w:w="2736" w:type="dxa"/>
            <w:tcBorders>
              <w:top w:val="single" w:color="auto" w:sz="8" w:space="0"/>
              <w:bottom w:val="single" w:color="auto" w:sz="8" w:space="0"/>
              <w:right w:val="single" w:color="auto" w:sz="8" w:space="0"/>
            </w:tcBorders>
            <w:shd w:val="clear" w:color="auto" w:fill="00B0F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4-1级</w:t>
            </w:r>
          </w:p>
        </w:tc>
        <w:tc>
          <w:tcPr>
            <w:tcW w:w="2737" w:type="dxa"/>
            <w:tcBorders>
              <w:top w:val="single" w:color="auto" w:sz="8" w:space="0"/>
              <w:bottom w:val="single" w:color="auto" w:sz="8" w:space="0"/>
              <w:right w:val="single" w:color="auto" w:sz="8" w:space="0"/>
            </w:tcBorders>
            <w:shd w:val="clear" w:color="auto" w:fill="00B0F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轻度危险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1" w:hRule="atLeast"/>
          <w:jc w:val="center"/>
        </w:trPr>
        <w:tc>
          <w:tcPr>
            <w:tcW w:w="3049" w:type="dxa"/>
            <w:tcBorders>
              <w:top w:val="single" w:color="auto" w:sz="8" w:space="0"/>
              <w:left w:val="single" w:color="auto" w:sz="8" w:space="0"/>
              <w:bottom w:val="single" w:color="auto" w:sz="6" w:space="0"/>
            </w:tcBorders>
            <w:shd w:val="clear" w:color="auto" w:fill="00B0F0"/>
            <w:vAlign w:val="center"/>
          </w:tcPr>
          <w:p>
            <w:pPr>
              <w:pStyle w:val="9"/>
              <w:ind w:firstLine="360"/>
              <w:jc w:val="center"/>
              <w:rPr>
                <w:rFonts w:ascii="Times New Roman" w:hAnsi="Times New Roman" w:eastAsia="仿宋_GB2312"/>
                <w:sz w:val="18"/>
                <w:szCs w:val="18"/>
              </w:rPr>
            </w:pPr>
            <w:r>
              <w:rPr>
                <w:rFonts w:ascii="Times New Roman" w:hAnsi="Times New Roman" w:eastAsia="仿宋_GB2312"/>
                <w:sz w:val="18"/>
                <w:szCs w:val="18"/>
              </w:rPr>
              <w:t>≤18</w:t>
            </w:r>
          </w:p>
        </w:tc>
        <w:tc>
          <w:tcPr>
            <w:tcW w:w="2736" w:type="dxa"/>
            <w:tcBorders>
              <w:top w:val="single" w:color="auto" w:sz="8" w:space="0"/>
              <w:bottom w:val="single" w:color="auto" w:sz="6" w:space="0"/>
              <w:right w:val="single" w:color="auto" w:sz="8" w:space="0"/>
            </w:tcBorders>
            <w:shd w:val="clear" w:color="auto" w:fill="00B0F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4-2级</w:t>
            </w:r>
          </w:p>
        </w:tc>
        <w:tc>
          <w:tcPr>
            <w:tcW w:w="2737" w:type="dxa"/>
            <w:tcBorders>
              <w:top w:val="single" w:color="auto" w:sz="8" w:space="0"/>
              <w:bottom w:val="single" w:color="auto" w:sz="6" w:space="0"/>
              <w:right w:val="single" w:color="auto" w:sz="8" w:space="0"/>
            </w:tcBorders>
            <w:shd w:val="clear" w:color="auto" w:fill="00B0F0"/>
            <w:vAlign w:val="center"/>
          </w:tcPr>
          <w:p>
            <w:pPr>
              <w:widowControl/>
              <w:jc w:val="center"/>
              <w:rPr>
                <w:rFonts w:ascii="Times New Roman" w:hAnsi="Times New Roman" w:eastAsia="仿宋_GB2312"/>
                <w:sz w:val="18"/>
                <w:szCs w:val="18"/>
              </w:rPr>
            </w:pPr>
            <w:r>
              <w:rPr>
                <w:rFonts w:ascii="Times New Roman" w:hAnsi="Times New Roman" w:eastAsia="仿宋_GB2312"/>
                <w:sz w:val="18"/>
                <w:szCs w:val="18"/>
              </w:rPr>
              <w:t>稍有危险</w:t>
            </w:r>
          </w:p>
        </w:tc>
      </w:tr>
    </w:tbl>
    <w:p>
      <w:pPr>
        <w:pStyle w:val="19"/>
        <w:ind w:firstLine="0" w:firstLineChars="0"/>
        <w:jc w:val="left"/>
        <w:rPr>
          <w:rFonts w:ascii="Times New Roman" w:eastAsia="仿宋_GB2312"/>
          <w:b/>
          <w:sz w:val="28"/>
          <w:szCs w:val="28"/>
        </w:rPr>
      </w:pPr>
      <w:bookmarkStart w:id="10" w:name="_Toc20830"/>
      <w:r>
        <w:rPr>
          <w:rFonts w:hint="eastAsia" w:ascii="Times New Roman" w:eastAsia="仿宋_GB2312"/>
          <w:b/>
          <w:sz w:val="28"/>
          <w:szCs w:val="28"/>
        </w:rPr>
        <w:t>A.4工作危害分析（JHA）法</w:t>
      </w:r>
      <w:bookmarkEnd w:id="10"/>
    </w:p>
    <w:p>
      <w:pPr>
        <w:pStyle w:val="19"/>
        <w:ind w:firstLine="0" w:firstLineChars="0"/>
        <w:jc w:val="left"/>
        <w:rPr>
          <w:rFonts w:ascii="Times New Roman" w:eastAsia="仿宋_GB2312"/>
          <w:b/>
          <w:sz w:val="28"/>
          <w:szCs w:val="28"/>
        </w:rPr>
      </w:pPr>
      <w:bookmarkStart w:id="11" w:name="_Toc17028"/>
      <w:r>
        <w:rPr>
          <w:rFonts w:hint="eastAsia" w:ascii="Times New Roman" w:eastAsia="仿宋_GB2312"/>
          <w:b/>
          <w:sz w:val="28"/>
          <w:szCs w:val="28"/>
        </w:rPr>
        <w:t>A.4.1工作危害分析方法概述</w:t>
      </w:r>
      <w:bookmarkEnd w:id="11"/>
    </w:p>
    <w:p>
      <w:pPr>
        <w:pStyle w:val="19"/>
        <w:ind w:firstLine="560"/>
        <w:rPr>
          <w:rFonts w:ascii="Times New Roman" w:eastAsia="仿宋_GB2312"/>
          <w:sz w:val="28"/>
          <w:szCs w:val="28"/>
        </w:rPr>
      </w:pPr>
      <w:r>
        <w:rPr>
          <w:rFonts w:hint="eastAsia" w:ascii="Times New Roman" w:eastAsia="仿宋_GB2312"/>
          <w:sz w:val="28"/>
          <w:szCs w:val="28"/>
        </w:rPr>
        <w:t>工作危害分析方法</w:t>
      </w:r>
      <w:r>
        <w:rPr>
          <w:rFonts w:ascii="Times New Roman" w:eastAsia="仿宋_GB2312"/>
          <w:sz w:val="28"/>
          <w:szCs w:val="28"/>
        </w:rPr>
        <w:t>(Job Hazard Analysis</w:t>
      </w:r>
      <w:r>
        <w:rPr>
          <w:rFonts w:hint="eastAsia" w:ascii="Times New Roman" w:eastAsia="仿宋_GB2312"/>
          <w:sz w:val="28"/>
          <w:szCs w:val="28"/>
        </w:rPr>
        <w:t>，简称</w:t>
      </w:r>
      <w:r>
        <w:rPr>
          <w:rFonts w:ascii="Times New Roman" w:eastAsia="仿宋_GB2312"/>
          <w:sz w:val="28"/>
          <w:szCs w:val="28"/>
        </w:rPr>
        <w:t>JHA)</w:t>
      </w:r>
      <w:r>
        <w:rPr>
          <w:rFonts w:hint="eastAsia" w:ascii="Times New Roman" w:eastAsia="仿宋_GB2312"/>
          <w:sz w:val="28"/>
          <w:szCs w:val="28"/>
        </w:rPr>
        <w:t>，是一种比较细致的分析作业过程中存在危害的方法。它将一项工作活动分解为相关联的若干个步骤，识别出每个步骤中的危害，并设法控制事故的发生。</w:t>
      </w:r>
    </w:p>
    <w:p>
      <w:pPr>
        <w:pStyle w:val="19"/>
        <w:ind w:firstLine="560"/>
        <w:rPr>
          <w:rFonts w:ascii="Times New Roman" w:eastAsia="仿宋_GB2312"/>
          <w:sz w:val="28"/>
          <w:szCs w:val="28"/>
        </w:rPr>
      </w:pPr>
      <w:r>
        <w:rPr>
          <w:rFonts w:hint="eastAsia" w:ascii="Times New Roman" w:eastAsia="仿宋_GB2312"/>
          <w:sz w:val="28"/>
          <w:szCs w:val="28"/>
        </w:rPr>
        <w:t>这是一种定量的方法，先辨识出工作中的危害，然后根据“风险度</w:t>
      </w:r>
      <w:r>
        <w:rPr>
          <w:rFonts w:ascii="Times New Roman" w:eastAsia="仿宋_GB2312"/>
          <w:sz w:val="28"/>
          <w:szCs w:val="28"/>
        </w:rPr>
        <w:t>R=</w:t>
      </w:r>
      <w:r>
        <w:rPr>
          <w:rFonts w:hint="eastAsia" w:ascii="Times New Roman" w:eastAsia="仿宋_GB2312"/>
          <w:sz w:val="28"/>
          <w:szCs w:val="28"/>
        </w:rPr>
        <w:t>风险发生的概率</w:t>
      </w:r>
      <w:r>
        <w:rPr>
          <w:rFonts w:ascii="Times New Roman" w:eastAsia="仿宋_GB2312"/>
          <w:sz w:val="28"/>
          <w:szCs w:val="28"/>
        </w:rPr>
        <w:t>L×</w:t>
      </w:r>
      <w:r>
        <w:rPr>
          <w:rFonts w:hint="eastAsia" w:ascii="Times New Roman" w:eastAsia="仿宋_GB2312"/>
          <w:sz w:val="28"/>
          <w:szCs w:val="28"/>
        </w:rPr>
        <w:t>后果</w:t>
      </w:r>
      <w:r>
        <w:rPr>
          <w:rFonts w:ascii="Times New Roman" w:eastAsia="仿宋_GB2312"/>
          <w:sz w:val="28"/>
          <w:szCs w:val="28"/>
        </w:rPr>
        <w:t>S”</w:t>
      </w:r>
      <w:r>
        <w:rPr>
          <w:rFonts w:hint="eastAsia" w:ascii="Times New Roman" w:eastAsia="仿宋_GB2312"/>
          <w:sz w:val="28"/>
          <w:szCs w:val="28"/>
        </w:rPr>
        <w:t>的公式来计算出风险度数值，通过风险度数值大小来确定风险登记，根据风险等级大小补充相应的控制缺少的控制措施。</w:t>
      </w:r>
    </w:p>
    <w:p>
      <w:pPr>
        <w:pStyle w:val="19"/>
        <w:ind w:firstLine="0" w:firstLineChars="0"/>
        <w:jc w:val="left"/>
        <w:rPr>
          <w:rFonts w:ascii="Times New Roman" w:eastAsia="仿宋_GB2312"/>
          <w:b/>
          <w:sz w:val="28"/>
          <w:szCs w:val="28"/>
        </w:rPr>
      </w:pPr>
      <w:bookmarkStart w:id="12" w:name="_Toc20407"/>
      <w:r>
        <w:rPr>
          <w:rFonts w:hint="eastAsia" w:ascii="Times New Roman" w:eastAsia="仿宋_GB2312"/>
          <w:b/>
          <w:sz w:val="28"/>
          <w:szCs w:val="28"/>
        </w:rPr>
        <w:t>A.4.2工作危害分析法各因素取值判定依据</w:t>
      </w:r>
      <w:bookmarkEnd w:id="12"/>
    </w:p>
    <w:p>
      <w:pPr>
        <w:pStyle w:val="19"/>
        <w:ind w:firstLine="560"/>
        <w:rPr>
          <w:rFonts w:ascii="Times New Roman" w:eastAsia="仿宋_GB2312"/>
          <w:sz w:val="28"/>
          <w:szCs w:val="28"/>
        </w:rPr>
      </w:pPr>
      <w:r>
        <w:rPr>
          <w:rFonts w:ascii="Times New Roman" w:eastAsia="仿宋_GB2312"/>
          <w:sz w:val="28"/>
          <w:szCs w:val="28"/>
        </w:rPr>
        <w:t>1</w:t>
      </w:r>
      <w:r>
        <w:rPr>
          <w:rFonts w:hint="eastAsia" w:ascii="Times New Roman" w:eastAsia="仿宋_GB2312"/>
          <w:sz w:val="28"/>
          <w:szCs w:val="28"/>
        </w:rPr>
        <w:t>）评估危害发生的可能性（</w:t>
      </w:r>
      <w:r>
        <w:rPr>
          <w:rFonts w:ascii="Times New Roman" w:eastAsia="仿宋_GB2312"/>
          <w:sz w:val="28"/>
          <w:szCs w:val="28"/>
        </w:rPr>
        <w:t>L</w:t>
      </w:r>
      <w:r>
        <w:rPr>
          <w:rFonts w:hint="eastAsia" w:ascii="Times New Roman" w:eastAsia="仿宋_GB2312"/>
          <w:sz w:val="28"/>
          <w:szCs w:val="28"/>
        </w:rPr>
        <w:t>）取值判定依据</w:t>
      </w:r>
    </w:p>
    <w:tbl>
      <w:tblPr>
        <w:tblStyle w:val="17"/>
        <w:tblW w:w="8933" w:type="dxa"/>
        <w:tblInd w:w="0" w:type="dxa"/>
        <w:tblLayout w:type="fixed"/>
        <w:tblCellMar>
          <w:top w:w="0" w:type="dxa"/>
          <w:left w:w="0" w:type="dxa"/>
          <w:bottom w:w="0" w:type="dxa"/>
          <w:right w:w="0" w:type="dxa"/>
        </w:tblCellMar>
      </w:tblPr>
      <w:tblGrid>
        <w:gridCol w:w="740"/>
        <w:gridCol w:w="1247"/>
        <w:gridCol w:w="1134"/>
        <w:gridCol w:w="1134"/>
        <w:gridCol w:w="1985"/>
        <w:gridCol w:w="2693"/>
      </w:tblGrid>
      <w:tr>
        <w:tblPrEx>
          <w:tblLayout w:type="fixed"/>
          <w:tblCellMar>
            <w:top w:w="0" w:type="dxa"/>
            <w:left w:w="0" w:type="dxa"/>
            <w:bottom w:w="0" w:type="dxa"/>
            <w:right w:w="0" w:type="dxa"/>
          </w:tblCellMar>
        </w:tblPrEx>
        <w:trPr>
          <w:trHeight w:val="720" w:hRule="atLeast"/>
        </w:trPr>
        <w:tc>
          <w:tcPr>
            <w:tcW w:w="74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分数</w:t>
            </w:r>
          </w:p>
        </w:tc>
        <w:tc>
          <w:tcPr>
            <w:tcW w:w="12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偏差发生频率</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安全检查</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操作规程或有针对性的管理方案</w:t>
            </w:r>
          </w:p>
        </w:tc>
        <w:tc>
          <w:tcPr>
            <w:tcW w:w="198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员工胜任程度（意识、技能、经验）</w:t>
            </w:r>
          </w:p>
        </w:tc>
        <w:tc>
          <w:tcPr>
            <w:tcW w:w="2693"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监测、控制、报警、联锁、补救措施</w:t>
            </w:r>
          </w:p>
        </w:tc>
      </w:tr>
      <w:tr>
        <w:tblPrEx>
          <w:tblLayout w:type="fixed"/>
          <w:tblCellMar>
            <w:top w:w="0" w:type="dxa"/>
            <w:left w:w="0" w:type="dxa"/>
            <w:bottom w:w="0" w:type="dxa"/>
            <w:right w:w="0" w:type="dxa"/>
          </w:tblCellMar>
        </w:tblPrEx>
        <w:trPr>
          <w:trHeight w:val="1008" w:hRule="atLeast"/>
        </w:trPr>
        <w:tc>
          <w:tcPr>
            <w:tcW w:w="74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5</w:t>
            </w:r>
          </w:p>
        </w:tc>
        <w:tc>
          <w:tcPr>
            <w:tcW w:w="12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每天、经常发生、几乎每次作业发生</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从不按标准检查</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没有</w:t>
            </w:r>
          </w:p>
        </w:tc>
        <w:tc>
          <w:tcPr>
            <w:tcW w:w="198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不胜任（无任何培训、无任何经验、无上岗资格证）</w:t>
            </w:r>
          </w:p>
        </w:tc>
        <w:tc>
          <w:tcPr>
            <w:tcW w:w="2693"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无任何措施，或有措施从未使用</w:t>
            </w:r>
          </w:p>
        </w:tc>
      </w:tr>
      <w:tr>
        <w:tblPrEx>
          <w:tblLayout w:type="fixed"/>
          <w:tblCellMar>
            <w:top w:w="0" w:type="dxa"/>
            <w:left w:w="0" w:type="dxa"/>
            <w:bottom w:w="0" w:type="dxa"/>
            <w:right w:w="0" w:type="dxa"/>
          </w:tblCellMar>
        </w:tblPrEx>
        <w:trPr>
          <w:trHeight w:val="1225" w:hRule="atLeast"/>
        </w:trPr>
        <w:tc>
          <w:tcPr>
            <w:tcW w:w="74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4</w:t>
            </w:r>
          </w:p>
        </w:tc>
        <w:tc>
          <w:tcPr>
            <w:tcW w:w="12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每月发生</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很少按标准检查、检查手段单一，走马观花</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 xml:space="preserve">有，但不完善，但只是偶尔执行; </w:t>
            </w:r>
          </w:p>
        </w:tc>
        <w:tc>
          <w:tcPr>
            <w:tcW w:w="198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不够胜任（有上岗资格证，但没有接受有效培训）</w:t>
            </w:r>
          </w:p>
        </w:tc>
        <w:tc>
          <w:tcPr>
            <w:tcW w:w="2693"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有措施，但只是一部分，尚不完善</w:t>
            </w:r>
          </w:p>
        </w:tc>
      </w:tr>
      <w:tr>
        <w:tblPrEx>
          <w:tblLayout w:type="fixed"/>
          <w:tblCellMar>
            <w:top w:w="0" w:type="dxa"/>
            <w:left w:w="0" w:type="dxa"/>
            <w:bottom w:w="0" w:type="dxa"/>
            <w:right w:w="0" w:type="dxa"/>
          </w:tblCellMar>
        </w:tblPrEx>
        <w:trPr>
          <w:trHeight w:val="1008" w:hRule="atLeast"/>
        </w:trPr>
        <w:tc>
          <w:tcPr>
            <w:tcW w:w="74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3</w:t>
            </w:r>
          </w:p>
        </w:tc>
        <w:tc>
          <w:tcPr>
            <w:tcW w:w="12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每季度发生</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经常不按标准检查、检查手段一般</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有，比较完善，但只是部分执行</w:t>
            </w:r>
          </w:p>
        </w:tc>
        <w:tc>
          <w:tcPr>
            <w:tcW w:w="198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一般胜任（有上岗证，有培训，但经验不足，多次出差错）</w:t>
            </w:r>
          </w:p>
        </w:tc>
        <w:tc>
          <w:tcPr>
            <w:tcW w:w="2693"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防范控制措施比较有效、全面、充分，但经常没有效使用</w:t>
            </w:r>
          </w:p>
        </w:tc>
      </w:tr>
      <w:tr>
        <w:tblPrEx>
          <w:tblLayout w:type="fixed"/>
          <w:tblCellMar>
            <w:top w:w="0" w:type="dxa"/>
            <w:left w:w="0" w:type="dxa"/>
            <w:bottom w:w="0" w:type="dxa"/>
            <w:right w:w="0" w:type="dxa"/>
          </w:tblCellMar>
        </w:tblPrEx>
        <w:trPr>
          <w:trHeight w:val="1008" w:hRule="atLeast"/>
        </w:trPr>
        <w:tc>
          <w:tcPr>
            <w:tcW w:w="74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2</w:t>
            </w:r>
          </w:p>
        </w:tc>
        <w:tc>
          <w:tcPr>
            <w:tcW w:w="12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曾经发生</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偶尔不按标准检查、检查手段较先进、充分、全面</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有，详实、完善，但偶尔不执行</w:t>
            </w:r>
          </w:p>
        </w:tc>
        <w:tc>
          <w:tcPr>
            <w:tcW w:w="198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胜任，但偶然出差错</w:t>
            </w:r>
          </w:p>
        </w:tc>
        <w:tc>
          <w:tcPr>
            <w:tcW w:w="2693"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防范控制措施有效、全面、充分，偶尔失去作用或出差错</w:t>
            </w:r>
          </w:p>
        </w:tc>
      </w:tr>
      <w:tr>
        <w:tblPrEx>
          <w:tblLayout w:type="fixed"/>
          <w:tblCellMar>
            <w:top w:w="0" w:type="dxa"/>
            <w:left w:w="0" w:type="dxa"/>
            <w:bottom w:w="0" w:type="dxa"/>
            <w:right w:w="0" w:type="dxa"/>
          </w:tblCellMar>
        </w:tblPrEx>
        <w:trPr>
          <w:trHeight w:val="1008" w:hRule="atLeast"/>
        </w:trPr>
        <w:tc>
          <w:tcPr>
            <w:tcW w:w="74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1</w:t>
            </w:r>
          </w:p>
        </w:tc>
        <w:tc>
          <w:tcPr>
            <w:tcW w:w="12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从未发生</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严格按检查标准检查、检查手段先进、充分、全面</w:t>
            </w:r>
          </w:p>
        </w:tc>
        <w:tc>
          <w:tcPr>
            <w:tcW w:w="113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有详实、完善，而且严格执行</w:t>
            </w:r>
          </w:p>
        </w:tc>
        <w:tc>
          <w:tcPr>
            <w:tcW w:w="198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高度胜任（培训充分，经验丰富，安全意识强）</w:t>
            </w:r>
          </w:p>
        </w:tc>
        <w:tc>
          <w:tcPr>
            <w:tcW w:w="2693"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rPr>
                <w:rFonts w:ascii="Times New Roman" w:hAnsi="Times New Roman" w:eastAsia="仿宋_GB2312"/>
                <w:sz w:val="24"/>
                <w:szCs w:val="24"/>
              </w:rPr>
            </w:pPr>
            <w:r>
              <w:rPr>
                <w:rFonts w:ascii="Times New Roman" w:hAnsi="Times New Roman" w:eastAsia="仿宋_GB2312"/>
                <w:sz w:val="24"/>
                <w:szCs w:val="24"/>
              </w:rPr>
              <w:t>防范控制措施有效、全面、充分。</w:t>
            </w:r>
          </w:p>
        </w:tc>
      </w:tr>
    </w:tbl>
    <w:p>
      <w:pPr>
        <w:pStyle w:val="19"/>
        <w:ind w:firstLine="560"/>
        <w:rPr>
          <w:rFonts w:hint="eastAsia" w:ascii="Times New Roman" w:eastAsia="仿宋_GB2312"/>
          <w:sz w:val="28"/>
          <w:szCs w:val="28"/>
        </w:rPr>
      </w:pPr>
    </w:p>
    <w:p>
      <w:pPr>
        <w:pStyle w:val="19"/>
        <w:ind w:firstLine="560"/>
        <w:rPr>
          <w:rFonts w:ascii="Times New Roman" w:eastAsia="仿宋_GB2312"/>
          <w:sz w:val="28"/>
          <w:szCs w:val="28"/>
        </w:rPr>
      </w:pPr>
    </w:p>
    <w:p>
      <w:pPr>
        <w:pStyle w:val="19"/>
        <w:ind w:firstLine="560"/>
        <w:rPr>
          <w:rFonts w:ascii="Times New Roman" w:eastAsia="仿宋_GB2312"/>
          <w:sz w:val="28"/>
          <w:szCs w:val="28"/>
        </w:rPr>
      </w:pPr>
      <w:r>
        <w:rPr>
          <w:rFonts w:ascii="Times New Roman" w:eastAsia="仿宋_GB2312"/>
          <w:sz w:val="28"/>
          <w:szCs w:val="28"/>
        </w:rPr>
        <w:t>2</w:t>
      </w:r>
      <w:r>
        <w:rPr>
          <w:rFonts w:hint="eastAsia" w:ascii="Times New Roman" w:eastAsia="仿宋_GB2312"/>
          <w:sz w:val="28"/>
          <w:szCs w:val="28"/>
        </w:rPr>
        <w:t>）评估危害及影响后果的严重性（</w:t>
      </w:r>
      <w:r>
        <w:rPr>
          <w:rFonts w:ascii="Times New Roman" w:eastAsia="仿宋_GB2312"/>
          <w:sz w:val="28"/>
          <w:szCs w:val="28"/>
        </w:rPr>
        <w:t>S</w:t>
      </w:r>
      <w:r>
        <w:rPr>
          <w:rFonts w:hint="eastAsia" w:ascii="Times New Roman" w:eastAsia="仿宋_GB2312"/>
          <w:sz w:val="28"/>
          <w:szCs w:val="28"/>
        </w:rPr>
        <w:t>）取值判定依据</w:t>
      </w:r>
    </w:p>
    <w:tbl>
      <w:tblPr>
        <w:tblStyle w:val="17"/>
        <w:tblW w:w="9669" w:type="dxa"/>
        <w:jc w:val="center"/>
        <w:tblInd w:w="0" w:type="dxa"/>
        <w:tblLayout w:type="fixed"/>
        <w:tblCellMar>
          <w:top w:w="0" w:type="dxa"/>
          <w:left w:w="0" w:type="dxa"/>
          <w:bottom w:w="0" w:type="dxa"/>
          <w:right w:w="0" w:type="dxa"/>
        </w:tblCellMar>
      </w:tblPr>
      <w:tblGrid>
        <w:gridCol w:w="761"/>
        <w:gridCol w:w="1881"/>
        <w:gridCol w:w="780"/>
        <w:gridCol w:w="945"/>
        <w:gridCol w:w="1860"/>
        <w:gridCol w:w="1395"/>
        <w:gridCol w:w="2047"/>
      </w:tblGrid>
      <w:tr>
        <w:tblPrEx>
          <w:tblLayout w:type="fixed"/>
          <w:tblCellMar>
            <w:top w:w="0" w:type="dxa"/>
            <w:left w:w="0" w:type="dxa"/>
            <w:bottom w:w="0" w:type="dxa"/>
            <w:right w:w="0" w:type="dxa"/>
          </w:tblCellMar>
        </w:tblPrEx>
        <w:trPr>
          <w:trHeight w:val="590" w:hRule="atLeast"/>
          <w:jc w:val="center"/>
        </w:trPr>
        <w:tc>
          <w:tcPr>
            <w:tcW w:w="76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分值</w:t>
            </w:r>
          </w:p>
        </w:tc>
        <w:tc>
          <w:tcPr>
            <w:tcW w:w="188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法律、法规及其他要求</w:t>
            </w:r>
          </w:p>
        </w:tc>
        <w:tc>
          <w:tcPr>
            <w:tcW w:w="78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人</w:t>
            </w:r>
          </w:p>
        </w:tc>
        <w:tc>
          <w:tcPr>
            <w:tcW w:w="94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财产</w:t>
            </w:r>
          </w:p>
        </w:tc>
        <w:tc>
          <w:tcPr>
            <w:tcW w:w="186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停工</w:t>
            </w:r>
          </w:p>
        </w:tc>
        <w:tc>
          <w:tcPr>
            <w:tcW w:w="139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环境污染、资源消耗</w:t>
            </w:r>
          </w:p>
        </w:tc>
        <w:tc>
          <w:tcPr>
            <w:tcW w:w="20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公司形象</w:t>
            </w:r>
          </w:p>
        </w:tc>
      </w:tr>
      <w:tr>
        <w:tblPrEx>
          <w:tblLayout w:type="fixed"/>
          <w:tblCellMar>
            <w:top w:w="0" w:type="dxa"/>
            <w:left w:w="0" w:type="dxa"/>
            <w:bottom w:w="0" w:type="dxa"/>
            <w:right w:w="0" w:type="dxa"/>
          </w:tblCellMar>
        </w:tblPrEx>
        <w:trPr>
          <w:trHeight w:val="770" w:hRule="atLeast"/>
          <w:jc w:val="center"/>
        </w:trPr>
        <w:tc>
          <w:tcPr>
            <w:tcW w:w="76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5</w:t>
            </w:r>
          </w:p>
        </w:tc>
        <w:tc>
          <w:tcPr>
            <w:tcW w:w="188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违反法律、法规</w:t>
            </w:r>
          </w:p>
        </w:tc>
        <w:tc>
          <w:tcPr>
            <w:tcW w:w="78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发生死亡</w:t>
            </w:r>
          </w:p>
        </w:tc>
        <w:tc>
          <w:tcPr>
            <w:tcW w:w="94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&gt;50</w:t>
            </w:r>
          </w:p>
        </w:tc>
        <w:tc>
          <w:tcPr>
            <w:tcW w:w="186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主要装置停工</w:t>
            </w:r>
          </w:p>
        </w:tc>
        <w:tc>
          <w:tcPr>
            <w:tcW w:w="139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大规模、公司外</w:t>
            </w:r>
          </w:p>
        </w:tc>
        <w:tc>
          <w:tcPr>
            <w:tcW w:w="20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重大国内影响</w:t>
            </w:r>
          </w:p>
        </w:tc>
      </w:tr>
      <w:tr>
        <w:tblPrEx>
          <w:tblLayout w:type="fixed"/>
          <w:tblCellMar>
            <w:top w:w="0" w:type="dxa"/>
            <w:left w:w="0" w:type="dxa"/>
            <w:bottom w:w="0" w:type="dxa"/>
            <w:right w:w="0" w:type="dxa"/>
          </w:tblCellMar>
        </w:tblPrEx>
        <w:trPr>
          <w:trHeight w:val="970" w:hRule="atLeast"/>
          <w:jc w:val="center"/>
        </w:trPr>
        <w:tc>
          <w:tcPr>
            <w:tcW w:w="76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4</w:t>
            </w:r>
          </w:p>
        </w:tc>
        <w:tc>
          <w:tcPr>
            <w:tcW w:w="188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潜在违反法规</w:t>
            </w:r>
          </w:p>
        </w:tc>
        <w:tc>
          <w:tcPr>
            <w:tcW w:w="78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丧失劳动</w:t>
            </w:r>
          </w:p>
        </w:tc>
        <w:tc>
          <w:tcPr>
            <w:tcW w:w="94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&gt;30</w:t>
            </w:r>
          </w:p>
        </w:tc>
        <w:tc>
          <w:tcPr>
            <w:tcW w:w="186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主要装置或设备部分停工</w:t>
            </w:r>
          </w:p>
        </w:tc>
        <w:tc>
          <w:tcPr>
            <w:tcW w:w="139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企业内严重污染</w:t>
            </w:r>
          </w:p>
        </w:tc>
        <w:tc>
          <w:tcPr>
            <w:tcW w:w="20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行业内、省内</w:t>
            </w:r>
          </w:p>
        </w:tc>
      </w:tr>
      <w:tr>
        <w:tblPrEx>
          <w:tblLayout w:type="fixed"/>
          <w:tblCellMar>
            <w:top w:w="0" w:type="dxa"/>
            <w:left w:w="0" w:type="dxa"/>
            <w:bottom w:w="0" w:type="dxa"/>
            <w:right w:w="0" w:type="dxa"/>
          </w:tblCellMar>
        </w:tblPrEx>
        <w:trPr>
          <w:trHeight w:val="956" w:hRule="atLeast"/>
          <w:jc w:val="center"/>
        </w:trPr>
        <w:tc>
          <w:tcPr>
            <w:tcW w:w="76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3</w:t>
            </w:r>
          </w:p>
        </w:tc>
        <w:tc>
          <w:tcPr>
            <w:tcW w:w="188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不符合企业的安全生产方针、制度、规定</w:t>
            </w:r>
          </w:p>
        </w:tc>
        <w:tc>
          <w:tcPr>
            <w:tcW w:w="78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6-10级工伤</w:t>
            </w:r>
          </w:p>
        </w:tc>
        <w:tc>
          <w:tcPr>
            <w:tcW w:w="94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&gt;10</w:t>
            </w:r>
          </w:p>
        </w:tc>
        <w:tc>
          <w:tcPr>
            <w:tcW w:w="186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一般装置或设备停工</w:t>
            </w:r>
          </w:p>
        </w:tc>
        <w:tc>
          <w:tcPr>
            <w:tcW w:w="139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企业内范围内中等污染</w:t>
            </w:r>
          </w:p>
        </w:tc>
        <w:tc>
          <w:tcPr>
            <w:tcW w:w="20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市内影响</w:t>
            </w:r>
          </w:p>
        </w:tc>
      </w:tr>
      <w:tr>
        <w:tblPrEx>
          <w:tblLayout w:type="fixed"/>
          <w:tblCellMar>
            <w:top w:w="0" w:type="dxa"/>
            <w:left w:w="0" w:type="dxa"/>
            <w:bottom w:w="0" w:type="dxa"/>
            <w:right w:w="0" w:type="dxa"/>
          </w:tblCellMar>
        </w:tblPrEx>
        <w:trPr>
          <w:trHeight w:val="1227" w:hRule="atLeast"/>
          <w:jc w:val="center"/>
        </w:trPr>
        <w:tc>
          <w:tcPr>
            <w:tcW w:w="76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center"/>
              <w:rPr>
                <w:rFonts w:ascii="Times New Roman" w:hAnsi="Times New Roman" w:eastAsia="仿宋_GB2312"/>
                <w:sz w:val="24"/>
                <w:szCs w:val="24"/>
              </w:rPr>
            </w:pPr>
            <w:r>
              <w:rPr>
                <w:rFonts w:ascii="Times New Roman" w:hAnsi="Times New Roman" w:eastAsia="仿宋_GB2312"/>
                <w:b/>
                <w:bCs/>
                <w:sz w:val="24"/>
                <w:szCs w:val="24"/>
              </w:rPr>
              <w:t>2</w:t>
            </w:r>
          </w:p>
        </w:tc>
        <w:tc>
          <w:tcPr>
            <w:tcW w:w="1881"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不符合企业的操作程序、规定</w:t>
            </w:r>
          </w:p>
        </w:tc>
        <w:tc>
          <w:tcPr>
            <w:tcW w:w="78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轻微受伤、间歇不适</w:t>
            </w:r>
          </w:p>
        </w:tc>
        <w:tc>
          <w:tcPr>
            <w:tcW w:w="94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&lt;10</w:t>
            </w:r>
          </w:p>
        </w:tc>
        <w:tc>
          <w:tcPr>
            <w:tcW w:w="186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受影响不大，几乎不停工</w:t>
            </w:r>
          </w:p>
        </w:tc>
        <w:tc>
          <w:tcPr>
            <w:tcW w:w="1395"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装置范围  污 染</w:t>
            </w:r>
          </w:p>
        </w:tc>
        <w:tc>
          <w:tcPr>
            <w:tcW w:w="204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vAlign w:val="center"/>
          </w:tcPr>
          <w:p>
            <w:pPr>
              <w:jc w:val="left"/>
              <w:rPr>
                <w:rFonts w:ascii="Times New Roman" w:hAnsi="Times New Roman" w:eastAsia="仿宋_GB2312"/>
                <w:sz w:val="24"/>
                <w:szCs w:val="24"/>
              </w:rPr>
            </w:pPr>
            <w:r>
              <w:rPr>
                <w:rFonts w:ascii="Times New Roman" w:hAnsi="Times New Roman" w:eastAsia="仿宋_GB2312"/>
                <w:b/>
                <w:bCs/>
                <w:sz w:val="24"/>
                <w:szCs w:val="24"/>
              </w:rPr>
              <w:t>企业及周边区内影响</w:t>
            </w:r>
          </w:p>
        </w:tc>
      </w:tr>
    </w:tbl>
    <w:p>
      <w:pPr>
        <w:pStyle w:val="19"/>
        <w:ind w:firstLine="560"/>
        <w:rPr>
          <w:rFonts w:ascii="Times New Roman" w:eastAsia="仿宋_GB2312"/>
          <w:sz w:val="28"/>
          <w:szCs w:val="28"/>
        </w:rPr>
      </w:pPr>
      <w:r>
        <w:rPr>
          <w:rFonts w:ascii="Times New Roman" w:eastAsia="仿宋_GB2312"/>
          <w:sz w:val="28"/>
          <w:szCs w:val="28"/>
        </w:rPr>
        <w:t>3</w:t>
      </w:r>
      <w:r>
        <w:rPr>
          <w:rFonts w:hint="eastAsia" w:ascii="Times New Roman" w:eastAsia="仿宋_GB2312"/>
          <w:sz w:val="28"/>
          <w:szCs w:val="28"/>
        </w:rPr>
        <w:t>）风险度计算</w:t>
      </w:r>
    </w:p>
    <w:p>
      <w:pPr>
        <w:pStyle w:val="19"/>
        <w:ind w:firstLine="503"/>
        <w:rPr>
          <w:rFonts w:ascii="Times New Roman" w:eastAsia="仿宋_GB2312"/>
          <w:w w:val="90"/>
          <w:sz w:val="28"/>
          <w:szCs w:val="28"/>
        </w:rPr>
      </w:pPr>
      <w:r>
        <w:rPr>
          <w:rFonts w:hint="eastAsia" w:ascii="Times New Roman" w:eastAsia="仿宋_GB2312"/>
          <w:w w:val="90"/>
          <w:sz w:val="28"/>
          <w:szCs w:val="28"/>
        </w:rPr>
        <w:t>风险度等于事故发生可能性与事故后果严重性的乘积，即</w:t>
      </w:r>
      <w:r>
        <w:rPr>
          <w:rFonts w:ascii="Times New Roman" w:eastAsia="仿宋_GB2312"/>
          <w:w w:val="90"/>
          <w:sz w:val="28"/>
          <w:szCs w:val="28"/>
        </w:rPr>
        <w:t>R=L × S</w:t>
      </w:r>
    </w:p>
    <w:tbl>
      <w:tblPr>
        <w:tblStyle w:val="17"/>
        <w:tblW w:w="8933" w:type="dxa"/>
        <w:tblInd w:w="0" w:type="dxa"/>
        <w:tblLayout w:type="fixed"/>
        <w:tblCellMar>
          <w:top w:w="0" w:type="dxa"/>
          <w:left w:w="0" w:type="dxa"/>
          <w:bottom w:w="0" w:type="dxa"/>
          <w:right w:w="0" w:type="dxa"/>
        </w:tblCellMar>
      </w:tblPr>
      <w:tblGrid>
        <w:gridCol w:w="1137"/>
        <w:gridCol w:w="1134"/>
        <w:gridCol w:w="708"/>
        <w:gridCol w:w="3430"/>
        <w:gridCol w:w="2524"/>
      </w:tblGrid>
      <w:tr>
        <w:tblPrEx>
          <w:tblLayout w:type="fixed"/>
          <w:tblCellMar>
            <w:top w:w="0" w:type="dxa"/>
            <w:left w:w="0" w:type="dxa"/>
            <w:bottom w:w="0" w:type="dxa"/>
            <w:right w:w="0" w:type="dxa"/>
          </w:tblCellMar>
        </w:tblPrEx>
        <w:trPr>
          <w:trHeight w:val="425" w:hRule="atLeast"/>
        </w:trPr>
        <w:tc>
          <w:tcPr>
            <w:tcW w:w="1137"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pPr>
            <w:r>
              <w:rPr>
                <w:rFonts w:hint="eastAsia"/>
                <w:b/>
                <w:bCs/>
              </w:rPr>
              <w:t>风险度R</w:t>
            </w:r>
          </w:p>
        </w:tc>
        <w:tc>
          <w:tcPr>
            <w:tcW w:w="1842" w:type="dxa"/>
            <w:gridSpan w:val="2"/>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pPr>
            <w:r>
              <w:rPr>
                <w:rFonts w:hint="eastAsia"/>
                <w:b/>
                <w:bCs/>
              </w:rPr>
              <w:t>等级</w:t>
            </w:r>
          </w:p>
        </w:tc>
        <w:tc>
          <w:tcPr>
            <w:tcW w:w="3430"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pPr>
            <w:r>
              <w:rPr>
                <w:rFonts w:hint="eastAsia"/>
                <w:b/>
                <w:bCs/>
              </w:rPr>
              <w:t>应采取的行动/控制措施</w:t>
            </w:r>
          </w:p>
        </w:tc>
        <w:tc>
          <w:tcPr>
            <w:tcW w:w="2524" w:type="dxa"/>
            <w:tcBorders>
              <w:top w:val="single" w:color="000000" w:sz="8" w:space="0"/>
              <w:left w:val="single" w:color="000000" w:sz="8" w:space="0"/>
              <w:bottom w:val="single" w:color="000000" w:sz="8" w:space="0"/>
              <w:right w:val="single" w:color="000000" w:sz="8" w:space="0"/>
            </w:tcBorders>
            <w:tcMar>
              <w:top w:w="72" w:type="dxa"/>
              <w:left w:w="144" w:type="dxa"/>
              <w:bottom w:w="72" w:type="dxa"/>
              <w:right w:w="144" w:type="dxa"/>
            </w:tcMar>
          </w:tcPr>
          <w:p>
            <w:pPr>
              <w:jc w:val="center"/>
            </w:pPr>
            <w:r>
              <w:rPr>
                <w:rFonts w:hint="eastAsia"/>
                <w:b/>
                <w:bCs/>
              </w:rPr>
              <w:t>实施期限</w:t>
            </w:r>
          </w:p>
        </w:tc>
      </w:tr>
      <w:tr>
        <w:tblPrEx>
          <w:tblLayout w:type="fixed"/>
          <w:tblCellMar>
            <w:top w:w="0" w:type="dxa"/>
            <w:left w:w="0" w:type="dxa"/>
            <w:bottom w:w="0" w:type="dxa"/>
            <w:right w:w="0" w:type="dxa"/>
          </w:tblCellMar>
        </w:tblPrEx>
        <w:trPr>
          <w:trHeight w:val="1073" w:hRule="atLeast"/>
        </w:trPr>
        <w:tc>
          <w:tcPr>
            <w:tcW w:w="1137"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r>
              <w:rPr>
                <w:rFonts w:hint="eastAsia"/>
                <w:b/>
                <w:bCs/>
              </w:rPr>
              <w:t>20－25</w:t>
            </w:r>
          </w:p>
        </w:tc>
        <w:tc>
          <w:tcPr>
            <w:tcW w:w="1134"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r>
              <w:rPr>
                <w:rFonts w:hint="eastAsia"/>
                <w:b/>
                <w:bCs/>
              </w:rPr>
              <w:t>不可容忍</w:t>
            </w:r>
          </w:p>
        </w:tc>
        <w:tc>
          <w:tcPr>
            <w:tcW w:w="708"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r>
              <w:rPr>
                <w:rFonts w:hint="eastAsia"/>
                <w:b/>
                <w:bCs/>
              </w:rPr>
              <w:t>1</w:t>
            </w:r>
          </w:p>
        </w:tc>
        <w:tc>
          <w:tcPr>
            <w:tcW w:w="3430"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r>
              <w:rPr>
                <w:rFonts w:hint="eastAsia"/>
                <w:b/>
                <w:bCs/>
              </w:rPr>
              <w:t>在采取措施降低危害前,不能继续作业,对改进措施进行评估</w:t>
            </w:r>
          </w:p>
        </w:tc>
        <w:tc>
          <w:tcPr>
            <w:tcW w:w="2524" w:type="dxa"/>
            <w:tcBorders>
              <w:top w:val="single" w:color="000000" w:sz="8" w:space="0"/>
              <w:left w:val="single" w:color="000000" w:sz="8" w:space="0"/>
              <w:bottom w:val="single" w:color="000000" w:sz="8" w:space="0"/>
              <w:right w:val="single" w:color="000000" w:sz="8" w:space="0"/>
            </w:tcBorders>
            <w:shd w:val="clear" w:color="auto" w:fill="FF0000"/>
            <w:tcMar>
              <w:top w:w="72" w:type="dxa"/>
              <w:left w:w="144" w:type="dxa"/>
              <w:bottom w:w="72" w:type="dxa"/>
              <w:right w:w="144" w:type="dxa"/>
            </w:tcMar>
            <w:vAlign w:val="center"/>
          </w:tcPr>
          <w:p>
            <w:r>
              <w:rPr>
                <w:rFonts w:hint="eastAsia"/>
                <w:b/>
                <w:bCs/>
              </w:rPr>
              <w:t>立刻整改</w:t>
            </w:r>
          </w:p>
        </w:tc>
      </w:tr>
      <w:tr>
        <w:tblPrEx>
          <w:tblLayout w:type="fixed"/>
          <w:tblCellMar>
            <w:top w:w="0" w:type="dxa"/>
            <w:left w:w="0" w:type="dxa"/>
            <w:bottom w:w="0" w:type="dxa"/>
            <w:right w:w="0" w:type="dxa"/>
          </w:tblCellMar>
        </w:tblPrEx>
        <w:trPr>
          <w:trHeight w:val="748" w:hRule="atLeast"/>
        </w:trPr>
        <w:tc>
          <w:tcPr>
            <w:tcW w:w="1137"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r>
              <w:rPr>
                <w:rFonts w:hint="eastAsia"/>
                <w:b/>
                <w:bCs/>
              </w:rPr>
              <w:t>13-16</w:t>
            </w:r>
          </w:p>
        </w:tc>
        <w:tc>
          <w:tcPr>
            <w:tcW w:w="1134"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r>
              <w:rPr>
                <w:rFonts w:hint="eastAsia"/>
                <w:b/>
                <w:bCs/>
              </w:rPr>
              <w:t>重大风险</w:t>
            </w:r>
          </w:p>
        </w:tc>
        <w:tc>
          <w:tcPr>
            <w:tcW w:w="708"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r>
              <w:rPr>
                <w:rFonts w:hint="eastAsia"/>
                <w:b/>
                <w:bCs/>
              </w:rPr>
              <w:t>2</w:t>
            </w:r>
          </w:p>
        </w:tc>
        <w:tc>
          <w:tcPr>
            <w:tcW w:w="3430"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r>
              <w:rPr>
                <w:rFonts w:hint="eastAsia"/>
                <w:b/>
                <w:bCs/>
              </w:rPr>
              <w:t>制定计划，更改操作规程，降低风险，持续改进。</w:t>
            </w:r>
          </w:p>
        </w:tc>
        <w:tc>
          <w:tcPr>
            <w:tcW w:w="2524" w:type="dxa"/>
            <w:tcBorders>
              <w:top w:val="single" w:color="000000" w:sz="8" w:space="0"/>
              <w:left w:val="single" w:color="000000" w:sz="8" w:space="0"/>
              <w:bottom w:val="single" w:color="000000" w:sz="8" w:space="0"/>
              <w:right w:val="single" w:color="000000" w:sz="8" w:space="0"/>
            </w:tcBorders>
            <w:shd w:val="clear" w:color="auto" w:fill="FFC000"/>
            <w:tcMar>
              <w:top w:w="72" w:type="dxa"/>
              <w:left w:w="144" w:type="dxa"/>
              <w:bottom w:w="72" w:type="dxa"/>
              <w:right w:w="144" w:type="dxa"/>
            </w:tcMar>
            <w:vAlign w:val="center"/>
          </w:tcPr>
          <w:p>
            <w:r>
              <w:rPr>
                <w:rFonts w:hint="eastAsia"/>
                <w:b/>
                <w:bCs/>
              </w:rPr>
              <w:t>1年内整改、治理</w:t>
            </w:r>
          </w:p>
        </w:tc>
      </w:tr>
      <w:tr>
        <w:tblPrEx>
          <w:tblLayout w:type="fixed"/>
          <w:tblCellMar>
            <w:top w:w="0" w:type="dxa"/>
            <w:left w:w="0" w:type="dxa"/>
            <w:bottom w:w="0" w:type="dxa"/>
            <w:right w:w="0" w:type="dxa"/>
          </w:tblCellMar>
        </w:tblPrEx>
        <w:trPr>
          <w:trHeight w:val="748" w:hRule="atLeast"/>
        </w:trPr>
        <w:tc>
          <w:tcPr>
            <w:tcW w:w="1137"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r>
              <w:rPr>
                <w:rFonts w:hint="eastAsia"/>
                <w:b/>
                <w:bCs/>
              </w:rPr>
              <w:t>9</w:t>
            </w:r>
            <w:r>
              <w:rPr>
                <w:b/>
                <w:bCs/>
              </w:rPr>
              <w:t>—</w:t>
            </w:r>
            <w:r>
              <w:rPr>
                <w:rFonts w:hint="eastAsia"/>
                <w:b/>
                <w:bCs/>
              </w:rPr>
              <w:t>12</w:t>
            </w:r>
          </w:p>
        </w:tc>
        <w:tc>
          <w:tcPr>
            <w:tcW w:w="1134"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r>
              <w:rPr>
                <w:rFonts w:hint="eastAsia"/>
                <w:b/>
                <w:bCs/>
              </w:rPr>
              <w:t>中等</w:t>
            </w:r>
          </w:p>
        </w:tc>
        <w:tc>
          <w:tcPr>
            <w:tcW w:w="708"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r>
              <w:rPr>
                <w:rFonts w:hint="eastAsia"/>
                <w:b/>
                <w:bCs/>
              </w:rPr>
              <w:t>3</w:t>
            </w:r>
          </w:p>
        </w:tc>
        <w:tc>
          <w:tcPr>
            <w:tcW w:w="3430"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r>
              <w:rPr>
                <w:rFonts w:hint="eastAsia"/>
                <w:b/>
                <w:bCs/>
              </w:rPr>
              <w:t>可考虑建立目标、建立操作规程，加强培训及沟通</w:t>
            </w:r>
          </w:p>
        </w:tc>
        <w:tc>
          <w:tcPr>
            <w:tcW w:w="2524" w:type="dxa"/>
            <w:tcBorders>
              <w:top w:val="single" w:color="000000" w:sz="8" w:space="0"/>
              <w:left w:val="single" w:color="000000" w:sz="8" w:space="0"/>
              <w:bottom w:val="single" w:color="000000" w:sz="8" w:space="0"/>
              <w:right w:val="single" w:color="000000" w:sz="8" w:space="0"/>
            </w:tcBorders>
            <w:shd w:val="clear" w:color="auto" w:fill="FFFF00"/>
            <w:tcMar>
              <w:top w:w="72" w:type="dxa"/>
              <w:left w:w="144" w:type="dxa"/>
              <w:bottom w:w="72" w:type="dxa"/>
              <w:right w:w="144" w:type="dxa"/>
            </w:tcMar>
            <w:vAlign w:val="center"/>
          </w:tcPr>
          <w:p>
            <w:r>
              <w:rPr>
                <w:rFonts w:hint="eastAsia"/>
                <w:b/>
                <w:bCs/>
              </w:rPr>
              <w:t>2年内整改、治理</w:t>
            </w:r>
          </w:p>
        </w:tc>
      </w:tr>
      <w:tr>
        <w:tblPrEx>
          <w:tblLayout w:type="fixed"/>
          <w:tblCellMar>
            <w:top w:w="0" w:type="dxa"/>
            <w:left w:w="0" w:type="dxa"/>
            <w:bottom w:w="0" w:type="dxa"/>
            <w:right w:w="0" w:type="dxa"/>
          </w:tblCellMar>
        </w:tblPrEx>
        <w:trPr>
          <w:trHeight w:val="748" w:hRule="atLeast"/>
        </w:trPr>
        <w:tc>
          <w:tcPr>
            <w:tcW w:w="1137"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4</w:t>
            </w:r>
            <w:r>
              <w:rPr>
                <w:b/>
                <w:bCs/>
              </w:rPr>
              <w:t>—</w:t>
            </w:r>
            <w:r>
              <w:rPr>
                <w:rFonts w:hint="eastAsia"/>
                <w:b/>
                <w:bCs/>
              </w:rPr>
              <w:t>8</w:t>
            </w:r>
          </w:p>
        </w:tc>
        <w:tc>
          <w:tcPr>
            <w:tcW w:w="1134"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可容忍</w:t>
            </w:r>
          </w:p>
        </w:tc>
        <w:tc>
          <w:tcPr>
            <w:tcW w:w="708"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4-1</w:t>
            </w:r>
          </w:p>
        </w:tc>
        <w:tc>
          <w:tcPr>
            <w:tcW w:w="3430"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可考虑建立操作规程、作业指导书但需定期检查</w:t>
            </w:r>
          </w:p>
        </w:tc>
        <w:tc>
          <w:tcPr>
            <w:tcW w:w="2524"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有条件、有经费时治理</w:t>
            </w:r>
          </w:p>
        </w:tc>
      </w:tr>
      <w:tr>
        <w:tblPrEx>
          <w:tblLayout w:type="fixed"/>
          <w:tblCellMar>
            <w:top w:w="0" w:type="dxa"/>
            <w:left w:w="0" w:type="dxa"/>
            <w:bottom w:w="0" w:type="dxa"/>
            <w:right w:w="0" w:type="dxa"/>
          </w:tblCellMar>
        </w:tblPrEx>
        <w:trPr>
          <w:trHeight w:val="1075" w:hRule="atLeast"/>
        </w:trPr>
        <w:tc>
          <w:tcPr>
            <w:tcW w:w="1137"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&lt;4</w:t>
            </w:r>
          </w:p>
        </w:tc>
        <w:tc>
          <w:tcPr>
            <w:tcW w:w="1134"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轻微或可忽略的风险</w:t>
            </w:r>
          </w:p>
        </w:tc>
        <w:tc>
          <w:tcPr>
            <w:tcW w:w="708"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4-2</w:t>
            </w:r>
          </w:p>
        </w:tc>
        <w:tc>
          <w:tcPr>
            <w:tcW w:w="3430"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无需采用控制措施，但需保存记录</w:t>
            </w:r>
          </w:p>
        </w:tc>
        <w:tc>
          <w:tcPr>
            <w:tcW w:w="2524" w:type="dxa"/>
            <w:tcBorders>
              <w:top w:val="single" w:color="000000" w:sz="8" w:space="0"/>
              <w:left w:val="single" w:color="000000" w:sz="8" w:space="0"/>
              <w:bottom w:val="single" w:color="000000" w:sz="8" w:space="0"/>
              <w:right w:val="single" w:color="000000" w:sz="8" w:space="0"/>
            </w:tcBorders>
            <w:shd w:val="clear" w:color="auto" w:fill="00B0F0"/>
            <w:tcMar>
              <w:top w:w="72" w:type="dxa"/>
              <w:left w:w="144" w:type="dxa"/>
              <w:bottom w:w="72" w:type="dxa"/>
              <w:right w:w="144" w:type="dxa"/>
            </w:tcMar>
            <w:vAlign w:val="center"/>
          </w:tcPr>
          <w:p>
            <w:r>
              <w:rPr>
                <w:rFonts w:hint="eastAsia"/>
                <w:b/>
                <w:bCs/>
              </w:rPr>
              <w:t>随时作参考</w:t>
            </w:r>
          </w:p>
        </w:tc>
      </w:tr>
    </w:tbl>
    <w:p>
      <w:pPr>
        <w:spacing w:line="620" w:lineRule="exact"/>
        <w:jc w:val="left"/>
        <w:rPr>
          <w:rFonts w:ascii="Times New Roman" w:hAnsi="Times New Roman" w:eastAsia="仿宋_GB2312"/>
          <w:b/>
          <w:sz w:val="32"/>
          <w:szCs w:val="32"/>
        </w:rPr>
        <w:sectPr>
          <w:footerReference r:id="rId5" w:type="default"/>
          <w:pgSz w:w="11906" w:h="16838"/>
          <w:pgMar w:top="1440" w:right="1800" w:bottom="1440" w:left="1800" w:header="851" w:footer="992" w:gutter="0"/>
          <w:pgNumType w:fmt="decimal" w:start="1"/>
          <w:cols w:space="425" w:num="1"/>
          <w:docGrid w:type="lines" w:linePitch="312" w:charSpace="0"/>
        </w:sectPr>
      </w:pPr>
    </w:p>
    <w:p>
      <w:pPr>
        <w:spacing w:line="620" w:lineRule="exact"/>
        <w:jc w:val="left"/>
        <w:rPr>
          <w:rFonts w:ascii="Times New Roman" w:hAnsi="Times New Roman" w:eastAsia="仿宋_GB2312"/>
          <w:b/>
          <w:sz w:val="32"/>
          <w:szCs w:val="32"/>
        </w:rPr>
      </w:pPr>
      <w:r>
        <w:rPr>
          <w:rFonts w:ascii="Times New Roman" w:hAnsi="Times New Roman" w:eastAsia="仿宋_GB2312"/>
          <w:b/>
          <w:sz w:val="32"/>
          <w:szCs w:val="32"/>
        </w:rPr>
        <w:t>附录</w:t>
      </w:r>
      <w:r>
        <w:rPr>
          <w:rFonts w:hint="eastAsia" w:ascii="Times New Roman" w:hAnsi="Times New Roman" w:eastAsia="仿宋_GB2312"/>
          <w:b/>
          <w:sz w:val="32"/>
          <w:szCs w:val="32"/>
        </w:rPr>
        <w:t>B</w:t>
      </w:r>
      <w:r>
        <w:rPr>
          <w:rFonts w:ascii="Times New Roman" w:hAnsi="Times New Roman" w:eastAsia="仿宋_GB2312"/>
          <w:b/>
          <w:sz w:val="32"/>
          <w:szCs w:val="32"/>
        </w:rPr>
        <w:t>:</w:t>
      </w:r>
      <w:r>
        <w:rPr>
          <w:rFonts w:hint="eastAsia"/>
        </w:rPr>
        <w:t xml:space="preserve"> </w:t>
      </w:r>
      <w:r>
        <w:rPr>
          <w:rFonts w:hint="eastAsia" w:ascii="Times New Roman" w:hAnsi="Times New Roman" w:eastAsia="仿宋_GB2312"/>
          <w:b/>
          <w:sz w:val="32"/>
          <w:szCs w:val="32"/>
        </w:rPr>
        <w:t>云南省工贸行业企业高风险（一、二级安全风险）判别参考标准（2019版）</w:t>
      </w:r>
    </w:p>
    <w:tbl>
      <w:tblPr>
        <w:tblStyle w:val="17"/>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906"/>
        <w:gridCol w:w="862"/>
        <w:gridCol w:w="6946"/>
        <w:gridCol w:w="2483"/>
        <w:gridCol w:w="2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750" w:type="dxa"/>
            <w:vAlign w:val="center"/>
          </w:tcPr>
          <w:p>
            <w:pPr>
              <w:adjustRightInd w:val="0"/>
              <w:snapToGrid w:val="0"/>
              <w:jc w:val="center"/>
              <w:rPr>
                <w:rFonts w:ascii="Times New Roman" w:hAnsi="Times New Roman" w:eastAsia="仿宋_GB2312"/>
                <w:b/>
                <w:sz w:val="28"/>
                <w:szCs w:val="28"/>
              </w:rPr>
            </w:pPr>
            <w:r>
              <w:rPr>
                <w:rFonts w:hint="eastAsia" w:ascii="Times New Roman" w:hAnsi="Times New Roman" w:eastAsia="仿宋_GB2312"/>
                <w:b/>
                <w:sz w:val="28"/>
                <w:szCs w:val="28"/>
              </w:rPr>
              <w:t>序号</w:t>
            </w:r>
          </w:p>
        </w:tc>
        <w:tc>
          <w:tcPr>
            <w:tcW w:w="906" w:type="dxa"/>
            <w:vAlign w:val="center"/>
          </w:tcPr>
          <w:p>
            <w:pPr>
              <w:adjustRightInd w:val="0"/>
              <w:snapToGrid w:val="0"/>
              <w:jc w:val="center"/>
              <w:rPr>
                <w:rFonts w:ascii="Times New Roman" w:hAnsi="Times New Roman" w:eastAsia="仿宋_GB2312"/>
                <w:b/>
                <w:sz w:val="28"/>
                <w:szCs w:val="28"/>
              </w:rPr>
            </w:pPr>
            <w:r>
              <w:rPr>
                <w:rFonts w:hint="eastAsia" w:ascii="Times New Roman" w:hAnsi="Times New Roman" w:eastAsia="仿宋_GB2312"/>
                <w:b/>
                <w:sz w:val="28"/>
                <w:szCs w:val="28"/>
              </w:rPr>
              <w:t>行业</w:t>
            </w:r>
          </w:p>
        </w:tc>
        <w:tc>
          <w:tcPr>
            <w:tcW w:w="862" w:type="dxa"/>
            <w:vAlign w:val="center"/>
          </w:tcPr>
          <w:p>
            <w:pPr>
              <w:adjustRightInd w:val="0"/>
              <w:snapToGrid w:val="0"/>
              <w:jc w:val="center"/>
              <w:rPr>
                <w:rFonts w:ascii="Times New Roman" w:hAnsi="Times New Roman" w:eastAsia="仿宋_GB2312"/>
                <w:b/>
                <w:sz w:val="28"/>
                <w:szCs w:val="28"/>
              </w:rPr>
            </w:pPr>
            <w:r>
              <w:rPr>
                <w:rFonts w:hint="eastAsia" w:ascii="Times New Roman" w:hAnsi="Times New Roman" w:eastAsia="仿宋_GB2312"/>
                <w:b/>
                <w:sz w:val="28"/>
                <w:szCs w:val="28"/>
              </w:rPr>
              <w:t>风险等级</w:t>
            </w:r>
          </w:p>
        </w:tc>
        <w:tc>
          <w:tcPr>
            <w:tcW w:w="6946" w:type="dxa"/>
            <w:vAlign w:val="center"/>
          </w:tcPr>
          <w:p>
            <w:pPr>
              <w:adjustRightInd w:val="0"/>
              <w:snapToGrid w:val="0"/>
              <w:jc w:val="center"/>
              <w:rPr>
                <w:rFonts w:ascii="Times New Roman" w:hAnsi="Times New Roman" w:eastAsia="仿宋_GB2312"/>
                <w:b/>
                <w:sz w:val="28"/>
                <w:szCs w:val="28"/>
              </w:rPr>
            </w:pPr>
            <w:r>
              <w:rPr>
                <w:rFonts w:hint="eastAsia" w:ascii="Times New Roman" w:hAnsi="Times New Roman" w:eastAsia="仿宋_GB2312"/>
                <w:b/>
                <w:sz w:val="28"/>
                <w:szCs w:val="28"/>
              </w:rPr>
              <w:t>装置/场所/部位</w:t>
            </w:r>
          </w:p>
        </w:tc>
        <w:tc>
          <w:tcPr>
            <w:tcW w:w="2483" w:type="dxa"/>
            <w:vAlign w:val="center"/>
          </w:tcPr>
          <w:p>
            <w:pPr>
              <w:adjustRightInd w:val="0"/>
              <w:snapToGrid w:val="0"/>
              <w:jc w:val="center"/>
              <w:rPr>
                <w:rFonts w:ascii="Times New Roman" w:hAnsi="Times New Roman" w:eastAsia="仿宋_GB2312"/>
                <w:b/>
                <w:sz w:val="28"/>
                <w:szCs w:val="28"/>
              </w:rPr>
            </w:pPr>
            <w:r>
              <w:rPr>
                <w:rFonts w:hint="eastAsia" w:ascii="Times New Roman" w:hAnsi="Times New Roman" w:eastAsia="仿宋_GB2312"/>
                <w:b/>
                <w:sz w:val="28"/>
                <w:szCs w:val="28"/>
              </w:rPr>
              <w:t>主要风险类型</w:t>
            </w:r>
          </w:p>
        </w:tc>
        <w:tc>
          <w:tcPr>
            <w:tcW w:w="2227" w:type="dxa"/>
            <w:vAlign w:val="center"/>
          </w:tcPr>
          <w:p>
            <w:pPr>
              <w:adjustRightInd w:val="0"/>
              <w:snapToGrid w:val="0"/>
              <w:jc w:val="center"/>
              <w:rPr>
                <w:rFonts w:ascii="Times New Roman" w:hAnsi="Times New Roman" w:eastAsia="仿宋_GB2312"/>
                <w:b/>
                <w:sz w:val="28"/>
                <w:szCs w:val="28"/>
              </w:rPr>
            </w:pPr>
            <w:r>
              <w:rPr>
                <w:rFonts w:hint="eastAsia" w:ascii="Times New Roman" w:hAnsi="Times New Roman" w:eastAsia="仿宋_GB2312"/>
                <w:b/>
                <w:sz w:val="28"/>
                <w:szCs w:val="28"/>
              </w:rPr>
              <w:t>涉及的专业领域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1</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冶金行业</w:t>
            </w:r>
          </w:p>
        </w:tc>
        <w:tc>
          <w:tcPr>
            <w:tcW w:w="862" w:type="dxa"/>
            <w:vMerge w:val="restart"/>
            <w:vAlign w:val="center"/>
          </w:tcPr>
          <w:p>
            <w:pPr>
              <w:adjustRightInd w:val="0"/>
              <w:snapToGrid w:val="0"/>
              <w:jc w:val="center"/>
              <w:rPr>
                <w:rFonts w:ascii="Times New Roman" w:hAnsi="Times New Roman" w:eastAsia="仿宋_GB2312"/>
                <w:b/>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烧结球团</w:t>
            </w:r>
            <w:r>
              <w:rPr>
                <w:rFonts w:hint="eastAsia" w:ascii="Times New Roman" w:hAnsi="Times New Roman" w:eastAsia="仿宋_GB2312"/>
                <w:sz w:val="28"/>
                <w:szCs w:val="28"/>
              </w:rPr>
              <w:t>的</w:t>
            </w:r>
            <w:r>
              <w:rPr>
                <w:rFonts w:ascii="Times New Roman" w:hAnsi="Times New Roman" w:eastAsia="仿宋_GB2312"/>
                <w:sz w:val="28"/>
                <w:szCs w:val="28"/>
              </w:rPr>
              <w:t>竖</w:t>
            </w:r>
            <w:r>
              <w:rPr>
                <w:rFonts w:hint="eastAsia" w:ascii="Times New Roman" w:hAnsi="Times New Roman" w:eastAsia="仿宋_GB2312"/>
                <w:sz w:val="28"/>
                <w:szCs w:val="28"/>
              </w:rPr>
              <w:t>窑</w:t>
            </w:r>
            <w:r>
              <w:rPr>
                <w:rFonts w:ascii="Times New Roman" w:hAnsi="Times New Roman" w:eastAsia="仿宋_GB2312"/>
                <w:sz w:val="28"/>
                <w:szCs w:val="28"/>
              </w:rPr>
              <w:t>、回转窑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烧结球团</w:t>
            </w:r>
            <w:r>
              <w:rPr>
                <w:rFonts w:hint="eastAsia" w:ascii="Times New Roman" w:hAnsi="Times New Roman" w:eastAsia="仿宋_GB2312"/>
                <w:sz w:val="28"/>
                <w:szCs w:val="28"/>
              </w:rPr>
              <w:t>的</w:t>
            </w:r>
            <w:r>
              <w:rPr>
                <w:rFonts w:ascii="Times New Roman" w:hAnsi="Times New Roman" w:eastAsia="仿宋_GB2312"/>
                <w:sz w:val="28"/>
                <w:szCs w:val="28"/>
              </w:rPr>
              <w:t>烧结机</w:t>
            </w:r>
            <w:r>
              <w:rPr>
                <w:rFonts w:hint="eastAsia" w:ascii="Times New Roman" w:hAnsi="Times New Roman" w:eastAsia="仿宋_GB2312"/>
                <w:sz w:val="28"/>
                <w:szCs w:val="28"/>
              </w:rPr>
              <w:t>、预热炉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烧结球团</w:t>
            </w:r>
            <w:r>
              <w:rPr>
                <w:rFonts w:hint="eastAsia" w:ascii="Times New Roman" w:hAnsi="Times New Roman" w:eastAsia="仿宋_GB2312"/>
                <w:sz w:val="28"/>
                <w:szCs w:val="28"/>
              </w:rPr>
              <w:t>的烟气氨法脱硫液氨储罐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烧结球团</w:t>
            </w:r>
            <w:r>
              <w:rPr>
                <w:rFonts w:hint="eastAsia" w:ascii="Times New Roman" w:hAnsi="Times New Roman" w:eastAsia="仿宋_GB2312"/>
                <w:sz w:val="28"/>
                <w:szCs w:val="28"/>
              </w:rPr>
              <w:t>的烟气氨法脱硫液氨缷氨鹤管</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w:t>
            </w:r>
            <w:r>
              <w:rPr>
                <w:rFonts w:ascii="Times New Roman" w:hAnsi="Times New Roman" w:eastAsia="仿宋_GB2312"/>
                <w:sz w:val="28"/>
                <w:szCs w:val="28"/>
              </w:rPr>
              <w:t>烧结球团</w:t>
            </w:r>
            <w:r>
              <w:rPr>
                <w:rFonts w:hint="eastAsia" w:ascii="Times New Roman" w:hAnsi="Times New Roman" w:eastAsia="仿宋_GB2312"/>
                <w:sz w:val="28"/>
                <w:szCs w:val="28"/>
              </w:rPr>
              <w:t>的</w:t>
            </w:r>
            <w:r>
              <w:rPr>
                <w:rFonts w:ascii="Times New Roman" w:hAnsi="Times New Roman" w:eastAsia="仿宋_GB2312"/>
                <w:sz w:val="28"/>
                <w:szCs w:val="28"/>
              </w:rPr>
              <w:t>竖</w:t>
            </w:r>
            <w:r>
              <w:rPr>
                <w:rFonts w:hint="eastAsia" w:ascii="Times New Roman" w:hAnsi="Times New Roman" w:eastAsia="仿宋_GB2312"/>
                <w:sz w:val="28"/>
                <w:szCs w:val="28"/>
              </w:rPr>
              <w:t>窑</w:t>
            </w:r>
            <w:r>
              <w:rPr>
                <w:rFonts w:ascii="Times New Roman" w:hAnsi="Times New Roman" w:eastAsia="仿宋_GB2312"/>
                <w:sz w:val="28"/>
                <w:szCs w:val="28"/>
              </w:rPr>
              <w:t>、回转窑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w:t>
            </w:r>
            <w:r>
              <w:rPr>
                <w:rFonts w:ascii="Times New Roman" w:hAnsi="Times New Roman" w:eastAsia="仿宋_GB2312"/>
                <w:sz w:val="28"/>
                <w:szCs w:val="28"/>
              </w:rPr>
              <w:t>烧结球团</w:t>
            </w:r>
            <w:r>
              <w:rPr>
                <w:rFonts w:hint="eastAsia" w:ascii="Times New Roman" w:hAnsi="Times New Roman" w:eastAsia="仿宋_GB2312"/>
                <w:sz w:val="28"/>
                <w:szCs w:val="28"/>
              </w:rPr>
              <w:t>的</w:t>
            </w:r>
            <w:r>
              <w:rPr>
                <w:rFonts w:ascii="Times New Roman" w:hAnsi="Times New Roman" w:eastAsia="仿宋_GB2312"/>
                <w:sz w:val="28"/>
                <w:szCs w:val="28"/>
              </w:rPr>
              <w:t>烧结机</w:t>
            </w:r>
            <w:r>
              <w:rPr>
                <w:rFonts w:hint="eastAsia" w:ascii="Times New Roman" w:hAnsi="Times New Roman" w:eastAsia="仿宋_GB2312"/>
                <w:sz w:val="28"/>
                <w:szCs w:val="28"/>
              </w:rPr>
              <w:t>、预热炉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w:t>
            </w:r>
            <w:r>
              <w:rPr>
                <w:rFonts w:ascii="Times New Roman" w:hAnsi="Times New Roman" w:eastAsia="仿宋_GB2312"/>
                <w:sz w:val="28"/>
                <w:szCs w:val="28"/>
              </w:rPr>
              <w:t>烧结球团</w:t>
            </w:r>
            <w:r>
              <w:rPr>
                <w:rFonts w:hint="eastAsia" w:ascii="Times New Roman" w:hAnsi="Times New Roman" w:eastAsia="仿宋_GB2312"/>
                <w:sz w:val="28"/>
                <w:szCs w:val="28"/>
              </w:rPr>
              <w:t>的烟气氨法脱硫液氨储罐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w:t>
            </w:r>
            <w:r>
              <w:rPr>
                <w:rFonts w:ascii="Times New Roman" w:hAnsi="Times New Roman" w:eastAsia="仿宋_GB2312"/>
                <w:sz w:val="28"/>
                <w:szCs w:val="28"/>
              </w:rPr>
              <w:t>烧结球团</w:t>
            </w:r>
            <w:r>
              <w:rPr>
                <w:rFonts w:hint="eastAsia" w:ascii="Times New Roman" w:hAnsi="Times New Roman" w:eastAsia="仿宋_GB2312"/>
                <w:sz w:val="28"/>
                <w:szCs w:val="28"/>
              </w:rPr>
              <w:t>的烟气氨法脱硫液氨储罐缷氨鹤管</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炼铁</w:t>
            </w:r>
            <w:r>
              <w:rPr>
                <w:rFonts w:hint="eastAsia" w:ascii="Times New Roman" w:hAnsi="Times New Roman" w:eastAsia="仿宋_GB2312"/>
                <w:sz w:val="28"/>
                <w:szCs w:val="28"/>
              </w:rPr>
              <w:t>的</w:t>
            </w:r>
            <w:r>
              <w:rPr>
                <w:rFonts w:ascii="Times New Roman" w:hAnsi="Times New Roman" w:eastAsia="仿宋_GB2312"/>
                <w:sz w:val="28"/>
                <w:szCs w:val="28"/>
              </w:rPr>
              <w:t>高炉</w:t>
            </w:r>
            <w:r>
              <w:rPr>
                <w:rFonts w:hint="eastAsia" w:ascii="Times New Roman" w:hAnsi="Times New Roman" w:eastAsia="仿宋_GB2312"/>
                <w:sz w:val="28"/>
                <w:szCs w:val="28"/>
              </w:rPr>
              <w:t>炉基、炉底</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炼铁</w:t>
            </w:r>
            <w:r>
              <w:rPr>
                <w:rFonts w:hint="eastAsia" w:ascii="Times New Roman" w:hAnsi="Times New Roman" w:eastAsia="仿宋_GB2312"/>
                <w:sz w:val="28"/>
                <w:szCs w:val="28"/>
              </w:rPr>
              <w:t>的</w:t>
            </w:r>
            <w:r>
              <w:rPr>
                <w:rFonts w:ascii="Times New Roman" w:hAnsi="Times New Roman" w:eastAsia="仿宋_GB2312"/>
                <w:sz w:val="28"/>
                <w:szCs w:val="28"/>
              </w:rPr>
              <w:t>高炉</w:t>
            </w:r>
            <w:r>
              <w:rPr>
                <w:rFonts w:hint="eastAsia" w:ascii="Times New Roman" w:hAnsi="Times New Roman" w:eastAsia="仿宋_GB2312"/>
                <w:sz w:val="28"/>
                <w:szCs w:val="28"/>
              </w:rPr>
              <w:t>炉体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炼铁</w:t>
            </w:r>
            <w:r>
              <w:rPr>
                <w:rFonts w:hint="eastAsia" w:ascii="Times New Roman" w:hAnsi="Times New Roman" w:eastAsia="仿宋_GB2312"/>
                <w:sz w:val="28"/>
                <w:szCs w:val="28"/>
              </w:rPr>
              <w:t>的</w:t>
            </w:r>
            <w:r>
              <w:rPr>
                <w:rFonts w:ascii="Times New Roman" w:hAnsi="Times New Roman" w:eastAsia="仿宋_GB2312"/>
                <w:sz w:val="28"/>
                <w:szCs w:val="28"/>
              </w:rPr>
              <w:t>高炉</w:t>
            </w:r>
            <w:r>
              <w:rPr>
                <w:rFonts w:hint="eastAsia" w:ascii="Times New Roman" w:hAnsi="Times New Roman" w:eastAsia="仿宋_GB2312"/>
                <w:sz w:val="28"/>
                <w:szCs w:val="28"/>
              </w:rPr>
              <w:t>炉前出铁场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炼铁</w:t>
            </w:r>
            <w:r>
              <w:rPr>
                <w:rFonts w:hint="eastAsia" w:ascii="Times New Roman" w:hAnsi="Times New Roman" w:eastAsia="仿宋_GB2312"/>
                <w:sz w:val="28"/>
                <w:szCs w:val="28"/>
              </w:rPr>
              <w:t>的</w:t>
            </w:r>
            <w:r>
              <w:rPr>
                <w:rFonts w:ascii="Times New Roman" w:hAnsi="Times New Roman" w:eastAsia="仿宋_GB2312"/>
                <w:sz w:val="28"/>
                <w:szCs w:val="28"/>
              </w:rPr>
              <w:t>高炉</w:t>
            </w:r>
            <w:r>
              <w:rPr>
                <w:rFonts w:hint="eastAsia" w:ascii="Times New Roman" w:hAnsi="Times New Roman" w:eastAsia="仿宋_GB2312"/>
                <w:sz w:val="28"/>
                <w:szCs w:val="28"/>
              </w:rPr>
              <w:t>炉前出铁场受铁口</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炼铁</w:t>
            </w:r>
            <w:r>
              <w:rPr>
                <w:rFonts w:hint="eastAsia" w:ascii="Times New Roman" w:hAnsi="Times New Roman" w:eastAsia="仿宋_GB2312"/>
                <w:sz w:val="28"/>
                <w:szCs w:val="28"/>
              </w:rPr>
              <w:t>的</w:t>
            </w:r>
            <w:r>
              <w:rPr>
                <w:rFonts w:ascii="Times New Roman" w:hAnsi="Times New Roman" w:eastAsia="仿宋_GB2312"/>
                <w:sz w:val="28"/>
                <w:szCs w:val="28"/>
              </w:rPr>
              <w:t>高炉</w:t>
            </w:r>
            <w:r>
              <w:rPr>
                <w:rFonts w:hint="eastAsia" w:ascii="Times New Roman" w:hAnsi="Times New Roman" w:eastAsia="仿宋_GB2312"/>
                <w:sz w:val="28"/>
                <w:szCs w:val="28"/>
              </w:rPr>
              <w:t>炉前休息室（含看水工休息室）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炼铁</w:t>
            </w:r>
            <w:r>
              <w:rPr>
                <w:rFonts w:hint="eastAsia" w:ascii="Times New Roman" w:hAnsi="Times New Roman" w:eastAsia="仿宋_GB2312"/>
                <w:sz w:val="28"/>
                <w:szCs w:val="28"/>
              </w:rPr>
              <w:t>的热风炉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高炉煤气回收除尘器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高炉煤气回收风机房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高炉煤气余压透平发电装置（TRT）、高炉煤气余压透平鼓风装置（BPRT）</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高炉煤气余压透平发电装置（TRT）、高炉煤气余压透平鼓风装置（BPRT）控制室、休息室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高炉煤粉制备及喷吹系统的煤磨机、煤粉仓、除尘器、喷吹罐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采用爆破法拆除炉墙砖衬、炉瘤和死铁层</w:t>
            </w:r>
            <w:r>
              <w:rPr>
                <w:rFonts w:hint="eastAsia" w:ascii="Times New Roman" w:hAnsi="Times New Roman" w:eastAsia="仿宋_GB2312"/>
                <w:sz w:val="28"/>
                <w:szCs w:val="28"/>
              </w:rPr>
              <w:t>的高炉炉内</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火药爆炸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炼钢</w:t>
            </w:r>
            <w:r>
              <w:rPr>
                <w:rFonts w:hint="eastAsia" w:ascii="Times New Roman" w:hAnsi="Times New Roman" w:eastAsia="仿宋_GB2312"/>
                <w:sz w:val="28"/>
                <w:szCs w:val="28"/>
              </w:rPr>
              <w:t>的</w:t>
            </w:r>
            <w:r>
              <w:rPr>
                <w:rFonts w:ascii="Times New Roman" w:hAnsi="Times New Roman" w:eastAsia="仿宋_GB2312"/>
                <w:sz w:val="28"/>
                <w:szCs w:val="28"/>
              </w:rPr>
              <w:t>转炉、</w:t>
            </w:r>
            <w:r>
              <w:rPr>
                <w:rFonts w:hint="eastAsia" w:ascii="Times New Roman" w:hAnsi="Times New Roman" w:eastAsia="仿宋_GB2312"/>
                <w:sz w:val="28"/>
                <w:szCs w:val="28"/>
              </w:rPr>
              <w:t>混铁炉、精炼炉</w:t>
            </w:r>
            <w:r>
              <w:rPr>
                <w:rFonts w:ascii="Times New Roman" w:hAnsi="Times New Roman" w:eastAsia="仿宋_GB2312"/>
                <w:sz w:val="28"/>
                <w:szCs w:val="28"/>
              </w:rPr>
              <w:t>、电炉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炼钢的</w:t>
            </w:r>
            <w:r>
              <w:rPr>
                <w:rFonts w:ascii="Times New Roman" w:hAnsi="Times New Roman" w:eastAsia="仿宋_GB2312"/>
                <w:sz w:val="28"/>
                <w:szCs w:val="28"/>
              </w:rPr>
              <w:t>连铸机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炼钢用活性石灰生产系统的竖窑、回转窑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炼钢用活性石灰生产系统的煤气加压站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炼钢的</w:t>
            </w:r>
            <w:r>
              <w:rPr>
                <w:rFonts w:ascii="Times New Roman" w:hAnsi="Times New Roman" w:eastAsia="仿宋_GB2312"/>
                <w:sz w:val="28"/>
                <w:szCs w:val="28"/>
              </w:rPr>
              <w:t>转炉塔楼</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转炉煤气回收除尘器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转炉煤气回收抽气机室、加压机房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转炉煤气回收控制室、休息室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轧钢</w:t>
            </w:r>
            <w:r>
              <w:rPr>
                <w:rFonts w:hint="eastAsia" w:ascii="Times New Roman" w:hAnsi="Times New Roman" w:eastAsia="仿宋_GB2312"/>
                <w:sz w:val="28"/>
                <w:szCs w:val="28"/>
              </w:rPr>
              <w:t>的</w:t>
            </w:r>
            <w:r>
              <w:rPr>
                <w:rFonts w:ascii="Times New Roman" w:hAnsi="Times New Roman" w:eastAsia="仿宋_GB2312"/>
                <w:sz w:val="28"/>
                <w:szCs w:val="28"/>
              </w:rPr>
              <w:t>煤</w:t>
            </w:r>
            <w:r>
              <w:rPr>
                <w:rFonts w:hint="eastAsia" w:ascii="Times New Roman" w:hAnsi="Times New Roman" w:eastAsia="仿宋_GB2312"/>
                <w:sz w:val="28"/>
                <w:szCs w:val="28"/>
              </w:rPr>
              <w:t>（燃）</w:t>
            </w:r>
            <w:r>
              <w:rPr>
                <w:rFonts w:ascii="Times New Roman" w:hAnsi="Times New Roman" w:eastAsia="仿宋_GB2312"/>
                <w:sz w:val="28"/>
                <w:szCs w:val="28"/>
              </w:rPr>
              <w:t>气加热炉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轧钢</w:t>
            </w:r>
            <w:r>
              <w:rPr>
                <w:rFonts w:hint="eastAsia" w:ascii="Times New Roman" w:hAnsi="Times New Roman" w:eastAsia="仿宋_GB2312"/>
                <w:sz w:val="28"/>
                <w:szCs w:val="28"/>
              </w:rPr>
              <w:t>的</w:t>
            </w:r>
            <w:r>
              <w:rPr>
                <w:rFonts w:ascii="Times New Roman" w:hAnsi="Times New Roman" w:eastAsia="仿宋_GB2312"/>
                <w:sz w:val="28"/>
                <w:szCs w:val="28"/>
              </w:rPr>
              <w:t>煤</w:t>
            </w:r>
            <w:r>
              <w:rPr>
                <w:rFonts w:hint="eastAsia" w:ascii="Times New Roman" w:hAnsi="Times New Roman" w:eastAsia="仿宋_GB2312"/>
                <w:sz w:val="28"/>
                <w:szCs w:val="28"/>
              </w:rPr>
              <w:t>（燃）</w:t>
            </w:r>
            <w:r>
              <w:rPr>
                <w:rFonts w:ascii="Times New Roman" w:hAnsi="Times New Roman" w:eastAsia="仿宋_GB2312"/>
                <w:sz w:val="28"/>
                <w:szCs w:val="28"/>
              </w:rPr>
              <w:t>气加热炉</w:t>
            </w:r>
            <w:r>
              <w:rPr>
                <w:rFonts w:hint="eastAsia" w:ascii="Times New Roman" w:hAnsi="Times New Roman" w:eastAsia="仿宋_GB2312"/>
                <w:sz w:val="28"/>
                <w:szCs w:val="28"/>
              </w:rPr>
              <w:t>控制室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轧钢</w:t>
            </w:r>
            <w:r>
              <w:rPr>
                <w:rFonts w:hint="eastAsia" w:ascii="Times New Roman" w:hAnsi="Times New Roman" w:eastAsia="仿宋_GB2312"/>
                <w:sz w:val="28"/>
                <w:szCs w:val="28"/>
              </w:rPr>
              <w:t>的燃（油）</w:t>
            </w:r>
            <w:r>
              <w:rPr>
                <w:rFonts w:ascii="Times New Roman" w:hAnsi="Times New Roman" w:eastAsia="仿宋_GB2312"/>
                <w:sz w:val="28"/>
                <w:szCs w:val="28"/>
              </w:rPr>
              <w:t>气加热炉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铁合金电炉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铁合金电炉</w:t>
            </w:r>
            <w:r>
              <w:rPr>
                <w:rFonts w:hint="eastAsia" w:ascii="Times New Roman" w:hAnsi="Times New Roman" w:eastAsia="仿宋_GB2312"/>
                <w:sz w:val="28"/>
                <w:szCs w:val="28"/>
              </w:rPr>
              <w:t>炉底</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铁合金电炉</w:t>
            </w:r>
            <w:r>
              <w:rPr>
                <w:rFonts w:hint="eastAsia" w:ascii="Times New Roman" w:hAnsi="Times New Roman" w:eastAsia="仿宋_GB2312"/>
                <w:sz w:val="28"/>
                <w:szCs w:val="28"/>
              </w:rPr>
              <w:t>附属水冷烟道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铁合金电炉</w:t>
            </w:r>
            <w:r>
              <w:rPr>
                <w:rFonts w:hint="eastAsia" w:ascii="Times New Roman" w:hAnsi="Times New Roman" w:eastAsia="仿宋_GB2312"/>
                <w:sz w:val="28"/>
                <w:szCs w:val="28"/>
              </w:rPr>
              <w:t>电机壳焊接平台</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铁合金密闭电炉的煤气净化</w:t>
            </w:r>
            <w:r>
              <w:rPr>
                <w:rFonts w:hint="eastAsia" w:ascii="Times New Roman" w:hAnsi="Times New Roman" w:eastAsia="仿宋_GB2312"/>
                <w:sz w:val="28"/>
                <w:szCs w:val="28"/>
              </w:rPr>
              <w:t>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铁合金密闭电炉的</w:t>
            </w:r>
            <w:r>
              <w:rPr>
                <w:rFonts w:hint="eastAsia" w:ascii="Times New Roman" w:hAnsi="Times New Roman" w:eastAsia="仿宋_GB2312"/>
                <w:sz w:val="28"/>
                <w:szCs w:val="28"/>
              </w:rPr>
              <w:t>煤气抽气机室、加压机房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铁水罐、钢水罐、中间罐烘烤器</w:t>
            </w:r>
            <w:r>
              <w:rPr>
                <w:rFonts w:hint="eastAsia" w:ascii="Times New Roman" w:hAnsi="Times New Roman" w:eastAsia="仿宋_GB2312"/>
                <w:sz w:val="28"/>
                <w:szCs w:val="28"/>
              </w:rPr>
              <w:t>（煤气）</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w:t>
            </w:r>
            <w:r>
              <w:rPr>
                <w:rFonts w:ascii="Times New Roman" w:hAnsi="Times New Roman" w:eastAsia="仿宋_GB2312"/>
                <w:sz w:val="28"/>
                <w:szCs w:val="28"/>
              </w:rPr>
              <w:t>铁水罐、钢水罐</w:t>
            </w:r>
            <w:r>
              <w:rPr>
                <w:rFonts w:hint="eastAsia" w:ascii="Times New Roman" w:hAnsi="Times New Roman" w:eastAsia="仿宋_GB2312"/>
                <w:sz w:val="28"/>
                <w:szCs w:val="28"/>
              </w:rPr>
              <w:t>集中烘烤区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独立炼钢企业</w:t>
            </w:r>
            <w:r>
              <w:rPr>
                <w:rFonts w:ascii="Times New Roman" w:hAnsi="Times New Roman" w:eastAsia="仿宋_GB2312"/>
                <w:sz w:val="28"/>
                <w:szCs w:val="28"/>
              </w:rPr>
              <w:t>铁水罐、钢水罐、中间罐烘烤器</w:t>
            </w:r>
            <w:r>
              <w:rPr>
                <w:rFonts w:hint="eastAsia" w:ascii="Times New Roman" w:hAnsi="Times New Roman" w:eastAsia="仿宋_GB2312"/>
                <w:sz w:val="28"/>
                <w:szCs w:val="28"/>
              </w:rPr>
              <w:t>（天然气、油）</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6"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独立炼钢企业</w:t>
            </w:r>
            <w:r>
              <w:rPr>
                <w:rFonts w:ascii="Times New Roman" w:hAnsi="Times New Roman" w:eastAsia="仿宋_GB2312"/>
                <w:sz w:val="28"/>
                <w:szCs w:val="28"/>
              </w:rPr>
              <w:t>铁水罐、钢水罐</w:t>
            </w:r>
            <w:r>
              <w:rPr>
                <w:rFonts w:hint="eastAsia" w:ascii="Times New Roman" w:hAnsi="Times New Roman" w:eastAsia="仿宋_GB2312"/>
                <w:sz w:val="28"/>
                <w:szCs w:val="28"/>
              </w:rPr>
              <w:t>集中烘烤区（天然气、油）</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吊运高温熔体的冶金起重机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起重伤害</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9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厂内道路运输高温熔体的车辆</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煤气发生炉及煤气除尘器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煤气柜</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煤气加压站</w:t>
            </w:r>
            <w:r>
              <w:rPr>
                <w:rFonts w:hint="eastAsia" w:ascii="Times New Roman" w:hAnsi="Times New Roman" w:eastAsia="仿宋_GB2312"/>
                <w:sz w:val="28"/>
                <w:szCs w:val="28"/>
              </w:rPr>
              <w:t>（加压机房）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煤气加压站</w:t>
            </w:r>
            <w:r>
              <w:rPr>
                <w:rFonts w:hint="eastAsia" w:ascii="Times New Roman" w:hAnsi="Times New Roman" w:eastAsia="仿宋_GB2312"/>
                <w:sz w:val="28"/>
                <w:szCs w:val="28"/>
              </w:rPr>
              <w:t>（加压机房）休息室、控制室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煤气锅炉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b/>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钢铁联合企业烧结一次、二次混料筒</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钢铁联合企业烧结球团、活性石灰原料场的料仓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独立烧结一次、二次混料筒</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独立烧结球团、活性石灰原料场的料仓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盛装高温熔体或液渣</w:t>
            </w:r>
            <w:r>
              <w:rPr>
                <w:rFonts w:hint="eastAsia" w:ascii="Times New Roman" w:hAnsi="Times New Roman" w:eastAsia="仿宋_GB2312"/>
                <w:sz w:val="28"/>
                <w:szCs w:val="28"/>
              </w:rPr>
              <w:t>的</w:t>
            </w:r>
            <w:r>
              <w:rPr>
                <w:rFonts w:ascii="Times New Roman" w:hAnsi="Times New Roman" w:eastAsia="仿宋_GB2312"/>
                <w:sz w:val="28"/>
                <w:szCs w:val="28"/>
              </w:rPr>
              <w:t>铁水包、钢水包、液渣盆、液渣罐等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热闷渣处理场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用于连铸坯火焰切割用气的丙烷站、氢氧站</w:t>
            </w:r>
            <w:r>
              <w:rPr>
                <w:rFonts w:hint="eastAsia" w:ascii="Times New Roman" w:hAnsi="Times New Roman" w:eastAsia="仿宋_GB2312"/>
                <w:sz w:val="28"/>
                <w:szCs w:val="28"/>
              </w:rPr>
              <w:t>、燃气站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地下润滑站或稀油站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钢铁联合企业轧钢</w:t>
            </w:r>
            <w:r>
              <w:rPr>
                <w:rFonts w:ascii="Times New Roman" w:hAnsi="Times New Roman" w:eastAsia="仿宋_GB2312"/>
                <w:sz w:val="28"/>
                <w:szCs w:val="28"/>
              </w:rPr>
              <w:t>煤气加热炉</w:t>
            </w:r>
            <w:r>
              <w:rPr>
                <w:rFonts w:hint="eastAsia" w:ascii="Times New Roman" w:hAnsi="Times New Roman" w:eastAsia="仿宋_GB2312"/>
                <w:sz w:val="28"/>
                <w:szCs w:val="28"/>
              </w:rPr>
              <w:t>风机房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钢铁联合企业轧钢</w:t>
            </w:r>
            <w:r>
              <w:rPr>
                <w:rFonts w:ascii="Times New Roman" w:hAnsi="Times New Roman" w:eastAsia="仿宋_GB2312"/>
                <w:sz w:val="28"/>
                <w:szCs w:val="28"/>
              </w:rPr>
              <w:t>加热炉</w:t>
            </w:r>
            <w:r>
              <w:rPr>
                <w:rFonts w:hint="eastAsia" w:ascii="Times New Roman" w:hAnsi="Times New Roman" w:eastAsia="仿宋_GB2312"/>
                <w:sz w:val="28"/>
                <w:szCs w:val="28"/>
              </w:rPr>
              <w:t>柴油发电机（或柴油泵）及其附属油箱</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独立轧钢</w:t>
            </w:r>
            <w:r>
              <w:rPr>
                <w:rFonts w:ascii="Times New Roman" w:hAnsi="Times New Roman" w:eastAsia="仿宋_GB2312"/>
                <w:sz w:val="28"/>
                <w:szCs w:val="28"/>
              </w:rPr>
              <w:t>煤气加热炉</w:t>
            </w:r>
            <w:r>
              <w:rPr>
                <w:rFonts w:hint="eastAsia" w:ascii="Times New Roman" w:hAnsi="Times New Roman" w:eastAsia="仿宋_GB2312"/>
                <w:sz w:val="28"/>
                <w:szCs w:val="28"/>
              </w:rPr>
              <w:t>风机房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独立轧钢</w:t>
            </w:r>
            <w:r>
              <w:rPr>
                <w:rFonts w:ascii="Times New Roman" w:hAnsi="Times New Roman" w:eastAsia="仿宋_GB2312"/>
                <w:sz w:val="28"/>
                <w:szCs w:val="28"/>
              </w:rPr>
              <w:t>加热炉</w:t>
            </w:r>
            <w:r>
              <w:rPr>
                <w:rFonts w:hint="eastAsia" w:ascii="Times New Roman" w:hAnsi="Times New Roman" w:eastAsia="仿宋_GB2312"/>
                <w:sz w:val="28"/>
                <w:szCs w:val="28"/>
              </w:rPr>
              <w:t>柴油发电机（或柴油泵）及其附属油箱</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除氧器、蓄热器、</w:t>
            </w:r>
            <w:r>
              <w:rPr>
                <w:rFonts w:ascii="Times New Roman" w:hAnsi="Times New Roman" w:eastAsia="仿宋_GB2312"/>
                <w:sz w:val="28"/>
                <w:szCs w:val="28"/>
              </w:rPr>
              <w:t>汽包</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跨越厂内主要道路的煤气管道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煤气管道可靠隔断装置操作平台</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煤气排水器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w:t>
            </w:r>
            <w:r>
              <w:rPr>
                <w:rFonts w:ascii="Times New Roman" w:hAnsi="Times New Roman" w:eastAsia="仿宋_GB2312"/>
                <w:sz w:val="28"/>
                <w:szCs w:val="28"/>
              </w:rPr>
              <w:t>有限空间</w:t>
            </w:r>
            <w:r>
              <w:rPr>
                <w:rFonts w:hint="eastAsia" w:ascii="Times New Roman" w:hAnsi="Times New Roman" w:eastAsia="仿宋_GB2312"/>
                <w:sz w:val="28"/>
                <w:szCs w:val="28"/>
              </w:rPr>
              <w:t>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20" w:hRule="atLeast"/>
        </w:trPr>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2</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有色</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行业</w:t>
            </w:r>
          </w:p>
        </w:tc>
        <w:tc>
          <w:tcPr>
            <w:tcW w:w="862" w:type="dxa"/>
            <w:vMerge w:val="restart"/>
            <w:vAlign w:val="center"/>
          </w:tcPr>
          <w:p>
            <w:pPr>
              <w:adjustRightInd w:val="0"/>
              <w:snapToGrid w:val="0"/>
              <w:jc w:val="center"/>
              <w:rPr>
                <w:rFonts w:ascii="Times New Roman" w:hAnsi="Times New Roman" w:eastAsia="仿宋_GB2312"/>
                <w:b/>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铜</w:t>
            </w:r>
            <w:r>
              <w:rPr>
                <w:rFonts w:ascii="Times New Roman" w:hAnsi="Times New Roman" w:eastAsia="仿宋_GB2312"/>
                <w:sz w:val="28"/>
                <w:szCs w:val="28"/>
              </w:rPr>
              <w:t>冶炼</w:t>
            </w:r>
            <w:r>
              <w:rPr>
                <w:rFonts w:hint="eastAsia" w:ascii="Times New Roman" w:hAnsi="Times New Roman" w:eastAsia="仿宋_GB2312"/>
                <w:sz w:val="28"/>
                <w:szCs w:val="28"/>
              </w:rPr>
              <w:t>的熔炼炉（如艾萨炉、奥斯麦特炉等）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铜</w:t>
            </w:r>
            <w:r>
              <w:rPr>
                <w:rFonts w:ascii="Times New Roman" w:hAnsi="Times New Roman" w:eastAsia="仿宋_GB2312"/>
                <w:sz w:val="28"/>
                <w:szCs w:val="28"/>
              </w:rPr>
              <w:t>冶炼</w:t>
            </w:r>
            <w:r>
              <w:rPr>
                <w:rFonts w:hint="eastAsia" w:ascii="Times New Roman" w:hAnsi="Times New Roman" w:eastAsia="仿宋_GB2312"/>
                <w:sz w:val="28"/>
                <w:szCs w:val="28"/>
              </w:rPr>
              <w:t>的精炼炉、电炉、转炉、阳极炉等</w:t>
            </w:r>
            <w:r>
              <w:rPr>
                <w:rFonts w:ascii="Times New Roman" w:hAnsi="Times New Roman" w:eastAsia="仿宋_GB2312"/>
                <w:sz w:val="28"/>
                <w:szCs w:val="28"/>
              </w:rPr>
              <w:t>炉窑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铜</w:t>
            </w:r>
            <w:r>
              <w:rPr>
                <w:rFonts w:ascii="Times New Roman" w:hAnsi="Times New Roman" w:eastAsia="仿宋_GB2312"/>
                <w:sz w:val="28"/>
                <w:szCs w:val="28"/>
              </w:rPr>
              <w:t>冶炼</w:t>
            </w:r>
            <w:r>
              <w:rPr>
                <w:rFonts w:hint="eastAsia" w:ascii="Times New Roman" w:hAnsi="Times New Roman" w:eastAsia="仿宋_GB2312"/>
                <w:sz w:val="28"/>
                <w:szCs w:val="28"/>
              </w:rPr>
              <w:t>阳极浇铸系统的溜槽、中间包、浇包、铜模</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铜湿法精炼的电积脱砷厂房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铅锌</w:t>
            </w:r>
            <w:r>
              <w:rPr>
                <w:rFonts w:ascii="Times New Roman" w:hAnsi="Times New Roman" w:eastAsia="仿宋_GB2312"/>
                <w:sz w:val="28"/>
                <w:szCs w:val="28"/>
              </w:rPr>
              <w:t>冶炼</w:t>
            </w:r>
            <w:r>
              <w:rPr>
                <w:rFonts w:hint="eastAsia" w:ascii="Times New Roman" w:hAnsi="Times New Roman" w:eastAsia="仿宋_GB2312"/>
                <w:sz w:val="28"/>
                <w:szCs w:val="28"/>
              </w:rPr>
              <w:t>的熔炼炉（如艾萨炉、奥斯麦特炉等）、烟化炉、阳极炉、电炉、</w:t>
            </w:r>
            <w:r>
              <w:rPr>
                <w:rFonts w:ascii="Times New Roman" w:hAnsi="Times New Roman" w:eastAsia="仿宋_GB2312"/>
                <w:sz w:val="28"/>
                <w:szCs w:val="28"/>
              </w:rPr>
              <w:t>中（工）频炉</w:t>
            </w:r>
            <w:r>
              <w:rPr>
                <w:rFonts w:hint="eastAsia" w:ascii="Times New Roman" w:hAnsi="Times New Roman" w:eastAsia="仿宋_GB2312"/>
                <w:sz w:val="28"/>
                <w:szCs w:val="28"/>
              </w:rPr>
              <w:t>、熔铅锅等</w:t>
            </w:r>
            <w:r>
              <w:rPr>
                <w:rFonts w:ascii="Times New Roman" w:hAnsi="Times New Roman" w:eastAsia="仿宋_GB2312"/>
                <w:sz w:val="28"/>
                <w:szCs w:val="28"/>
              </w:rPr>
              <w:t>炉窑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湿法锌</w:t>
            </w:r>
            <w:r>
              <w:rPr>
                <w:rFonts w:ascii="Times New Roman" w:hAnsi="Times New Roman" w:eastAsia="仿宋_GB2312"/>
                <w:sz w:val="28"/>
                <w:szCs w:val="28"/>
              </w:rPr>
              <w:t>冶炼</w:t>
            </w:r>
            <w:r>
              <w:rPr>
                <w:rFonts w:hint="eastAsia" w:ascii="Times New Roman" w:hAnsi="Times New Roman" w:eastAsia="仿宋_GB2312"/>
                <w:sz w:val="28"/>
                <w:szCs w:val="28"/>
              </w:rPr>
              <w:t>的</w:t>
            </w:r>
            <w:r>
              <w:rPr>
                <w:rFonts w:ascii="Times New Roman" w:hAnsi="Times New Roman" w:eastAsia="仿宋_GB2312"/>
                <w:sz w:val="28"/>
                <w:szCs w:val="28"/>
              </w:rPr>
              <w:t>净化</w:t>
            </w:r>
            <w:r>
              <w:rPr>
                <w:rFonts w:hint="eastAsia" w:ascii="Times New Roman" w:hAnsi="Times New Roman" w:eastAsia="仿宋_GB2312"/>
                <w:sz w:val="28"/>
                <w:szCs w:val="28"/>
              </w:rPr>
              <w:t>工序净化槽及槽下部区域</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湿法锌</w:t>
            </w:r>
            <w:r>
              <w:rPr>
                <w:rFonts w:ascii="Times New Roman" w:hAnsi="Times New Roman" w:eastAsia="仿宋_GB2312"/>
                <w:sz w:val="28"/>
                <w:szCs w:val="28"/>
              </w:rPr>
              <w:t>冶炼</w:t>
            </w:r>
            <w:r>
              <w:rPr>
                <w:rFonts w:hint="eastAsia" w:ascii="Times New Roman" w:hAnsi="Times New Roman" w:eastAsia="仿宋_GB2312"/>
                <w:sz w:val="28"/>
                <w:szCs w:val="28"/>
              </w:rPr>
              <w:t>镉</w:t>
            </w:r>
            <w:r>
              <w:rPr>
                <w:rFonts w:ascii="Times New Roman" w:hAnsi="Times New Roman" w:eastAsia="仿宋_GB2312"/>
                <w:sz w:val="28"/>
                <w:szCs w:val="28"/>
              </w:rPr>
              <w:t>回收</w:t>
            </w:r>
            <w:r>
              <w:rPr>
                <w:rFonts w:hint="eastAsia" w:ascii="Times New Roman" w:hAnsi="Times New Roman" w:eastAsia="仿宋_GB2312"/>
                <w:sz w:val="28"/>
                <w:szCs w:val="28"/>
              </w:rPr>
              <w:t>工序的搅拌槽及槽下部区域</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湿法锌</w:t>
            </w:r>
            <w:r>
              <w:rPr>
                <w:rFonts w:ascii="Times New Roman" w:hAnsi="Times New Roman" w:eastAsia="仿宋_GB2312"/>
                <w:sz w:val="28"/>
                <w:szCs w:val="28"/>
              </w:rPr>
              <w:t>冶炼综合回收</w:t>
            </w:r>
            <w:r>
              <w:rPr>
                <w:rFonts w:hint="eastAsia" w:ascii="Times New Roman" w:hAnsi="Times New Roman" w:eastAsia="仿宋_GB2312"/>
                <w:sz w:val="28"/>
                <w:szCs w:val="28"/>
              </w:rPr>
              <w:t>工序净化槽及槽下部区域</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酸洗滤袋槽</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锡冶炼的熔炼炉（如艾萨炉、奥斯麦特炉等）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锡冶炼的熔炼炉烟气炉、电炉、</w:t>
            </w:r>
            <w:r>
              <w:rPr>
                <w:rFonts w:ascii="Times New Roman" w:hAnsi="Times New Roman" w:eastAsia="仿宋_GB2312"/>
                <w:sz w:val="28"/>
                <w:szCs w:val="28"/>
              </w:rPr>
              <w:t>中（工）频炉</w:t>
            </w:r>
            <w:r>
              <w:rPr>
                <w:rFonts w:hint="eastAsia" w:ascii="Times New Roman" w:hAnsi="Times New Roman" w:eastAsia="仿宋_GB2312"/>
                <w:sz w:val="28"/>
                <w:szCs w:val="28"/>
              </w:rPr>
              <w:t>、熔锡锅等</w:t>
            </w:r>
            <w:r>
              <w:rPr>
                <w:rFonts w:ascii="Times New Roman" w:hAnsi="Times New Roman" w:eastAsia="仿宋_GB2312"/>
                <w:sz w:val="28"/>
                <w:szCs w:val="28"/>
              </w:rPr>
              <w:t>炉窑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铝电解的电解槽、熔炼炉、保温炉等</w:t>
            </w:r>
            <w:r>
              <w:rPr>
                <w:rFonts w:ascii="Times New Roman" w:hAnsi="Times New Roman" w:eastAsia="仿宋_GB2312"/>
                <w:sz w:val="28"/>
                <w:szCs w:val="28"/>
              </w:rPr>
              <w:t>炉窑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铝压延加工用圆棒生产的深井浇铸工区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铝连续铸锭机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铝电解用碳素生产的回转窑、煅烧炉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铝电解用碳素生产的沥青熔化器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铝电解用碳素生产的高楼部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rPr>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rPr>
                <w:rFonts w:ascii="Times New Roman" w:hAnsi="Times New Roman" w:eastAsia="仿宋_GB2312"/>
                <w:sz w:val="28"/>
                <w:szCs w:val="28"/>
              </w:rPr>
            </w:pPr>
            <w:r>
              <w:rPr>
                <w:rFonts w:hint="eastAsia" w:ascii="Times New Roman" w:hAnsi="Times New Roman" w:eastAsia="仿宋_GB2312"/>
                <w:sz w:val="28"/>
                <w:szCs w:val="28"/>
              </w:rPr>
              <w:t>铝电解用碳素生产的导热油加热炉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铝板带材加工的冷轧系统的轧机、轧制油站、全油回收装置、二氧化碳灭火装置）</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铝型材的喷涂</w:t>
            </w:r>
            <w:r>
              <w:rPr>
                <w:rFonts w:hint="eastAsia" w:ascii="Times New Roman" w:hAnsi="Times New Roman" w:eastAsia="仿宋_GB2312"/>
                <w:sz w:val="28"/>
                <w:szCs w:val="28"/>
              </w:rPr>
              <w:t>室（场所）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铝型材</w:t>
            </w:r>
            <w:r>
              <w:rPr>
                <w:rFonts w:hint="eastAsia" w:ascii="Times New Roman" w:hAnsi="Times New Roman" w:eastAsia="仿宋_GB2312"/>
                <w:sz w:val="28"/>
                <w:szCs w:val="28"/>
              </w:rPr>
              <w:t>企业</w:t>
            </w:r>
            <w:r>
              <w:rPr>
                <w:rFonts w:ascii="Times New Roman" w:hAnsi="Times New Roman" w:eastAsia="仿宋_GB2312"/>
                <w:sz w:val="28"/>
                <w:szCs w:val="28"/>
              </w:rPr>
              <w:t>液氨储罐区</w:t>
            </w:r>
            <w:r>
              <w:rPr>
                <w:rFonts w:hint="eastAsia" w:ascii="Times New Roman" w:hAnsi="Times New Roman" w:eastAsia="仿宋_GB2312"/>
                <w:sz w:val="28"/>
                <w:szCs w:val="28"/>
              </w:rPr>
              <w:t>、</w:t>
            </w:r>
            <w:r>
              <w:rPr>
                <w:rFonts w:ascii="Times New Roman" w:hAnsi="Times New Roman" w:eastAsia="仿宋_GB2312"/>
                <w:sz w:val="28"/>
                <w:szCs w:val="28"/>
              </w:rPr>
              <w:t>渗氮炉</w:t>
            </w:r>
            <w:r>
              <w:rPr>
                <w:rFonts w:hint="eastAsia" w:ascii="Times New Roman" w:hAnsi="Times New Roman" w:eastAsia="仿宋_GB2312"/>
                <w:sz w:val="28"/>
                <w:szCs w:val="28"/>
              </w:rPr>
              <w:t>（氨分解炉）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氧化铝生产用液氨储罐区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氧化铝生产的高压溶出管道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硅冶炼</w:t>
            </w:r>
            <w:r>
              <w:rPr>
                <w:rFonts w:ascii="Times New Roman" w:hAnsi="Times New Roman" w:eastAsia="仿宋_GB2312"/>
                <w:sz w:val="28"/>
                <w:szCs w:val="28"/>
              </w:rPr>
              <w:t>电炉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硅冶炼</w:t>
            </w:r>
            <w:r>
              <w:rPr>
                <w:rFonts w:ascii="Times New Roman" w:hAnsi="Times New Roman" w:eastAsia="仿宋_GB2312"/>
                <w:sz w:val="28"/>
                <w:szCs w:val="28"/>
              </w:rPr>
              <w:t>电炉</w:t>
            </w:r>
            <w:r>
              <w:rPr>
                <w:rFonts w:hint="eastAsia" w:ascii="Times New Roman" w:hAnsi="Times New Roman" w:eastAsia="仿宋_GB2312"/>
                <w:sz w:val="28"/>
                <w:szCs w:val="28"/>
              </w:rPr>
              <w:t>炉底</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硅冶炼</w:t>
            </w:r>
            <w:r>
              <w:rPr>
                <w:rFonts w:ascii="Times New Roman" w:hAnsi="Times New Roman" w:eastAsia="仿宋_GB2312"/>
                <w:sz w:val="28"/>
                <w:szCs w:val="28"/>
              </w:rPr>
              <w:t>电炉</w:t>
            </w:r>
            <w:r>
              <w:rPr>
                <w:rFonts w:hint="eastAsia" w:ascii="Times New Roman" w:hAnsi="Times New Roman" w:eastAsia="仿宋_GB2312"/>
                <w:sz w:val="28"/>
                <w:szCs w:val="28"/>
              </w:rPr>
              <w:t>附属水冷烟道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硅冶炼</w:t>
            </w:r>
            <w:r>
              <w:rPr>
                <w:rFonts w:ascii="Times New Roman" w:hAnsi="Times New Roman" w:eastAsia="仿宋_GB2312"/>
                <w:sz w:val="28"/>
                <w:szCs w:val="28"/>
              </w:rPr>
              <w:t>电炉</w:t>
            </w:r>
            <w:r>
              <w:rPr>
                <w:rFonts w:hint="eastAsia" w:ascii="Times New Roman" w:hAnsi="Times New Roman" w:eastAsia="仿宋_GB2312"/>
                <w:sz w:val="28"/>
                <w:szCs w:val="28"/>
              </w:rPr>
              <w:t>电机壳焊接平台</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高钛渣冶炼</w:t>
            </w:r>
            <w:r>
              <w:rPr>
                <w:rFonts w:ascii="Times New Roman" w:hAnsi="Times New Roman" w:eastAsia="仿宋_GB2312"/>
                <w:sz w:val="28"/>
                <w:szCs w:val="28"/>
              </w:rPr>
              <w:t>电炉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高钛渣冶炼</w:t>
            </w:r>
            <w:r>
              <w:rPr>
                <w:rFonts w:ascii="Times New Roman" w:hAnsi="Times New Roman" w:eastAsia="仿宋_GB2312"/>
                <w:sz w:val="28"/>
                <w:szCs w:val="28"/>
              </w:rPr>
              <w:t>电炉</w:t>
            </w:r>
            <w:r>
              <w:rPr>
                <w:rFonts w:hint="eastAsia" w:ascii="Times New Roman" w:hAnsi="Times New Roman" w:eastAsia="仿宋_GB2312"/>
                <w:sz w:val="28"/>
                <w:szCs w:val="28"/>
              </w:rPr>
              <w:t>炉底</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高钛渣冶炼</w:t>
            </w:r>
            <w:r>
              <w:rPr>
                <w:rFonts w:ascii="Times New Roman" w:hAnsi="Times New Roman" w:eastAsia="仿宋_GB2312"/>
                <w:sz w:val="28"/>
                <w:szCs w:val="28"/>
              </w:rPr>
              <w:t>电炉</w:t>
            </w:r>
            <w:r>
              <w:rPr>
                <w:rFonts w:hint="eastAsia" w:ascii="Times New Roman" w:hAnsi="Times New Roman" w:eastAsia="仿宋_GB2312"/>
                <w:sz w:val="28"/>
                <w:szCs w:val="28"/>
              </w:rPr>
              <w:t>附属水冷烟道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高钛渣冶炼</w:t>
            </w:r>
            <w:r>
              <w:rPr>
                <w:rFonts w:ascii="Times New Roman" w:hAnsi="Times New Roman" w:eastAsia="仿宋_GB2312"/>
                <w:sz w:val="28"/>
                <w:szCs w:val="28"/>
              </w:rPr>
              <w:t>电炉</w:t>
            </w:r>
            <w:r>
              <w:rPr>
                <w:rFonts w:hint="eastAsia" w:ascii="Times New Roman" w:hAnsi="Times New Roman" w:eastAsia="仿宋_GB2312"/>
                <w:sz w:val="28"/>
                <w:szCs w:val="28"/>
              </w:rPr>
              <w:t>电机壳焊接平台</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高钛渣冶炼</w:t>
            </w:r>
            <w:r>
              <w:rPr>
                <w:rFonts w:ascii="Times New Roman" w:hAnsi="Times New Roman" w:eastAsia="仿宋_GB2312"/>
                <w:sz w:val="28"/>
                <w:szCs w:val="28"/>
              </w:rPr>
              <w:t>密闭</w:t>
            </w:r>
            <w:r>
              <w:rPr>
                <w:rFonts w:hint="eastAsia" w:ascii="Times New Roman" w:hAnsi="Times New Roman" w:eastAsia="仿宋_GB2312"/>
                <w:sz w:val="28"/>
                <w:szCs w:val="28"/>
              </w:rPr>
              <w:t>式</w:t>
            </w:r>
            <w:r>
              <w:rPr>
                <w:rFonts w:ascii="Times New Roman" w:hAnsi="Times New Roman" w:eastAsia="仿宋_GB2312"/>
                <w:sz w:val="28"/>
                <w:szCs w:val="28"/>
              </w:rPr>
              <w:t>电炉的煤气净化</w:t>
            </w:r>
            <w:r>
              <w:rPr>
                <w:rFonts w:hint="eastAsia" w:ascii="Times New Roman" w:hAnsi="Times New Roman" w:eastAsia="仿宋_GB2312"/>
                <w:sz w:val="28"/>
                <w:szCs w:val="28"/>
              </w:rPr>
              <w:t>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高钛渣冶炼</w:t>
            </w:r>
            <w:r>
              <w:rPr>
                <w:rFonts w:ascii="Times New Roman" w:hAnsi="Times New Roman" w:eastAsia="仿宋_GB2312"/>
                <w:sz w:val="28"/>
                <w:szCs w:val="28"/>
              </w:rPr>
              <w:t>密闭</w:t>
            </w:r>
            <w:r>
              <w:rPr>
                <w:rFonts w:hint="eastAsia" w:ascii="Times New Roman" w:hAnsi="Times New Roman" w:eastAsia="仿宋_GB2312"/>
                <w:sz w:val="28"/>
                <w:szCs w:val="28"/>
              </w:rPr>
              <w:t>式</w:t>
            </w:r>
            <w:r>
              <w:rPr>
                <w:rFonts w:ascii="Times New Roman" w:hAnsi="Times New Roman" w:eastAsia="仿宋_GB2312"/>
                <w:sz w:val="28"/>
                <w:szCs w:val="28"/>
              </w:rPr>
              <w:t>电炉的</w:t>
            </w:r>
            <w:r>
              <w:rPr>
                <w:rFonts w:hint="eastAsia" w:ascii="Times New Roman" w:hAnsi="Times New Roman" w:eastAsia="仿宋_GB2312"/>
                <w:sz w:val="28"/>
                <w:szCs w:val="28"/>
              </w:rPr>
              <w:t>煤气抽气机室、加压机房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稀贵金属生产用</w:t>
            </w:r>
            <w:r>
              <w:rPr>
                <w:rFonts w:ascii="Times New Roman" w:hAnsi="Times New Roman" w:eastAsia="仿宋_GB2312"/>
                <w:sz w:val="28"/>
                <w:szCs w:val="28"/>
              </w:rPr>
              <w:t>二氧化硫</w:t>
            </w:r>
            <w:r>
              <w:rPr>
                <w:rFonts w:hint="eastAsia" w:ascii="Times New Roman" w:hAnsi="Times New Roman" w:eastAsia="仿宋_GB2312"/>
                <w:sz w:val="28"/>
                <w:szCs w:val="28"/>
              </w:rPr>
              <w:t>、</w:t>
            </w:r>
            <w:r>
              <w:rPr>
                <w:rFonts w:ascii="Times New Roman" w:hAnsi="Times New Roman" w:eastAsia="仿宋_GB2312"/>
                <w:sz w:val="28"/>
                <w:szCs w:val="28"/>
              </w:rPr>
              <w:t>液氯等剧毒气体或高毒气体储</w:t>
            </w:r>
            <w:r>
              <w:rPr>
                <w:rFonts w:hint="eastAsia" w:ascii="Times New Roman" w:hAnsi="Times New Roman" w:eastAsia="仿宋_GB2312"/>
                <w:sz w:val="28"/>
                <w:szCs w:val="28"/>
              </w:rPr>
              <w:t>区（罐）</w:t>
            </w:r>
            <w:r>
              <w:rPr>
                <w:rFonts w:ascii="Times New Roman" w:hAnsi="Times New Roman" w:eastAsia="仿宋_GB2312"/>
                <w:sz w:val="28"/>
                <w:szCs w:val="28"/>
              </w:rPr>
              <w:t>和使用</w:t>
            </w:r>
            <w:r>
              <w:rPr>
                <w:rFonts w:hint="eastAsia" w:ascii="Times New Roman" w:hAnsi="Times New Roman" w:eastAsia="仿宋_GB2312"/>
                <w:sz w:val="28"/>
                <w:szCs w:val="28"/>
              </w:rPr>
              <w:t>装置</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吊运高温熔体的冶金起重机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起重伤害</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厂内道路运输高温熔体的车辆</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4"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储存、使用到易燃、易爆介质的萃取槽</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蒸汽锅炉（含余热锅炉）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煤粉制备及喷吹系统的煤磨机、煤粉仓、除尘器、喷吹罐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硫化法污酸处理站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制氢装置</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改质沥青输送系统的除尘器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液氨储罐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b/>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焙烧炉、沸腾炉、真空炉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盛装高温熔体或液渣的</w:t>
            </w:r>
            <w:r>
              <w:rPr>
                <w:rFonts w:hint="eastAsia" w:ascii="Times New Roman" w:hAnsi="Times New Roman" w:eastAsia="仿宋_GB2312"/>
                <w:sz w:val="28"/>
                <w:szCs w:val="28"/>
              </w:rPr>
              <w:t>铜水包、中间包、真空抬包</w:t>
            </w:r>
            <w:r>
              <w:rPr>
                <w:rFonts w:ascii="Times New Roman" w:hAnsi="Times New Roman" w:eastAsia="仿宋_GB2312"/>
                <w:sz w:val="28"/>
                <w:szCs w:val="28"/>
              </w:rPr>
              <w:t>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 xml:space="preserve">其他爆炸 </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铜水包、中间包、真空抬包等的</w:t>
            </w:r>
            <w:r>
              <w:rPr>
                <w:rFonts w:ascii="Times New Roman" w:hAnsi="Times New Roman" w:eastAsia="仿宋_GB2312"/>
                <w:sz w:val="28"/>
                <w:szCs w:val="28"/>
              </w:rPr>
              <w:t>烘烤器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除氧器、</w:t>
            </w:r>
            <w:r>
              <w:rPr>
                <w:rFonts w:ascii="Times New Roman" w:hAnsi="Times New Roman" w:eastAsia="仿宋_GB2312"/>
                <w:sz w:val="28"/>
                <w:szCs w:val="28"/>
              </w:rPr>
              <w:t>汽包</w:t>
            </w:r>
            <w:r>
              <w:rPr>
                <w:rFonts w:hint="eastAsia" w:ascii="Times New Roman" w:hAnsi="Times New Roman" w:eastAsia="仿宋_GB2312"/>
                <w:sz w:val="28"/>
                <w:szCs w:val="28"/>
              </w:rPr>
              <w:t>、蓄热器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氨法脱硫系统的氨水储罐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双氧水法脱硫系统的双氧水储罐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渣缓冷场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柴油</w:t>
            </w:r>
            <w:r>
              <w:rPr>
                <w:rFonts w:hint="eastAsia" w:ascii="Times New Roman" w:hAnsi="Times New Roman" w:eastAsia="仿宋_GB2312"/>
                <w:sz w:val="28"/>
                <w:szCs w:val="28"/>
              </w:rPr>
              <w:t>等易燃液体的储罐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湿法锌</w:t>
            </w:r>
            <w:r>
              <w:rPr>
                <w:rFonts w:ascii="Times New Roman" w:hAnsi="Times New Roman" w:eastAsia="仿宋_GB2312"/>
                <w:sz w:val="28"/>
                <w:szCs w:val="28"/>
              </w:rPr>
              <w:t>冶炼</w:t>
            </w:r>
            <w:r>
              <w:rPr>
                <w:rFonts w:hint="eastAsia" w:ascii="Times New Roman" w:hAnsi="Times New Roman" w:eastAsia="仿宋_GB2312"/>
                <w:sz w:val="28"/>
                <w:szCs w:val="28"/>
              </w:rPr>
              <w:t>的浸出反应槽及槽下部区域</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3</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建材</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行业</w:t>
            </w: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煤粉制备及喷吹系统的煤磨机、煤粉仓、除尘器、喷吹罐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水泥工厂</w:t>
            </w:r>
            <w:r>
              <w:rPr>
                <w:rFonts w:hint="eastAsia" w:ascii="Times New Roman" w:hAnsi="Times New Roman" w:eastAsia="仿宋_GB2312"/>
                <w:sz w:val="28"/>
                <w:szCs w:val="28"/>
              </w:rPr>
              <w:t>的</w:t>
            </w:r>
            <w:r>
              <w:rPr>
                <w:rFonts w:ascii="Times New Roman" w:hAnsi="Times New Roman" w:eastAsia="仿宋_GB2312"/>
                <w:sz w:val="28"/>
                <w:szCs w:val="28"/>
              </w:rPr>
              <w:t>筒型储存库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水泥工厂的预热器、回转窑、箆冷机、窑尾烟室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水泥工厂余热锅炉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平板玻璃厂的二氧化硫供气间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utoSpaceDE w:val="0"/>
              <w:autoSpaceDN w:val="0"/>
              <w:adjustRightInd w:val="0"/>
              <w:jc w:val="left"/>
              <w:rPr>
                <w:rFonts w:ascii="Times New Roman" w:hAnsi="Times New Roman" w:eastAsia="仿宋_GB2312"/>
                <w:sz w:val="28"/>
                <w:szCs w:val="28"/>
              </w:rPr>
            </w:pPr>
            <w:r>
              <w:rPr>
                <w:rFonts w:hint="eastAsia" w:ascii="Times New Roman" w:hAnsi="Times New Roman" w:eastAsia="仿宋_GB2312"/>
                <w:sz w:val="28"/>
                <w:szCs w:val="28"/>
              </w:rPr>
              <w:t>平板玻璃厂的液氨罐、液氨中间储罐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平板玻璃厂的氢气发生站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平板玻璃厂的锡槽配气间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平板玻璃厂的窑炉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建筑卫生陶瓷制造使用煤（燃）气的烧成窑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耐火材料制品制造的竖窑</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纤维制品三相电弧炉、电熔制品电炉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石膏板制造的导热油加热炉、储槽</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轻质砖生产用蒸压釜</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4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煤气发生炉、煤气</w:t>
            </w:r>
            <w:r>
              <w:rPr>
                <w:rFonts w:hint="eastAsia" w:ascii="Times New Roman" w:hAnsi="Times New Roman" w:eastAsia="仿宋_GB2312"/>
                <w:sz w:val="28"/>
                <w:szCs w:val="28"/>
              </w:rPr>
              <w:t>除尘器</w:t>
            </w:r>
            <w:r>
              <w:rPr>
                <w:rFonts w:ascii="Times New Roman" w:hAnsi="Times New Roman" w:eastAsia="仿宋_GB2312"/>
                <w:sz w:val="28"/>
                <w:szCs w:val="28"/>
              </w:rPr>
              <w:t>、煤气加压</w:t>
            </w:r>
            <w:r>
              <w:rPr>
                <w:rFonts w:hint="eastAsia" w:ascii="Times New Roman" w:hAnsi="Times New Roman" w:eastAsia="仿宋_GB2312"/>
                <w:sz w:val="28"/>
                <w:szCs w:val="28"/>
              </w:rPr>
              <w:t>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料仓</w:t>
            </w:r>
            <w:r>
              <w:rPr>
                <w:rFonts w:hint="eastAsia" w:ascii="Times New Roman" w:hAnsi="Times New Roman" w:eastAsia="仿宋_GB2312"/>
                <w:sz w:val="28"/>
                <w:szCs w:val="28"/>
              </w:rPr>
              <w:t>（筒）</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水泥工厂原料磨、水泥磨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水泥工厂脱销</w:t>
            </w:r>
            <w:r>
              <w:rPr>
                <w:rFonts w:ascii="Times New Roman" w:hAnsi="Times New Roman" w:eastAsia="仿宋_GB2312"/>
                <w:sz w:val="28"/>
                <w:szCs w:val="28"/>
              </w:rPr>
              <w:t>氨水</w:t>
            </w:r>
            <w:r>
              <w:rPr>
                <w:rFonts w:hint="eastAsia" w:ascii="Times New Roman" w:hAnsi="Times New Roman" w:eastAsia="仿宋_GB2312"/>
                <w:sz w:val="28"/>
                <w:szCs w:val="28"/>
              </w:rPr>
              <w:t>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建筑卫生陶瓷制造的破碎机、球磨机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建筑卫生陶瓷制造的喷雾干燥塔</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除建筑卫生陶瓷生产使用煤（燃）气的烧成窑外的</w:t>
            </w:r>
            <w:r>
              <w:rPr>
                <w:rFonts w:ascii="Times New Roman" w:hAnsi="Times New Roman" w:eastAsia="仿宋_GB2312"/>
                <w:sz w:val="28"/>
                <w:szCs w:val="28"/>
              </w:rPr>
              <w:t>煤</w:t>
            </w:r>
            <w:r>
              <w:rPr>
                <w:rFonts w:hint="eastAsia" w:ascii="Times New Roman" w:hAnsi="Times New Roman" w:eastAsia="仿宋_GB2312"/>
                <w:sz w:val="28"/>
                <w:szCs w:val="28"/>
              </w:rPr>
              <w:t>（燃）</w:t>
            </w:r>
            <w:r>
              <w:rPr>
                <w:rFonts w:ascii="Times New Roman" w:hAnsi="Times New Roman" w:eastAsia="仿宋_GB2312"/>
                <w:sz w:val="28"/>
                <w:szCs w:val="28"/>
              </w:rPr>
              <w:t>气使用点</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柴油库、柴油罐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除氧器、</w:t>
            </w:r>
            <w:r>
              <w:rPr>
                <w:rFonts w:ascii="Times New Roman" w:hAnsi="Times New Roman" w:eastAsia="仿宋_GB2312"/>
                <w:sz w:val="28"/>
                <w:szCs w:val="28"/>
              </w:rPr>
              <w:t>汽包</w:t>
            </w:r>
            <w:r>
              <w:rPr>
                <w:rFonts w:hint="eastAsia" w:ascii="Times New Roman" w:hAnsi="Times New Roman" w:eastAsia="仿宋_GB2312"/>
                <w:sz w:val="28"/>
                <w:szCs w:val="28"/>
              </w:rPr>
              <w:t>、蓄热器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烧结砖厂、墙体材料厂窑炉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混凝土搅拌站搅拌楼</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8"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4</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机械</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行业</w:t>
            </w: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铸造炉窑（</w:t>
            </w:r>
            <w:r>
              <w:rPr>
                <w:rFonts w:hint="eastAsia" w:ascii="Times New Roman" w:hAnsi="Times New Roman" w:eastAsia="仿宋_GB2312"/>
                <w:sz w:val="28"/>
                <w:szCs w:val="28"/>
              </w:rPr>
              <w:t>高炉、</w:t>
            </w:r>
            <w:r>
              <w:rPr>
                <w:rFonts w:ascii="Times New Roman" w:hAnsi="Times New Roman" w:eastAsia="仿宋_GB2312"/>
                <w:sz w:val="28"/>
                <w:szCs w:val="28"/>
              </w:rPr>
              <w:t>冲天炉、中（工）频炉、电炉</w:t>
            </w:r>
            <w:r>
              <w:rPr>
                <w:rFonts w:hint="eastAsia" w:ascii="Times New Roman" w:hAnsi="Times New Roman" w:eastAsia="仿宋_GB2312"/>
                <w:sz w:val="28"/>
                <w:szCs w:val="28"/>
              </w:rPr>
              <w:t>、反射炉、熔炼炉</w:t>
            </w:r>
            <w:r>
              <w:rPr>
                <w:rFonts w:ascii="Times New Roman" w:hAnsi="Times New Roman" w:eastAsia="仿宋_GB2312"/>
                <w:sz w:val="28"/>
                <w:szCs w:val="28"/>
              </w:rPr>
              <w:t>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起重伤害</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焊接工艺用可燃气体、助燃气体储存或发生装置</w:t>
            </w:r>
          </w:p>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汇流排、气瓶库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铝镁金属机械加工的建构筑物</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铝镁金属机械加工的打磨车间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铝镁金属机械加工的除尘器及管道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木模车间锯切机、打磨机、刨光机及除尘器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pStyle w:val="36"/>
              <w:jc w:val="both"/>
              <w:rPr>
                <w:rFonts w:ascii="Times New Roman" w:hAnsi="Times New Roman" w:eastAsia="仿宋_GB2312" w:cs="Times New Roman"/>
                <w:color w:val="auto"/>
                <w:sz w:val="28"/>
                <w:szCs w:val="28"/>
              </w:rPr>
            </w:pPr>
            <w:r>
              <w:rPr>
                <w:rFonts w:ascii="Times New Roman" w:hAnsi="Times New Roman" w:eastAsia="仿宋_GB2312" w:cs="Times New Roman"/>
                <w:color w:val="auto"/>
                <w:kern w:val="2"/>
                <w:sz w:val="28"/>
                <w:szCs w:val="28"/>
              </w:rPr>
              <w:t>金属表面处理及热处理加工</w:t>
            </w:r>
            <w:r>
              <w:rPr>
                <w:rFonts w:hint="eastAsia" w:ascii="Times New Roman" w:hAnsi="Times New Roman" w:eastAsia="仿宋_GB2312" w:cs="Times New Roman"/>
                <w:color w:val="auto"/>
                <w:kern w:val="2"/>
                <w:sz w:val="28"/>
                <w:szCs w:val="28"/>
              </w:rPr>
              <w:t>液氨储罐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金属表面处理及热处理加工</w:t>
            </w:r>
            <w:r>
              <w:rPr>
                <w:rFonts w:hint="eastAsia" w:ascii="Times New Roman" w:hAnsi="Times New Roman" w:eastAsia="仿宋_GB2312"/>
                <w:sz w:val="28"/>
                <w:szCs w:val="28"/>
              </w:rPr>
              <w:t>的燃气加热炉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粉末喷涂</w:t>
            </w:r>
            <w:r>
              <w:rPr>
                <w:rFonts w:hint="eastAsia" w:ascii="Times New Roman" w:hAnsi="Times New Roman" w:eastAsia="仿宋_GB2312"/>
                <w:sz w:val="28"/>
                <w:szCs w:val="28"/>
              </w:rPr>
              <w:t>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涂装调漆间和喷漆室</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铝棒的深井</w:t>
            </w:r>
            <w:r>
              <w:rPr>
                <w:rFonts w:hint="eastAsia" w:ascii="Times New Roman" w:hAnsi="Times New Roman" w:eastAsia="仿宋_GB2312"/>
                <w:sz w:val="28"/>
                <w:szCs w:val="28"/>
              </w:rPr>
              <w:t>浇</w:t>
            </w:r>
            <w:r>
              <w:rPr>
                <w:rFonts w:ascii="Times New Roman" w:hAnsi="Times New Roman" w:eastAsia="仿宋_GB2312"/>
                <w:sz w:val="28"/>
                <w:szCs w:val="28"/>
              </w:rPr>
              <w:t>铸</w:t>
            </w:r>
            <w:r>
              <w:rPr>
                <w:rFonts w:hint="eastAsia" w:ascii="Times New Roman" w:hAnsi="Times New Roman" w:eastAsia="仿宋_GB2312"/>
                <w:sz w:val="28"/>
                <w:szCs w:val="28"/>
              </w:rPr>
              <w:t>工区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吊运熔融金属的冶金起重机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起重伤害</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煤气发生炉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蒸汽</w:t>
            </w:r>
            <w:r>
              <w:rPr>
                <w:rFonts w:ascii="Times New Roman" w:hAnsi="Times New Roman" w:eastAsia="仿宋_GB2312"/>
                <w:sz w:val="28"/>
                <w:szCs w:val="28"/>
              </w:rPr>
              <w:t>锅炉</w:t>
            </w:r>
            <w:r>
              <w:rPr>
                <w:rFonts w:hint="eastAsia" w:ascii="Times New Roman" w:hAnsi="Times New Roman" w:eastAsia="仿宋_GB2312"/>
                <w:sz w:val="28"/>
                <w:szCs w:val="28"/>
              </w:rPr>
              <w:t>（含余热锅炉）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含易燃、易爆介质的脱模剂的储存、使用点</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木模库</w:t>
            </w:r>
            <w:r>
              <w:rPr>
                <w:rFonts w:hint="eastAsia" w:ascii="Times New Roman" w:hAnsi="Times New Roman" w:eastAsia="仿宋_GB2312"/>
                <w:sz w:val="28"/>
                <w:szCs w:val="28"/>
              </w:rPr>
              <w:t>、消失模</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起重机械（吊运高温熔体的冶金铸造起重机除外）</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起重伤害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压力容器</w:t>
            </w:r>
            <w:r>
              <w:rPr>
                <w:rFonts w:hint="eastAsia" w:ascii="Times New Roman" w:hAnsi="Times New Roman" w:eastAsia="仿宋_GB2312"/>
                <w:sz w:val="28"/>
                <w:szCs w:val="28"/>
              </w:rPr>
              <w:t>、压力管道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用于盛装高温熔体的容器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金属冶炼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淬火油槽</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6"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5</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轻工</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行业</w:t>
            </w: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构成危险化学品重大危险源的涉氨制冷企业的氨制冷机房（含设备间）、贮氨器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涉氨制冷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氨直接蒸发制冷的快速冻结装置</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涉氨制冷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utoSpaceDE w:val="0"/>
              <w:autoSpaceDN w:val="0"/>
              <w:adjustRightInd w:val="0"/>
              <w:jc w:val="left"/>
              <w:rPr>
                <w:rFonts w:ascii="Times New Roman" w:hAnsi="Times New Roman" w:eastAsia="仿宋_GB2312"/>
                <w:sz w:val="28"/>
                <w:szCs w:val="28"/>
              </w:rPr>
            </w:pPr>
            <w:r>
              <w:rPr>
                <w:rFonts w:hint="eastAsia" w:ascii="Times New Roman" w:hAnsi="Times New Roman" w:eastAsia="仿宋_GB2312"/>
                <w:sz w:val="28"/>
                <w:szCs w:val="28"/>
              </w:rPr>
              <w:t>饲料加工的破碎机、分配器、振动筛、斗提机、除尘器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utoSpaceDE w:val="0"/>
              <w:autoSpaceDN w:val="0"/>
              <w:adjustRightInd w:val="0"/>
              <w:jc w:val="left"/>
              <w:rPr>
                <w:rFonts w:ascii="Times New Roman" w:hAnsi="Times New Roman" w:eastAsia="仿宋_GB2312"/>
                <w:sz w:val="28"/>
                <w:szCs w:val="28"/>
              </w:rPr>
            </w:pPr>
            <w:r>
              <w:rPr>
                <w:rFonts w:hint="eastAsia" w:ascii="Times New Roman" w:hAnsi="Times New Roman" w:eastAsia="仿宋_GB2312"/>
                <w:sz w:val="28"/>
                <w:szCs w:val="28"/>
              </w:rPr>
              <w:t>植物油加工系统正己烷等有机溶剂储罐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制糖、淀粉及淀粉制品制造除尘器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淀粉及淀粉制品制造玉米浸泡罐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人造板、家具、地板制造的砂光、刨光等产尘点及除尘器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喷涂车间</w:t>
            </w:r>
            <w:r>
              <w:rPr>
                <w:rFonts w:hint="eastAsia" w:ascii="Times New Roman" w:hAnsi="Times New Roman" w:eastAsia="仿宋_GB2312"/>
                <w:sz w:val="28"/>
                <w:szCs w:val="28"/>
              </w:rPr>
              <w:t>（室）</w:t>
            </w:r>
            <w:r>
              <w:rPr>
                <w:rFonts w:ascii="Times New Roman" w:hAnsi="Times New Roman" w:eastAsia="仿宋_GB2312"/>
                <w:sz w:val="28"/>
                <w:szCs w:val="28"/>
              </w:rPr>
              <w:t>、调漆间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油漆（含稀释剂、固化剂）、油性油墨储存间及其包装物暂存间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煤气发生炉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污水处理池、化粪池</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调味品、发酵制品制造、酱菜腌制的腌渍池、发酵罐、发酵缸</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造纸企业的浆池、浆塔</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纸浆制造、造纸企业及自来水厂的液氯</w:t>
            </w:r>
            <w:r>
              <w:rPr>
                <w:rFonts w:hint="eastAsia" w:ascii="Times New Roman" w:hAnsi="Times New Roman" w:eastAsia="仿宋_GB2312"/>
                <w:sz w:val="28"/>
                <w:szCs w:val="28"/>
              </w:rPr>
              <w:t>储罐、汽化器</w:t>
            </w:r>
            <w:r>
              <w:rPr>
                <w:rFonts w:ascii="Times New Roman" w:hAnsi="Times New Roman" w:eastAsia="仿宋_GB2312"/>
                <w:sz w:val="28"/>
                <w:szCs w:val="28"/>
              </w:rPr>
              <w:t>和用气点</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甲醛</w:t>
            </w:r>
            <w:r>
              <w:rPr>
                <w:rFonts w:hint="eastAsia" w:ascii="Times New Roman" w:hAnsi="Times New Roman" w:eastAsia="仿宋_GB2312"/>
                <w:sz w:val="28"/>
                <w:szCs w:val="28"/>
              </w:rPr>
              <w:t>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制胶车间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粮食破碎设备</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白酒储存、勾兑场所</w:t>
            </w:r>
            <w:r>
              <w:rPr>
                <w:rFonts w:hint="eastAsia" w:ascii="Times New Roman" w:hAnsi="Times New Roman" w:eastAsia="仿宋_GB2312"/>
                <w:sz w:val="28"/>
                <w:szCs w:val="28"/>
              </w:rPr>
              <w:t>、蒸馏车间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原酒储罐、葡萄蒸馏酒（白兰地）储罐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铅酸蓄电池制造的充电区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蒸汽锅炉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制氢站（氢气罐）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乙醇储罐</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皮革鞣制加工磨革机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筒（料仓）仓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未构成危险化学品重大危险源的涉氨制冷企业的氨制冷机房（含设备间）、贮氨器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涉氨制冷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制糖业燃硫炉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日用玻璃、陶瓷制造企业燃气窑炉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食品制造企业烘制、油炸等设施设备</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食品加工企业的食油库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橡胶和塑料粉碎机、制粒机、除尘器</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饲料加工用豆油、猪油储罐（区）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啤酒企业二氧化碳储罐（区）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制糖业糖蜜储罐（区）、硫磺仓库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玻璃窑炉（如池窑等）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6</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纺织</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行业</w:t>
            </w: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highlight w:val="yellow"/>
              </w:rPr>
            </w:pPr>
            <w:r>
              <w:rPr>
                <w:rFonts w:hint="eastAsia" w:ascii="Times New Roman" w:hAnsi="Times New Roman" w:eastAsia="仿宋_GB2312"/>
                <w:sz w:val="28"/>
                <w:szCs w:val="28"/>
              </w:rPr>
              <w:t>蒸汽锅炉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highlight w:val="yellow"/>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污水处理池</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highlight w:val="yellow"/>
              </w:rPr>
            </w:pPr>
            <w:r>
              <w:rPr>
                <w:rFonts w:ascii="Times New Roman" w:hAnsi="Times New Roman" w:eastAsia="仿宋_GB2312"/>
                <w:sz w:val="28"/>
                <w:szCs w:val="28"/>
              </w:rPr>
              <w:t>纱、线、织物加工的烧毛、开幅、烘干等热定型工艺的汽化室、燃气贮罐、储油罐、热媒炉等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highlight w:val="yellow"/>
              </w:rPr>
            </w:pPr>
            <w:r>
              <w:rPr>
                <w:rFonts w:ascii="Times New Roman" w:hAnsi="Times New Roman" w:eastAsia="仿宋_GB2312"/>
                <w:sz w:val="28"/>
                <w:szCs w:val="28"/>
              </w:rPr>
              <w:t>保险粉、双氧水、亚氯酸钠、雕白粉（吊白块）等危险品仓库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7</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烟草行业</w:t>
            </w: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highlight w:val="yellow"/>
              </w:rPr>
            </w:pPr>
            <w:r>
              <w:rPr>
                <w:rFonts w:ascii="Times New Roman" w:hAnsi="Times New Roman" w:eastAsia="仿宋_GB2312"/>
                <w:sz w:val="28"/>
                <w:szCs w:val="28"/>
              </w:rPr>
              <w:t>烟草尘除尘间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highlight w:val="yellow"/>
              </w:rPr>
            </w:pPr>
            <w:r>
              <w:rPr>
                <w:rFonts w:ascii="Times New Roman" w:hAnsi="Times New Roman" w:eastAsia="仿宋_GB2312"/>
                <w:sz w:val="28"/>
                <w:szCs w:val="28"/>
              </w:rPr>
              <w:t>烟叶复烤烟梗毁型工序</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粉尘涉爆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highlight w:val="yellow"/>
              </w:rPr>
            </w:pPr>
            <w:r>
              <w:rPr>
                <w:rFonts w:ascii="Times New Roman" w:hAnsi="Times New Roman" w:eastAsia="仿宋_GB2312"/>
                <w:sz w:val="28"/>
                <w:szCs w:val="28"/>
              </w:rPr>
              <w:t>熏蒸杀虫的仓库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highlight w:val="yellow"/>
              </w:rPr>
            </w:pPr>
            <w:r>
              <w:rPr>
                <w:rFonts w:ascii="Times New Roman" w:hAnsi="Times New Roman" w:eastAsia="仿宋_GB2312"/>
                <w:sz w:val="28"/>
                <w:szCs w:val="28"/>
              </w:rPr>
              <w:t>使用液态二氧化碳制造膨胀烟丝的生产线和场所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highlight w:val="yellow"/>
              </w:rPr>
            </w:pPr>
            <w:r>
              <w:rPr>
                <w:rFonts w:hint="eastAsia" w:ascii="Times New Roman" w:hAnsi="Times New Roman" w:eastAsia="仿宋_GB2312"/>
                <w:sz w:val="28"/>
                <w:szCs w:val="28"/>
              </w:rPr>
              <w:t>剧毒化学品库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蒸汽锅炉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锅炉爆炸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厂内职工上下班交通车</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香精香料库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电瓶充电间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油库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丙酮、酒精等易燃易爆介质的储</w:t>
            </w:r>
            <w:r>
              <w:rPr>
                <w:rFonts w:hint="eastAsia" w:ascii="Times New Roman" w:hAnsi="Times New Roman" w:eastAsia="仿宋_GB2312"/>
                <w:sz w:val="28"/>
                <w:szCs w:val="28"/>
              </w:rPr>
              <w:t>罐及其</w:t>
            </w:r>
            <w:r>
              <w:rPr>
                <w:rFonts w:ascii="Times New Roman" w:hAnsi="Times New Roman" w:eastAsia="仿宋_GB2312"/>
                <w:sz w:val="28"/>
                <w:szCs w:val="28"/>
              </w:rPr>
              <w:t>使用区域</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8</w:t>
            </w:r>
          </w:p>
        </w:tc>
        <w:tc>
          <w:tcPr>
            <w:tcW w:w="906"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商贸</w:t>
            </w:r>
          </w:p>
        </w:tc>
        <w:tc>
          <w:tcPr>
            <w:tcW w:w="862"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一级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涉及液氨制冷的酒店</w:t>
            </w:r>
            <w:r>
              <w:rPr>
                <w:rFonts w:hint="eastAsia" w:ascii="Times New Roman" w:hAnsi="Times New Roman" w:eastAsia="仿宋_GB2312"/>
                <w:sz w:val="28"/>
                <w:szCs w:val="28"/>
              </w:rPr>
              <w:t>的</w:t>
            </w:r>
            <w:r>
              <w:rPr>
                <w:rFonts w:ascii="Times New Roman" w:hAnsi="Times New Roman" w:eastAsia="仿宋_GB2312"/>
                <w:sz w:val="28"/>
                <w:szCs w:val="28"/>
              </w:rPr>
              <w:t>液氨制冷</w:t>
            </w:r>
            <w:r>
              <w:rPr>
                <w:rFonts w:hint="eastAsia" w:ascii="Times New Roman" w:hAnsi="Times New Roman" w:eastAsia="仿宋_GB2312"/>
                <w:sz w:val="28"/>
                <w:szCs w:val="28"/>
              </w:rPr>
              <w:t>系统</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涉氨制冷</w:t>
            </w:r>
          </w:p>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化粪池</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其他可能出现10人以上同时实施作业的有限空间场所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其他存在或可能存在煤气、硫化氢、砷化氢、磷化氢、氯气、氨气、甲醛、氰化物等《高毒物品名录》（附件1）中列明的物质的有限空间场所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其他存在或可能存在天然气、氢气、乙炔、丙烷、汽油、柴油、稀释剂（香蕉水、天那水、松香水、二甲苯等）、可燃性粉尘（如煤粉、锌粉、木粉、淀粉等）等易燃易爆物质的有限空间场所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restart"/>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二级</w:t>
            </w:r>
          </w:p>
        </w:tc>
        <w:tc>
          <w:tcPr>
            <w:tcW w:w="6946" w:type="dxa"/>
            <w:vAlign w:val="center"/>
          </w:tcPr>
          <w:p>
            <w:pPr>
              <w:adjustRightInd w:val="0"/>
              <w:snapToGrid w:val="0"/>
              <w:rPr>
                <w:rFonts w:ascii="Times New Roman" w:hAnsi="Times New Roman" w:eastAsia="仿宋_GB2312"/>
                <w:sz w:val="28"/>
                <w:szCs w:val="28"/>
              </w:rPr>
            </w:pPr>
            <w:r>
              <w:rPr>
                <w:rFonts w:ascii="Times New Roman" w:hAnsi="Times New Roman" w:eastAsia="仿宋_GB2312"/>
                <w:sz w:val="28"/>
                <w:szCs w:val="28"/>
              </w:rPr>
              <w:t>酒店里使用燃气（或燃油）的厨房</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柴油储存设施、热水锅炉</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灼烫</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带储存设施的燃气站</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容器爆炸</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仓储物流业的大型仓库</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车辆伤害</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大型商场</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tc>
        <w:tc>
          <w:tcPr>
            <w:tcW w:w="2227" w:type="dxa"/>
            <w:vAlign w:val="center"/>
          </w:tcPr>
          <w:p>
            <w:pPr>
              <w:adjustRightInd w:val="0"/>
              <w:snapToGrid w:val="0"/>
              <w:jc w:val="center"/>
              <w:rPr>
                <w:rFonts w:ascii="Times New Roman"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其他可能出现3-9人同时实施作业的有限空间场所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5"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其他存在或可能存在氮气、二氧化碳、氩气等窒息性气体，氧含量小于19.5%或大于23.5%的有限空间场所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9"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其他存在或可能存在能够吞没或掩埋进入人员的物质（如液体、料浆、料场、料仓、筒仓、料坑等）的有限空间场所</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坍塌</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w:t>
            </w:r>
            <w:bookmarkStart w:id="13" w:name="_GoBack"/>
            <w:bookmarkEnd w:id="13"/>
            <w:r>
              <w:rPr>
                <w:rFonts w:hint="eastAsia" w:ascii="Times New Roman" w:hAnsi="Times New Roman" w:eastAsia="仿宋_GB2312"/>
                <w:sz w:val="28"/>
                <w:szCs w:val="28"/>
              </w:rPr>
              <w:t>空间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 w:hRule="atLeast"/>
        </w:trPr>
        <w:tc>
          <w:tcPr>
            <w:tcW w:w="750" w:type="dxa"/>
            <w:vMerge w:val="continue"/>
            <w:vAlign w:val="center"/>
          </w:tcPr>
          <w:p>
            <w:pPr>
              <w:adjustRightInd w:val="0"/>
              <w:snapToGrid w:val="0"/>
              <w:jc w:val="center"/>
              <w:rPr>
                <w:rFonts w:ascii="Times New Roman" w:hAnsi="Times New Roman" w:eastAsia="仿宋_GB2312"/>
                <w:sz w:val="28"/>
                <w:szCs w:val="28"/>
              </w:rPr>
            </w:pPr>
          </w:p>
        </w:tc>
        <w:tc>
          <w:tcPr>
            <w:tcW w:w="906" w:type="dxa"/>
            <w:vMerge w:val="continue"/>
            <w:vAlign w:val="center"/>
          </w:tcPr>
          <w:p>
            <w:pPr>
              <w:adjustRightInd w:val="0"/>
              <w:snapToGrid w:val="0"/>
              <w:jc w:val="center"/>
              <w:rPr>
                <w:rFonts w:ascii="Times New Roman" w:hAnsi="Times New Roman" w:eastAsia="仿宋_GB2312"/>
                <w:sz w:val="28"/>
                <w:szCs w:val="28"/>
              </w:rPr>
            </w:pPr>
          </w:p>
        </w:tc>
        <w:tc>
          <w:tcPr>
            <w:tcW w:w="862" w:type="dxa"/>
            <w:vMerge w:val="continue"/>
            <w:vAlign w:val="center"/>
          </w:tcPr>
          <w:p>
            <w:pPr>
              <w:adjustRightInd w:val="0"/>
              <w:snapToGrid w:val="0"/>
              <w:jc w:val="center"/>
              <w:rPr>
                <w:rFonts w:ascii="Times New Roman" w:hAnsi="Times New Roman" w:eastAsia="仿宋_GB2312"/>
                <w:sz w:val="28"/>
                <w:szCs w:val="28"/>
              </w:rPr>
            </w:pPr>
          </w:p>
        </w:tc>
        <w:tc>
          <w:tcPr>
            <w:tcW w:w="6946" w:type="dxa"/>
            <w:vAlign w:val="center"/>
          </w:tcPr>
          <w:p>
            <w:pPr>
              <w:adjustRightInd w:val="0"/>
              <w:snapToGrid w:val="0"/>
              <w:rPr>
                <w:rFonts w:ascii="Times New Roman" w:hAnsi="Times New Roman" w:eastAsia="仿宋_GB2312"/>
                <w:sz w:val="28"/>
                <w:szCs w:val="28"/>
              </w:rPr>
            </w:pPr>
            <w:r>
              <w:rPr>
                <w:rFonts w:hint="eastAsia" w:ascii="Times New Roman" w:hAnsi="Times New Roman" w:eastAsia="仿宋_GB2312"/>
                <w:sz w:val="28"/>
                <w:szCs w:val="28"/>
              </w:rPr>
              <w:t>其他存在或可能存在《高毒物品名录》以外其他有毒有害物质的有限空间</w:t>
            </w:r>
          </w:p>
        </w:tc>
        <w:tc>
          <w:tcPr>
            <w:tcW w:w="2483" w:type="dxa"/>
            <w:vAlign w:val="center"/>
          </w:tcPr>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中毒和窒息</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其他爆炸</w:t>
            </w:r>
          </w:p>
          <w:p>
            <w:pPr>
              <w:adjustRightInd w:val="0"/>
              <w:snapToGrid w:val="0"/>
              <w:jc w:val="left"/>
              <w:rPr>
                <w:rFonts w:ascii="Times New Roman" w:hAnsi="Times New Roman" w:eastAsia="仿宋_GB2312"/>
                <w:sz w:val="28"/>
                <w:szCs w:val="28"/>
              </w:rPr>
            </w:pPr>
            <w:r>
              <w:rPr>
                <w:rFonts w:hint="eastAsia" w:ascii="Times New Roman" w:hAnsi="Times New Roman" w:eastAsia="仿宋_GB2312"/>
                <w:sz w:val="28"/>
                <w:szCs w:val="28"/>
              </w:rPr>
              <w:t>火灾</w:t>
            </w:r>
          </w:p>
        </w:tc>
        <w:tc>
          <w:tcPr>
            <w:tcW w:w="2227" w:type="dxa"/>
            <w:vAlign w:val="center"/>
          </w:tcPr>
          <w:p>
            <w:pPr>
              <w:adjustRightInd w:val="0"/>
              <w:snapToGrid w:val="0"/>
              <w:jc w:val="center"/>
              <w:rPr>
                <w:rFonts w:ascii="Times New Roman" w:hAnsi="Times New Roman" w:eastAsia="仿宋_GB2312"/>
                <w:sz w:val="28"/>
                <w:szCs w:val="28"/>
              </w:rPr>
            </w:pPr>
            <w:r>
              <w:rPr>
                <w:rFonts w:hint="eastAsia" w:ascii="Times New Roman" w:hAnsi="Times New Roman" w:eastAsia="仿宋_GB2312"/>
                <w:sz w:val="28"/>
                <w:szCs w:val="28"/>
              </w:rPr>
              <w:t>有限空间</w:t>
            </w:r>
          </w:p>
        </w:tc>
      </w:tr>
      <w:bookmarkEnd w:id="0"/>
      <w:bookmarkEnd w:id="1"/>
    </w:tbl>
    <w:p>
      <w:pPr>
        <w:rPr>
          <w:rFonts w:ascii="Times New Roman" w:hAnsi="Times New Roman" w:eastAsia="仿宋_GB2312"/>
          <w:kern w:val="0"/>
          <w:sz w:val="28"/>
          <w:szCs w:val="28"/>
        </w:rPr>
      </w:pPr>
    </w:p>
    <w:sectPr>
      <w:pgSz w:w="16838" w:h="11906" w:orient="landscape"/>
      <w:pgMar w:top="1797" w:right="1440" w:bottom="1797" w:left="1440"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egoe Print"/>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8F3796"/>
    <w:rsid w:val="00026BD7"/>
    <w:rsid w:val="00045160"/>
    <w:rsid w:val="0005684B"/>
    <w:rsid w:val="00077581"/>
    <w:rsid w:val="0008265F"/>
    <w:rsid w:val="000A05A7"/>
    <w:rsid w:val="000A1663"/>
    <w:rsid w:val="000A2961"/>
    <w:rsid w:val="000A6BE5"/>
    <w:rsid w:val="000B3C4D"/>
    <w:rsid w:val="000D58BC"/>
    <w:rsid w:val="000E04B7"/>
    <w:rsid w:val="000E05ED"/>
    <w:rsid w:val="000E0917"/>
    <w:rsid w:val="000E31B8"/>
    <w:rsid w:val="000F30BB"/>
    <w:rsid w:val="00100C94"/>
    <w:rsid w:val="00106A6E"/>
    <w:rsid w:val="00110E83"/>
    <w:rsid w:val="00120889"/>
    <w:rsid w:val="00122FA4"/>
    <w:rsid w:val="001379FD"/>
    <w:rsid w:val="00143206"/>
    <w:rsid w:val="00146186"/>
    <w:rsid w:val="001527D3"/>
    <w:rsid w:val="00154B2A"/>
    <w:rsid w:val="0017405D"/>
    <w:rsid w:val="00174D4B"/>
    <w:rsid w:val="00183511"/>
    <w:rsid w:val="001A32BD"/>
    <w:rsid w:val="001A5B89"/>
    <w:rsid w:val="001A79FD"/>
    <w:rsid w:val="001B3116"/>
    <w:rsid w:val="001D03C6"/>
    <w:rsid w:val="001D258F"/>
    <w:rsid w:val="001D6372"/>
    <w:rsid w:val="001D68CD"/>
    <w:rsid w:val="001D7685"/>
    <w:rsid w:val="001E0973"/>
    <w:rsid w:val="001E6EF6"/>
    <w:rsid w:val="001F1C21"/>
    <w:rsid w:val="001F358F"/>
    <w:rsid w:val="00202610"/>
    <w:rsid w:val="00207BCC"/>
    <w:rsid w:val="0021342D"/>
    <w:rsid w:val="00227047"/>
    <w:rsid w:val="00237008"/>
    <w:rsid w:val="00253302"/>
    <w:rsid w:val="00263B20"/>
    <w:rsid w:val="00263E06"/>
    <w:rsid w:val="0028405C"/>
    <w:rsid w:val="00287082"/>
    <w:rsid w:val="00287FEC"/>
    <w:rsid w:val="00294FE6"/>
    <w:rsid w:val="002A3E7D"/>
    <w:rsid w:val="002A7C04"/>
    <w:rsid w:val="002D0982"/>
    <w:rsid w:val="002D3CCE"/>
    <w:rsid w:val="002E318F"/>
    <w:rsid w:val="002F2800"/>
    <w:rsid w:val="002F4AAC"/>
    <w:rsid w:val="002F676E"/>
    <w:rsid w:val="00301527"/>
    <w:rsid w:val="0030573D"/>
    <w:rsid w:val="00313254"/>
    <w:rsid w:val="00334F97"/>
    <w:rsid w:val="0033733F"/>
    <w:rsid w:val="003454BD"/>
    <w:rsid w:val="00360ECC"/>
    <w:rsid w:val="00366ED0"/>
    <w:rsid w:val="0037150C"/>
    <w:rsid w:val="00374F46"/>
    <w:rsid w:val="00377F8A"/>
    <w:rsid w:val="00381820"/>
    <w:rsid w:val="00384314"/>
    <w:rsid w:val="00390776"/>
    <w:rsid w:val="00397141"/>
    <w:rsid w:val="003972E6"/>
    <w:rsid w:val="003A307C"/>
    <w:rsid w:val="003A5B4A"/>
    <w:rsid w:val="003A7A3D"/>
    <w:rsid w:val="003B134D"/>
    <w:rsid w:val="003C3D71"/>
    <w:rsid w:val="003C3DD0"/>
    <w:rsid w:val="003C4B75"/>
    <w:rsid w:val="003D2FF9"/>
    <w:rsid w:val="00412B1B"/>
    <w:rsid w:val="004140FC"/>
    <w:rsid w:val="004154D5"/>
    <w:rsid w:val="00426FDC"/>
    <w:rsid w:val="00431A0B"/>
    <w:rsid w:val="004323C1"/>
    <w:rsid w:val="00437E78"/>
    <w:rsid w:val="00442179"/>
    <w:rsid w:val="00443A67"/>
    <w:rsid w:val="00443C05"/>
    <w:rsid w:val="00447ED3"/>
    <w:rsid w:val="00451646"/>
    <w:rsid w:val="0046263C"/>
    <w:rsid w:val="00462EF4"/>
    <w:rsid w:val="00494074"/>
    <w:rsid w:val="004A3A3A"/>
    <w:rsid w:val="004C58CC"/>
    <w:rsid w:val="004C6432"/>
    <w:rsid w:val="004D4EE8"/>
    <w:rsid w:val="004E3089"/>
    <w:rsid w:val="004E7376"/>
    <w:rsid w:val="004F47DF"/>
    <w:rsid w:val="004F4869"/>
    <w:rsid w:val="00506A2C"/>
    <w:rsid w:val="00507BDB"/>
    <w:rsid w:val="005169A5"/>
    <w:rsid w:val="00516D7D"/>
    <w:rsid w:val="0052694A"/>
    <w:rsid w:val="00533869"/>
    <w:rsid w:val="005372FA"/>
    <w:rsid w:val="00537E9E"/>
    <w:rsid w:val="00544007"/>
    <w:rsid w:val="0055062A"/>
    <w:rsid w:val="00554039"/>
    <w:rsid w:val="005600CF"/>
    <w:rsid w:val="005705E6"/>
    <w:rsid w:val="00572DD6"/>
    <w:rsid w:val="00576574"/>
    <w:rsid w:val="00580E8B"/>
    <w:rsid w:val="005B1496"/>
    <w:rsid w:val="005B3EB7"/>
    <w:rsid w:val="005B42B3"/>
    <w:rsid w:val="005B52AD"/>
    <w:rsid w:val="005E087D"/>
    <w:rsid w:val="005F7DCE"/>
    <w:rsid w:val="00606818"/>
    <w:rsid w:val="00611576"/>
    <w:rsid w:val="006133AE"/>
    <w:rsid w:val="00615B18"/>
    <w:rsid w:val="006629BC"/>
    <w:rsid w:val="00683049"/>
    <w:rsid w:val="00693A5F"/>
    <w:rsid w:val="00694CF0"/>
    <w:rsid w:val="006B7391"/>
    <w:rsid w:val="006B7853"/>
    <w:rsid w:val="006D1BB6"/>
    <w:rsid w:val="006D3071"/>
    <w:rsid w:val="006D48D9"/>
    <w:rsid w:val="006D4AD6"/>
    <w:rsid w:val="006F3FB6"/>
    <w:rsid w:val="00703900"/>
    <w:rsid w:val="00704E7C"/>
    <w:rsid w:val="00707B49"/>
    <w:rsid w:val="0071168E"/>
    <w:rsid w:val="00714D9C"/>
    <w:rsid w:val="007152C1"/>
    <w:rsid w:val="00721211"/>
    <w:rsid w:val="0072740E"/>
    <w:rsid w:val="007376D8"/>
    <w:rsid w:val="0074041B"/>
    <w:rsid w:val="0074480B"/>
    <w:rsid w:val="00757958"/>
    <w:rsid w:val="00767298"/>
    <w:rsid w:val="007769C1"/>
    <w:rsid w:val="007827A9"/>
    <w:rsid w:val="00784306"/>
    <w:rsid w:val="007859AF"/>
    <w:rsid w:val="007962A7"/>
    <w:rsid w:val="007E3663"/>
    <w:rsid w:val="007F28F2"/>
    <w:rsid w:val="00806FF2"/>
    <w:rsid w:val="00816ADB"/>
    <w:rsid w:val="008216BD"/>
    <w:rsid w:val="00826D9B"/>
    <w:rsid w:val="00826F05"/>
    <w:rsid w:val="008353C4"/>
    <w:rsid w:val="00837426"/>
    <w:rsid w:val="0084415A"/>
    <w:rsid w:val="008520F6"/>
    <w:rsid w:val="008645D8"/>
    <w:rsid w:val="00865491"/>
    <w:rsid w:val="00867F43"/>
    <w:rsid w:val="00874916"/>
    <w:rsid w:val="00875DB9"/>
    <w:rsid w:val="00876207"/>
    <w:rsid w:val="00886151"/>
    <w:rsid w:val="0089066D"/>
    <w:rsid w:val="00891F84"/>
    <w:rsid w:val="00896383"/>
    <w:rsid w:val="0089721A"/>
    <w:rsid w:val="008A7001"/>
    <w:rsid w:val="008C363C"/>
    <w:rsid w:val="008D04D5"/>
    <w:rsid w:val="008D26A4"/>
    <w:rsid w:val="008D7D98"/>
    <w:rsid w:val="008F3796"/>
    <w:rsid w:val="008F7E30"/>
    <w:rsid w:val="00902C00"/>
    <w:rsid w:val="00905532"/>
    <w:rsid w:val="009158EE"/>
    <w:rsid w:val="0092033F"/>
    <w:rsid w:val="00924322"/>
    <w:rsid w:val="00953CE7"/>
    <w:rsid w:val="00956E15"/>
    <w:rsid w:val="00961D01"/>
    <w:rsid w:val="00973322"/>
    <w:rsid w:val="00974148"/>
    <w:rsid w:val="0098069E"/>
    <w:rsid w:val="00992995"/>
    <w:rsid w:val="00996B8C"/>
    <w:rsid w:val="009A05F1"/>
    <w:rsid w:val="009B2D05"/>
    <w:rsid w:val="009C262D"/>
    <w:rsid w:val="009D4CBA"/>
    <w:rsid w:val="009E099C"/>
    <w:rsid w:val="009E15DC"/>
    <w:rsid w:val="009F2121"/>
    <w:rsid w:val="009F2651"/>
    <w:rsid w:val="009F2FE3"/>
    <w:rsid w:val="00A0380D"/>
    <w:rsid w:val="00A10503"/>
    <w:rsid w:val="00A14B25"/>
    <w:rsid w:val="00A1725D"/>
    <w:rsid w:val="00A33C67"/>
    <w:rsid w:val="00A349C3"/>
    <w:rsid w:val="00A41979"/>
    <w:rsid w:val="00A4728B"/>
    <w:rsid w:val="00A50349"/>
    <w:rsid w:val="00A63B83"/>
    <w:rsid w:val="00A71BBF"/>
    <w:rsid w:val="00A721E3"/>
    <w:rsid w:val="00A94B92"/>
    <w:rsid w:val="00AA05C3"/>
    <w:rsid w:val="00AA708A"/>
    <w:rsid w:val="00AB410C"/>
    <w:rsid w:val="00AE127D"/>
    <w:rsid w:val="00AE491A"/>
    <w:rsid w:val="00AF2B4C"/>
    <w:rsid w:val="00AF3799"/>
    <w:rsid w:val="00AF45A7"/>
    <w:rsid w:val="00B00BEA"/>
    <w:rsid w:val="00B035B4"/>
    <w:rsid w:val="00B043BB"/>
    <w:rsid w:val="00B15C8E"/>
    <w:rsid w:val="00B26104"/>
    <w:rsid w:val="00B338BA"/>
    <w:rsid w:val="00B36181"/>
    <w:rsid w:val="00B57653"/>
    <w:rsid w:val="00B70E97"/>
    <w:rsid w:val="00B74B01"/>
    <w:rsid w:val="00B75733"/>
    <w:rsid w:val="00B82AA5"/>
    <w:rsid w:val="00B909BC"/>
    <w:rsid w:val="00B97A8C"/>
    <w:rsid w:val="00BB6D0C"/>
    <w:rsid w:val="00BC1D07"/>
    <w:rsid w:val="00BC3A26"/>
    <w:rsid w:val="00BC4423"/>
    <w:rsid w:val="00BC77F4"/>
    <w:rsid w:val="00BD0989"/>
    <w:rsid w:val="00BD19A2"/>
    <w:rsid w:val="00BD651A"/>
    <w:rsid w:val="00BD6FA9"/>
    <w:rsid w:val="00BD74F6"/>
    <w:rsid w:val="00BE07B0"/>
    <w:rsid w:val="00BF2F94"/>
    <w:rsid w:val="00C0344D"/>
    <w:rsid w:val="00C10B2E"/>
    <w:rsid w:val="00C13E32"/>
    <w:rsid w:val="00C14A63"/>
    <w:rsid w:val="00C303F3"/>
    <w:rsid w:val="00C3099A"/>
    <w:rsid w:val="00C369E0"/>
    <w:rsid w:val="00C60808"/>
    <w:rsid w:val="00C66789"/>
    <w:rsid w:val="00C724EA"/>
    <w:rsid w:val="00C91F01"/>
    <w:rsid w:val="00CA0561"/>
    <w:rsid w:val="00CB008E"/>
    <w:rsid w:val="00CC2D10"/>
    <w:rsid w:val="00CC790F"/>
    <w:rsid w:val="00CD0882"/>
    <w:rsid w:val="00CD1608"/>
    <w:rsid w:val="00CD5682"/>
    <w:rsid w:val="00CE451B"/>
    <w:rsid w:val="00CE4A9F"/>
    <w:rsid w:val="00CF0952"/>
    <w:rsid w:val="00CF0BCC"/>
    <w:rsid w:val="00D10109"/>
    <w:rsid w:val="00D12C51"/>
    <w:rsid w:val="00D14ACB"/>
    <w:rsid w:val="00D15A8B"/>
    <w:rsid w:val="00D22C9D"/>
    <w:rsid w:val="00D41E29"/>
    <w:rsid w:val="00D5153D"/>
    <w:rsid w:val="00D51C28"/>
    <w:rsid w:val="00D52BE2"/>
    <w:rsid w:val="00D56490"/>
    <w:rsid w:val="00D60060"/>
    <w:rsid w:val="00D623BA"/>
    <w:rsid w:val="00D71B98"/>
    <w:rsid w:val="00D8611A"/>
    <w:rsid w:val="00D907B2"/>
    <w:rsid w:val="00D97F3F"/>
    <w:rsid w:val="00DA6469"/>
    <w:rsid w:val="00DB1057"/>
    <w:rsid w:val="00DB37E3"/>
    <w:rsid w:val="00DB53E4"/>
    <w:rsid w:val="00DD4582"/>
    <w:rsid w:val="00DD54A0"/>
    <w:rsid w:val="00DE0448"/>
    <w:rsid w:val="00DE2F73"/>
    <w:rsid w:val="00DF4FE1"/>
    <w:rsid w:val="00E01744"/>
    <w:rsid w:val="00E14AC2"/>
    <w:rsid w:val="00E25762"/>
    <w:rsid w:val="00E26DDE"/>
    <w:rsid w:val="00E327E6"/>
    <w:rsid w:val="00E3313D"/>
    <w:rsid w:val="00E36DCD"/>
    <w:rsid w:val="00E53551"/>
    <w:rsid w:val="00E614A3"/>
    <w:rsid w:val="00E62004"/>
    <w:rsid w:val="00E6773A"/>
    <w:rsid w:val="00E85563"/>
    <w:rsid w:val="00E85D23"/>
    <w:rsid w:val="00E92823"/>
    <w:rsid w:val="00EA1037"/>
    <w:rsid w:val="00EA2DA9"/>
    <w:rsid w:val="00EA3BEF"/>
    <w:rsid w:val="00EB0923"/>
    <w:rsid w:val="00EB7738"/>
    <w:rsid w:val="00ED4950"/>
    <w:rsid w:val="00ED60FB"/>
    <w:rsid w:val="00ED7760"/>
    <w:rsid w:val="00EE72FD"/>
    <w:rsid w:val="00EF1197"/>
    <w:rsid w:val="00EF489B"/>
    <w:rsid w:val="00F108FC"/>
    <w:rsid w:val="00F12CDB"/>
    <w:rsid w:val="00F12EEA"/>
    <w:rsid w:val="00F3446C"/>
    <w:rsid w:val="00F35D9C"/>
    <w:rsid w:val="00F554FC"/>
    <w:rsid w:val="00F620A4"/>
    <w:rsid w:val="00F70063"/>
    <w:rsid w:val="00F904C4"/>
    <w:rsid w:val="00F922BB"/>
    <w:rsid w:val="00FC0353"/>
    <w:rsid w:val="00FD2C9D"/>
    <w:rsid w:val="00FD45C9"/>
    <w:rsid w:val="00FE6805"/>
    <w:rsid w:val="00FF5982"/>
    <w:rsid w:val="00FF7085"/>
    <w:rsid w:val="01FA41A7"/>
    <w:rsid w:val="038D211C"/>
    <w:rsid w:val="03E44B81"/>
    <w:rsid w:val="063679A8"/>
    <w:rsid w:val="0B677D7B"/>
    <w:rsid w:val="0DE408DE"/>
    <w:rsid w:val="19AD3ED3"/>
    <w:rsid w:val="1A8E137C"/>
    <w:rsid w:val="1C382ACC"/>
    <w:rsid w:val="1DEB4310"/>
    <w:rsid w:val="1F7539B6"/>
    <w:rsid w:val="208F33DF"/>
    <w:rsid w:val="24263EF5"/>
    <w:rsid w:val="253A20DA"/>
    <w:rsid w:val="26121175"/>
    <w:rsid w:val="263B7266"/>
    <w:rsid w:val="268C332E"/>
    <w:rsid w:val="2A7A4F46"/>
    <w:rsid w:val="2C827168"/>
    <w:rsid w:val="2F8E0119"/>
    <w:rsid w:val="2FA77DBA"/>
    <w:rsid w:val="38427360"/>
    <w:rsid w:val="39535127"/>
    <w:rsid w:val="3A2502D0"/>
    <w:rsid w:val="3BB5168C"/>
    <w:rsid w:val="3CFC10B4"/>
    <w:rsid w:val="3E384A49"/>
    <w:rsid w:val="40C16182"/>
    <w:rsid w:val="48FC0DDC"/>
    <w:rsid w:val="50445BEE"/>
    <w:rsid w:val="514D478C"/>
    <w:rsid w:val="555112AD"/>
    <w:rsid w:val="5A2C0C83"/>
    <w:rsid w:val="602D69DE"/>
    <w:rsid w:val="70A754D4"/>
    <w:rsid w:val="740C3BFD"/>
    <w:rsid w:val="79EF5BA4"/>
    <w:rsid w:val="7A516895"/>
    <w:rsid w:val="7A577BB1"/>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
    <w:pPr>
      <w:keepNext/>
      <w:keepLines/>
      <w:spacing w:before="260" w:after="260" w:line="416" w:lineRule="auto"/>
      <w:outlineLvl w:val="1"/>
    </w:pPr>
    <w:rPr>
      <w:rFonts w:ascii="Cambria" w:hAnsi="Cambria"/>
      <w:b/>
      <w:bCs/>
      <w:sz w:val="32"/>
      <w:szCs w:val="32"/>
    </w:rPr>
  </w:style>
  <w:style w:type="paragraph" w:styleId="4">
    <w:name w:val="heading 3"/>
    <w:basedOn w:val="1"/>
    <w:next w:val="1"/>
    <w:link w:val="20"/>
    <w:qFormat/>
    <w:uiPriority w:val="0"/>
    <w:pPr>
      <w:keepNext/>
      <w:keepLines/>
      <w:spacing w:before="260" w:after="260" w:line="416" w:lineRule="auto"/>
      <w:outlineLvl w:val="2"/>
    </w:pPr>
    <w:rPr>
      <w:b/>
      <w:bCs/>
      <w:sz w:val="32"/>
      <w:szCs w:val="32"/>
    </w:rPr>
  </w:style>
  <w:style w:type="paragraph" w:styleId="5">
    <w:name w:val="heading 4"/>
    <w:basedOn w:val="1"/>
    <w:next w:val="1"/>
    <w:link w:val="22"/>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unhideWhenUsed/>
    <w:qFormat/>
    <w:uiPriority w:val="1"/>
  </w:style>
  <w:style w:type="table" w:default="1" w:styleId="17">
    <w:name w:val="Normal Table"/>
    <w:unhideWhenUsed/>
    <w:qFormat/>
    <w:uiPriority w:val="99"/>
    <w:tblPr>
      <w:tblLayout w:type="fixed"/>
      <w:tblCellMar>
        <w:top w:w="0" w:type="dxa"/>
        <w:left w:w="108" w:type="dxa"/>
        <w:bottom w:w="0" w:type="dxa"/>
        <w:right w:w="108" w:type="dxa"/>
      </w:tblCellMar>
    </w:tblPr>
  </w:style>
  <w:style w:type="paragraph" w:styleId="6">
    <w:name w:val="annotation subject"/>
    <w:basedOn w:val="7"/>
    <w:next w:val="7"/>
    <w:link w:val="27"/>
    <w:unhideWhenUsed/>
    <w:qFormat/>
    <w:uiPriority w:val="99"/>
    <w:rPr>
      <w:b/>
      <w:bCs/>
    </w:rPr>
  </w:style>
  <w:style w:type="paragraph" w:styleId="7">
    <w:name w:val="annotation text"/>
    <w:basedOn w:val="1"/>
    <w:link w:val="26"/>
    <w:unhideWhenUsed/>
    <w:qFormat/>
    <w:uiPriority w:val="99"/>
    <w:pPr>
      <w:jc w:val="left"/>
    </w:pPr>
  </w:style>
  <w:style w:type="paragraph" w:styleId="8">
    <w:name w:val="Document Map"/>
    <w:basedOn w:val="1"/>
    <w:link w:val="33"/>
    <w:unhideWhenUsed/>
    <w:qFormat/>
    <w:uiPriority w:val="99"/>
    <w:rPr>
      <w:rFonts w:ascii="宋体" w:hAnsiTheme="minorHAnsi" w:cstheme="minorBidi"/>
      <w:sz w:val="18"/>
      <w:szCs w:val="18"/>
    </w:rPr>
  </w:style>
  <w:style w:type="paragraph" w:styleId="9">
    <w:name w:val="Plain Text"/>
    <w:basedOn w:val="1"/>
    <w:link w:val="29"/>
    <w:qFormat/>
    <w:uiPriority w:val="0"/>
    <w:rPr>
      <w:rFonts w:ascii="宋体" w:hAnsi="Courier New"/>
      <w:szCs w:val="20"/>
    </w:rPr>
  </w:style>
  <w:style w:type="paragraph" w:styleId="10">
    <w:name w:val="Balloon Text"/>
    <w:basedOn w:val="1"/>
    <w:link w:val="25"/>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5">
    <w:name w:val="Strong"/>
    <w:basedOn w:val="14"/>
    <w:qFormat/>
    <w:uiPriority w:val="22"/>
    <w:rPr>
      <w:b/>
      <w:bCs/>
    </w:rPr>
  </w:style>
  <w:style w:type="character" w:styleId="16">
    <w:name w:val="annotation reference"/>
    <w:basedOn w:val="14"/>
    <w:unhideWhenUsed/>
    <w:qFormat/>
    <w:uiPriority w:val="99"/>
    <w:rPr>
      <w:sz w:val="21"/>
      <w:szCs w:val="21"/>
    </w:rPr>
  </w:style>
  <w:style w:type="character" w:customStyle="1" w:styleId="18">
    <w:name w:val="标题 2 Char"/>
    <w:basedOn w:val="14"/>
    <w:link w:val="3"/>
    <w:qFormat/>
    <w:uiPriority w:val="9"/>
    <w:rPr>
      <w:rFonts w:ascii="Cambria" w:hAnsi="Cambria"/>
      <w:b/>
      <w:bCs/>
      <w:kern w:val="2"/>
      <w:sz w:val="32"/>
      <w:szCs w:val="32"/>
    </w:rPr>
  </w:style>
  <w:style w:type="paragraph" w:customStyle="1" w:styleId="19">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szCs w:val="22"/>
      <w:lang w:val="en-US" w:eastAsia="zh-CN" w:bidi="ar-SA"/>
    </w:rPr>
  </w:style>
  <w:style w:type="character" w:customStyle="1" w:styleId="20">
    <w:name w:val="标题 3 Char"/>
    <w:basedOn w:val="14"/>
    <w:link w:val="4"/>
    <w:qFormat/>
    <w:uiPriority w:val="0"/>
    <w:rPr>
      <w:b/>
      <w:bCs/>
      <w:kern w:val="2"/>
      <w:sz w:val="32"/>
      <w:szCs w:val="32"/>
    </w:rPr>
  </w:style>
  <w:style w:type="paragraph" w:customStyle="1" w:styleId="21">
    <w:name w:val="Char"/>
    <w:basedOn w:val="1"/>
    <w:next w:val="5"/>
    <w:qFormat/>
    <w:uiPriority w:val="0"/>
    <w:pPr>
      <w:widowControl/>
      <w:spacing w:after="160" w:line="240" w:lineRule="exact"/>
      <w:jc w:val="left"/>
    </w:pPr>
    <w:rPr>
      <w:szCs w:val="24"/>
    </w:rPr>
  </w:style>
  <w:style w:type="character" w:customStyle="1" w:styleId="22">
    <w:name w:val="标题 4 Char"/>
    <w:basedOn w:val="14"/>
    <w:link w:val="5"/>
    <w:qFormat/>
    <w:uiPriority w:val="9"/>
    <w:rPr>
      <w:rFonts w:asciiTheme="majorHAnsi" w:hAnsiTheme="majorHAnsi" w:eastAsiaTheme="majorEastAsia" w:cstheme="majorBidi"/>
      <w:b/>
      <w:bCs/>
      <w:kern w:val="2"/>
      <w:sz w:val="28"/>
      <w:szCs w:val="28"/>
    </w:rPr>
  </w:style>
  <w:style w:type="character" w:customStyle="1" w:styleId="23">
    <w:name w:val="页眉 Char"/>
    <w:basedOn w:val="14"/>
    <w:link w:val="12"/>
    <w:qFormat/>
    <w:uiPriority w:val="99"/>
    <w:rPr>
      <w:kern w:val="2"/>
      <w:sz w:val="18"/>
      <w:szCs w:val="22"/>
    </w:rPr>
  </w:style>
  <w:style w:type="character" w:customStyle="1" w:styleId="24">
    <w:name w:val="页脚 Char"/>
    <w:basedOn w:val="14"/>
    <w:link w:val="11"/>
    <w:qFormat/>
    <w:uiPriority w:val="99"/>
    <w:rPr>
      <w:kern w:val="2"/>
      <w:sz w:val="18"/>
      <w:szCs w:val="18"/>
    </w:rPr>
  </w:style>
  <w:style w:type="character" w:customStyle="1" w:styleId="25">
    <w:name w:val="批注框文本 Char"/>
    <w:basedOn w:val="14"/>
    <w:link w:val="10"/>
    <w:qFormat/>
    <w:uiPriority w:val="99"/>
    <w:rPr>
      <w:kern w:val="2"/>
      <w:sz w:val="18"/>
      <w:szCs w:val="18"/>
    </w:rPr>
  </w:style>
  <w:style w:type="character" w:customStyle="1" w:styleId="26">
    <w:name w:val="批注文字 Char"/>
    <w:basedOn w:val="14"/>
    <w:link w:val="7"/>
    <w:qFormat/>
    <w:uiPriority w:val="99"/>
    <w:rPr>
      <w:kern w:val="2"/>
      <w:sz w:val="21"/>
      <w:szCs w:val="22"/>
    </w:rPr>
  </w:style>
  <w:style w:type="character" w:customStyle="1" w:styleId="27">
    <w:name w:val="批注主题 Char"/>
    <w:basedOn w:val="26"/>
    <w:link w:val="6"/>
    <w:qFormat/>
    <w:uiPriority w:val="99"/>
    <w:rPr>
      <w:b/>
      <w:bCs/>
      <w:kern w:val="2"/>
      <w:sz w:val="21"/>
      <w:szCs w:val="22"/>
    </w:rPr>
  </w:style>
  <w:style w:type="character" w:customStyle="1" w:styleId="28">
    <w:name w:val="标题 1 Char"/>
    <w:basedOn w:val="14"/>
    <w:link w:val="2"/>
    <w:qFormat/>
    <w:uiPriority w:val="9"/>
    <w:rPr>
      <w:b/>
      <w:bCs/>
      <w:kern w:val="44"/>
      <w:sz w:val="44"/>
      <w:szCs w:val="44"/>
    </w:rPr>
  </w:style>
  <w:style w:type="character" w:customStyle="1" w:styleId="29">
    <w:name w:val="纯文本 Char"/>
    <w:basedOn w:val="14"/>
    <w:link w:val="9"/>
    <w:qFormat/>
    <w:uiPriority w:val="0"/>
    <w:rPr>
      <w:rFonts w:ascii="宋体" w:hAnsi="Courier New"/>
      <w:kern w:val="2"/>
      <w:sz w:val="21"/>
    </w:rPr>
  </w:style>
  <w:style w:type="paragraph" w:customStyle="1" w:styleId="30">
    <w:name w:val="附录表标题"/>
    <w:basedOn w:val="1"/>
    <w:next w:val="19"/>
    <w:qFormat/>
    <w:uiPriority w:val="0"/>
    <w:pPr>
      <w:tabs>
        <w:tab w:val="left" w:pos="180"/>
      </w:tabs>
      <w:spacing w:beforeLines="50" w:afterLines="50"/>
      <w:jc w:val="center"/>
    </w:pPr>
    <w:rPr>
      <w:rFonts w:ascii="黑体" w:hAnsi="Times New Roman" w:eastAsia="黑体"/>
      <w:szCs w:val="21"/>
    </w:rPr>
  </w:style>
  <w:style w:type="character" w:customStyle="1" w:styleId="31">
    <w:name w:val="批注文字 Char1"/>
    <w:basedOn w:val="14"/>
    <w:semiHidden/>
    <w:qFormat/>
    <w:uiPriority w:val="99"/>
    <w:rPr>
      <w:kern w:val="2"/>
      <w:sz w:val="21"/>
      <w:szCs w:val="22"/>
    </w:rPr>
  </w:style>
  <w:style w:type="character" w:customStyle="1" w:styleId="32">
    <w:name w:val="批注主题 Char1"/>
    <w:basedOn w:val="31"/>
    <w:semiHidden/>
    <w:qFormat/>
    <w:uiPriority w:val="99"/>
    <w:rPr>
      <w:b/>
      <w:bCs/>
      <w:kern w:val="2"/>
      <w:sz w:val="21"/>
      <w:szCs w:val="22"/>
    </w:rPr>
  </w:style>
  <w:style w:type="character" w:customStyle="1" w:styleId="33">
    <w:name w:val="文档结构图 Char"/>
    <w:basedOn w:val="14"/>
    <w:link w:val="8"/>
    <w:qFormat/>
    <w:uiPriority w:val="99"/>
    <w:rPr>
      <w:rFonts w:ascii="宋体" w:hAnsiTheme="minorHAnsi" w:cstheme="minorBidi"/>
      <w:kern w:val="2"/>
      <w:sz w:val="18"/>
      <w:szCs w:val="18"/>
    </w:rPr>
  </w:style>
  <w:style w:type="character" w:customStyle="1" w:styleId="34">
    <w:name w:val="文档结构图 Char1"/>
    <w:basedOn w:val="14"/>
    <w:semiHidden/>
    <w:qFormat/>
    <w:uiPriority w:val="99"/>
    <w:rPr>
      <w:rFonts w:ascii="宋体"/>
      <w:kern w:val="2"/>
      <w:sz w:val="18"/>
      <w:szCs w:val="18"/>
    </w:rPr>
  </w:style>
  <w:style w:type="character" w:customStyle="1" w:styleId="35">
    <w:name w:val="批注框文本 Char1"/>
    <w:basedOn w:val="14"/>
    <w:semiHidden/>
    <w:qFormat/>
    <w:uiPriority w:val="99"/>
    <w:rPr>
      <w:kern w:val="2"/>
      <w:sz w:val="18"/>
      <w:szCs w:val="18"/>
    </w:rPr>
  </w:style>
  <w:style w:type="paragraph" w:customStyle="1" w:styleId="36">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textRotate="1"/>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F1D9CB-0780-4340-A325-E59F73F3EB5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58</Pages>
  <Words>3154</Words>
  <Characters>17979</Characters>
  <Lines>149</Lines>
  <Paragraphs>42</Paragraphs>
  <ScaleCrop>false</ScaleCrop>
  <LinksUpToDate>false</LinksUpToDate>
  <CharactersWithSpaces>21091</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2019-06-18T09:53:00Z</dcterms:created>
  <dc:creator>China</dc:creator>
  <cp:lastModifiedBy>毛金龙</cp:lastModifiedBy>
  <cp:lastPrinted>2019-12-10T02:07:00Z</cp:lastPrinted>
  <dcterms:modified xsi:type="dcterms:W3CDTF">2019-12-11T08:24:50Z</dcterms:modified>
  <cp:revision>149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