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0" w:firstLineChars="0"/>
        <w:jc w:val="left"/>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5</w:t>
      </w:r>
    </w:p>
    <w:p>
      <w:pPr>
        <w:adjustRightInd w:val="0"/>
        <w:snapToGrid w:val="0"/>
        <w:spacing w:line="560" w:lineRule="exact"/>
        <w:ind w:firstLine="900" w:firstLineChars="0"/>
        <w:jc w:val="center"/>
        <w:rPr>
          <w:rFonts w:hint="eastAsia" w:ascii="黑体" w:hAnsi="黑体" w:eastAsia="黑体" w:cs="黑体"/>
          <w:b w:val="0"/>
          <w:bCs/>
          <w:sz w:val="44"/>
          <w:szCs w:val="44"/>
        </w:rPr>
      </w:pPr>
      <w:r>
        <w:rPr>
          <w:rFonts w:hint="eastAsia" w:ascii="黑体" w:hAnsi="黑体" w:eastAsia="黑体" w:cs="黑体"/>
          <w:b w:val="0"/>
          <w:bCs/>
          <w:sz w:val="44"/>
          <w:szCs w:val="44"/>
        </w:rPr>
        <w:t>粉尘涉爆企业执法检查表</w:t>
      </w:r>
    </w:p>
    <w:p>
      <w:pPr>
        <w:spacing w:line="560" w:lineRule="exact"/>
        <w:ind w:firstLine="0" w:firstLineChars="0"/>
        <w:rPr>
          <w:rFonts w:ascii="仿宋_GB2312" w:eastAsia="仿宋_GB2312"/>
          <w:sz w:val="28"/>
          <w:szCs w:val="28"/>
          <w:u w:val="single"/>
        </w:rPr>
      </w:pPr>
      <w:r>
        <w:rPr>
          <w:rFonts w:hint="eastAsia" w:ascii="仿宋_GB2312" w:eastAsia="仿宋_GB2312"/>
          <w:sz w:val="28"/>
          <w:szCs w:val="28"/>
        </w:rPr>
        <w:t>企业名称（地址）：</w:t>
      </w:r>
      <w:r>
        <w:rPr>
          <w:rFonts w:hint="eastAsia" w:ascii="仿宋_GB2312" w:eastAsia="仿宋_GB2312"/>
          <w:sz w:val="28"/>
          <w:szCs w:val="28"/>
          <w:u w:val="single"/>
        </w:rPr>
        <w:t xml:space="preserve">                </w:t>
      </w:r>
      <w:r>
        <w:rPr>
          <w:rFonts w:hint="eastAsia" w:ascii="仿宋_GB2312" w:eastAsia="仿宋_GB2312"/>
          <w:sz w:val="28"/>
          <w:szCs w:val="28"/>
        </w:rPr>
        <w:t xml:space="preserve"> 检查单位：</w:t>
      </w:r>
      <w:r>
        <w:rPr>
          <w:rFonts w:hint="eastAsia" w:ascii="仿宋_GB2312" w:eastAsia="仿宋_GB2312"/>
          <w:sz w:val="28"/>
          <w:szCs w:val="28"/>
          <w:u w:val="single"/>
        </w:rPr>
        <w:t xml:space="preserve">             </w:t>
      </w:r>
      <w:r>
        <w:rPr>
          <w:rFonts w:hint="eastAsia" w:ascii="仿宋_GB2312" w:eastAsia="仿宋_GB2312"/>
          <w:sz w:val="28"/>
          <w:szCs w:val="28"/>
        </w:rPr>
        <w:t xml:space="preserve"> 检查人员：</w:t>
      </w:r>
      <w:r>
        <w:rPr>
          <w:rFonts w:hint="eastAsia" w:ascii="仿宋_GB2312" w:eastAsia="仿宋_GB2312"/>
          <w:sz w:val="28"/>
          <w:szCs w:val="28"/>
          <w:u w:val="single"/>
        </w:rPr>
        <w:t xml:space="preserve">        </w:t>
      </w:r>
      <w:bookmarkStart w:id="0" w:name="_GoBack"/>
      <w:bookmarkEnd w:id="0"/>
      <w:r>
        <w:rPr>
          <w:rFonts w:hint="eastAsia" w:ascii="仿宋_GB2312" w:eastAsia="仿宋_GB2312"/>
          <w:sz w:val="28"/>
          <w:szCs w:val="28"/>
          <w:u w:val="single"/>
        </w:rPr>
        <w:t xml:space="preserve">  </w:t>
      </w:r>
      <w:r>
        <w:rPr>
          <w:rFonts w:hint="eastAsia" w:ascii="仿宋_GB2312" w:eastAsia="仿宋_GB2312"/>
          <w:sz w:val="28"/>
          <w:szCs w:val="28"/>
        </w:rPr>
        <w:t xml:space="preserve"> 检查日期：</w:t>
      </w:r>
      <w:r>
        <w:rPr>
          <w:rFonts w:hint="eastAsia" w:ascii="仿宋_GB2312" w:eastAsia="仿宋_GB2312"/>
          <w:sz w:val="28"/>
          <w:szCs w:val="28"/>
          <w:u w:val="single"/>
        </w:rPr>
        <w:t xml:space="preserve">          </w:t>
      </w:r>
    </w:p>
    <w:tbl>
      <w:tblPr>
        <w:tblStyle w:val="6"/>
        <w:tblW w:w="13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42"/>
        <w:gridCol w:w="8142"/>
        <w:gridCol w:w="3057"/>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81" w:hRule="atLeast"/>
        </w:trPr>
        <w:tc>
          <w:tcPr>
            <w:tcW w:w="1242"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center"/>
              <w:textAlignment w:val="auto"/>
              <w:outlineLvl w:val="9"/>
              <w:rPr>
                <w:rFonts w:ascii="仿宋_GB2312" w:eastAsia="仿宋_GB2312"/>
                <w:b/>
                <w:sz w:val="24"/>
                <w:szCs w:val="24"/>
              </w:rPr>
            </w:pPr>
            <w:r>
              <w:rPr>
                <w:rFonts w:hint="eastAsia" w:ascii="仿宋_GB2312" w:eastAsia="仿宋_GB2312"/>
                <w:b/>
                <w:sz w:val="24"/>
                <w:szCs w:val="24"/>
              </w:rPr>
              <w:t>检查类别</w:t>
            </w:r>
          </w:p>
        </w:tc>
        <w:tc>
          <w:tcPr>
            <w:tcW w:w="8142"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center"/>
              <w:textAlignment w:val="auto"/>
              <w:outlineLvl w:val="9"/>
              <w:rPr>
                <w:rFonts w:ascii="仿宋_GB2312" w:eastAsia="仿宋_GB2312"/>
                <w:b/>
                <w:sz w:val="24"/>
                <w:szCs w:val="24"/>
              </w:rPr>
            </w:pPr>
            <w:r>
              <w:rPr>
                <w:rFonts w:hint="eastAsia" w:ascii="仿宋_GB2312" w:eastAsia="仿宋_GB2312"/>
                <w:b/>
                <w:sz w:val="24"/>
                <w:szCs w:val="24"/>
              </w:rPr>
              <w:t>检查项目</w:t>
            </w:r>
          </w:p>
        </w:tc>
        <w:tc>
          <w:tcPr>
            <w:tcW w:w="3057"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center"/>
              <w:textAlignment w:val="auto"/>
              <w:outlineLvl w:val="9"/>
              <w:rPr>
                <w:rFonts w:ascii="仿宋_GB2312" w:eastAsia="仿宋_GB2312"/>
                <w:b/>
                <w:sz w:val="24"/>
                <w:szCs w:val="24"/>
              </w:rPr>
            </w:pPr>
            <w:r>
              <w:rPr>
                <w:rFonts w:hint="eastAsia" w:ascii="仿宋_GB2312" w:eastAsia="仿宋_GB2312"/>
                <w:b/>
                <w:sz w:val="24"/>
                <w:szCs w:val="24"/>
              </w:rPr>
              <w:t>执法依据</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center"/>
              <w:textAlignment w:val="auto"/>
              <w:outlineLvl w:val="9"/>
              <w:rPr>
                <w:rFonts w:ascii="仿宋_GB2312" w:eastAsia="仿宋_GB2312"/>
                <w:b/>
                <w:sz w:val="24"/>
                <w:szCs w:val="24"/>
              </w:rPr>
            </w:pPr>
            <w:r>
              <w:rPr>
                <w:rFonts w:hint="eastAsia" w:ascii="仿宋_GB2312" w:eastAsia="仿宋_GB2312"/>
                <w:b/>
                <w:sz w:val="24"/>
                <w:szCs w:val="24"/>
              </w:rPr>
              <w:t>执法结果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72" w:hRule="atLeast"/>
        </w:trPr>
        <w:tc>
          <w:tcPr>
            <w:tcW w:w="12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outlineLvl w:val="9"/>
              <w:rPr>
                <w:rFonts w:ascii="仿宋_GB2312" w:hAnsi="宋体" w:eastAsia="仿宋_GB2312" w:cs="宋体"/>
                <w:b/>
                <w:kern w:val="0"/>
                <w:sz w:val="24"/>
                <w:szCs w:val="24"/>
              </w:rPr>
            </w:pPr>
            <w:r>
              <w:rPr>
                <w:rFonts w:hint="eastAsia" w:ascii="仿宋_GB2312" w:hAnsi="宋体" w:eastAsia="仿宋_GB2312" w:cs="宋体"/>
                <w:b/>
                <w:kern w:val="0"/>
                <w:sz w:val="24"/>
                <w:szCs w:val="24"/>
              </w:rPr>
              <w:t>建构筑物</w:t>
            </w: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1.粉尘爆炸危险场所设置在非框架结构的多层建构筑物内或与居民区、员工宿舍、会议室等人员密集场所安全距离不足。</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25" w:hRule="atLeast"/>
        </w:trPr>
        <w:tc>
          <w:tcPr>
            <w:tcW w:w="1242" w:type="dxa"/>
            <w:vMerge w:val="restart"/>
            <w:vAlign w:val="center"/>
          </w:tcPr>
          <w:p>
            <w:pPr>
              <w:keepNext w:val="0"/>
              <w:keepLines w:val="0"/>
              <w:pageBreakBefore w:val="0"/>
              <w:kinsoku/>
              <w:wordWrap/>
              <w:overflowPunct/>
              <w:topLinePunct w:val="0"/>
              <w:autoSpaceDE/>
              <w:autoSpaceDN/>
              <w:bidi w:val="0"/>
              <w:spacing w:line="320" w:lineRule="exact"/>
              <w:ind w:left="0" w:leftChars="0" w:right="0" w:rightChars="0" w:firstLine="0" w:firstLineChars="0"/>
              <w:jc w:val="center"/>
              <w:textAlignment w:val="auto"/>
              <w:outlineLvl w:val="9"/>
              <w:rPr>
                <w:rFonts w:ascii="仿宋_GB2312" w:hAnsi="宋体" w:eastAsia="仿宋_GB2312"/>
                <w:b/>
                <w:sz w:val="24"/>
                <w:szCs w:val="24"/>
              </w:rPr>
            </w:pPr>
            <w:r>
              <w:rPr>
                <w:rFonts w:hint="eastAsia" w:ascii="仿宋_GB2312" w:hAnsi="宋体" w:eastAsia="仿宋_GB2312" w:cs="宋体"/>
                <w:b/>
                <w:kern w:val="0"/>
                <w:sz w:val="24"/>
                <w:szCs w:val="24"/>
              </w:rPr>
              <w:t>除尘系统</w:t>
            </w: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2.可燃性粉尘与可燃气体等易加剧爆炸危险的介质共用一套除尘系统，不同防火分区的除尘系统互联互通。</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7" w:hRule="atLeast"/>
        </w:trPr>
        <w:tc>
          <w:tcPr>
            <w:tcW w:w="1242" w:type="dxa"/>
            <w:vMerge w:val="continue"/>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b/>
                <w:sz w:val="24"/>
                <w:szCs w:val="24"/>
              </w:rPr>
            </w:pP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3.干式除尘系统未规范采用泄爆、隔爆、惰化、抑爆等任一种控爆措施。</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60" w:hRule="atLeast"/>
        </w:trPr>
        <w:tc>
          <w:tcPr>
            <w:tcW w:w="1242" w:type="dxa"/>
            <w:vMerge w:val="continue"/>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b/>
                <w:sz w:val="24"/>
                <w:szCs w:val="24"/>
              </w:rPr>
            </w:pP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4.除尘系统采用正压吹送粉尘，且未采取可靠的防范点燃源的措施。</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54" w:hRule="atLeast"/>
        </w:trPr>
        <w:tc>
          <w:tcPr>
            <w:tcW w:w="1242" w:type="dxa"/>
            <w:vMerge w:val="continue"/>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b/>
                <w:sz w:val="32"/>
                <w:szCs w:val="32"/>
              </w:rPr>
            </w:pP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5.除尘系统采用粉尘沉降室除尘，或者采用干式巷道式构筑物作为除尘风道。</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4" w:hRule="atLeast"/>
        </w:trPr>
        <w:tc>
          <w:tcPr>
            <w:tcW w:w="1242" w:type="dxa"/>
            <w:vMerge w:val="continue"/>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b/>
                <w:sz w:val="32"/>
                <w:szCs w:val="32"/>
              </w:rPr>
            </w:pP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6.铝镁等金属粉尘及木质粉尘的干式除尘系统未规范设置锁气卸灰装置。</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98" w:hRule="atLeast"/>
        </w:trPr>
        <w:tc>
          <w:tcPr>
            <w:tcW w:w="1242" w:type="dxa"/>
            <w:vMerge w:val="restart"/>
            <w:vAlign w:val="center"/>
          </w:tcPr>
          <w:p>
            <w:pPr>
              <w:keepNext w:val="0"/>
              <w:keepLines w:val="0"/>
              <w:pageBreakBefore w:val="0"/>
              <w:kinsoku/>
              <w:wordWrap/>
              <w:overflowPunct/>
              <w:topLinePunct w:val="0"/>
              <w:autoSpaceDE/>
              <w:autoSpaceDN/>
              <w:bidi w:val="0"/>
              <w:spacing w:line="320" w:lineRule="exact"/>
              <w:ind w:left="0" w:leftChars="0" w:right="0" w:rightChars="0" w:firstLine="0" w:firstLineChars="0"/>
              <w:jc w:val="center"/>
              <w:textAlignment w:val="auto"/>
              <w:outlineLvl w:val="9"/>
              <w:rPr>
                <w:rFonts w:ascii="宋体" w:hAnsi="宋体" w:cs="宋体"/>
                <w:b/>
                <w:kern w:val="0"/>
                <w:szCs w:val="21"/>
              </w:rPr>
            </w:pPr>
            <w:r>
              <w:rPr>
                <w:rFonts w:hint="eastAsia" w:ascii="仿宋_GB2312" w:hAnsi="宋体" w:eastAsia="仿宋_GB2312" w:cs="宋体"/>
                <w:b/>
                <w:kern w:val="0"/>
                <w:sz w:val="24"/>
                <w:szCs w:val="24"/>
              </w:rPr>
              <w:t>防火防爆</w:t>
            </w: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7.粉尘爆炸危险场所的20区未使用防爆电气设备设施。</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50" w:hRule="atLeast"/>
        </w:trPr>
        <w:tc>
          <w:tcPr>
            <w:tcW w:w="1242" w:type="dxa"/>
            <w:vMerge w:val="continue"/>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b/>
                <w:sz w:val="32"/>
                <w:szCs w:val="32"/>
              </w:rPr>
            </w:pP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8.在粉碎、研磨、造粒等易于产生机械点火源的工艺设备前，未按规范设置去除铁、石等异物的装置。</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15" w:hRule="atLeast"/>
        </w:trPr>
        <w:tc>
          <w:tcPr>
            <w:tcW w:w="1242" w:type="dxa"/>
            <w:vMerge w:val="continue"/>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b/>
                <w:sz w:val="32"/>
                <w:szCs w:val="32"/>
              </w:rPr>
            </w:pP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9.木制品加工企业，与砂光机连接的风管未规范设置火花探测报警装置。</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《安全生产法》第九十六条、第九十九条。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0" w:hRule="atLeast"/>
        </w:trPr>
        <w:tc>
          <w:tcPr>
            <w:tcW w:w="12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outlineLvl w:val="9"/>
              <w:rPr>
                <w:rFonts w:ascii="仿宋_GB2312" w:hAnsi="宋体" w:eastAsia="仿宋_GB2312" w:cs="宋体"/>
                <w:b/>
                <w:kern w:val="0"/>
                <w:sz w:val="24"/>
                <w:szCs w:val="24"/>
              </w:rPr>
            </w:pPr>
            <w:r>
              <w:rPr>
                <w:rFonts w:hint="eastAsia" w:ascii="仿宋_GB2312" w:hAnsi="宋体" w:eastAsia="仿宋_GB2312" w:cs="宋体"/>
                <w:b/>
                <w:kern w:val="0"/>
                <w:sz w:val="24"/>
                <w:szCs w:val="24"/>
              </w:rPr>
              <w:t>粉尘</w:t>
            </w:r>
            <w:r>
              <w:rPr>
                <w:rFonts w:hint="eastAsia" w:ascii="仿宋_GB2312" w:hAnsi="宋体" w:eastAsia="仿宋_GB2312" w:cs="宋体"/>
                <w:b/>
                <w:kern w:val="0"/>
                <w:sz w:val="24"/>
                <w:szCs w:val="24"/>
                <w:lang w:eastAsia="zh-CN"/>
              </w:rPr>
              <w:t>清理</w:t>
            </w:r>
          </w:p>
        </w:tc>
        <w:tc>
          <w:tcPr>
            <w:tcW w:w="8142"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10.未制定粉尘清扫制度，作业现场积尘未及时规范清理。</w:t>
            </w:r>
          </w:p>
        </w:tc>
        <w:tc>
          <w:tcPr>
            <w:tcW w:w="3057" w:type="dxa"/>
            <w:vAlign w:val="center"/>
          </w:tcPr>
          <w:p>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ascii="仿宋_GB2312" w:hAnsi="宋体" w:eastAsia="仿宋_GB2312" w:cs="宋体"/>
                <w:kern w:val="0"/>
                <w:sz w:val="24"/>
                <w:szCs w:val="24"/>
              </w:rPr>
            </w:pPr>
            <w:r>
              <w:rPr>
                <w:rFonts w:hint="eastAsia" w:ascii="仿宋_GB2312" w:hAnsi="宋体" w:eastAsia="仿宋_GB2312" w:cs="宋体"/>
                <w:kern w:val="0"/>
                <w:sz w:val="24"/>
                <w:szCs w:val="24"/>
              </w:rPr>
              <w:t>《安全生产法》第九十九条。</w:t>
            </w:r>
          </w:p>
        </w:tc>
        <w:tc>
          <w:tcPr>
            <w:tcW w:w="1351" w:type="dxa"/>
          </w:tcPr>
          <w:p>
            <w:pPr>
              <w:keepNext w:val="0"/>
              <w:keepLines w:val="0"/>
              <w:pageBreakBefore w:val="0"/>
              <w:kinsoku/>
              <w:wordWrap/>
              <w:overflowPunct/>
              <w:topLinePunct w:val="0"/>
              <w:autoSpaceDE/>
              <w:autoSpaceDN/>
              <w:bidi w:val="0"/>
              <w:spacing w:line="320" w:lineRule="exact"/>
              <w:ind w:left="0" w:leftChars="0" w:right="0" w:rightChars="0" w:firstLine="0" w:firstLineChars="0"/>
              <w:jc w:val="left"/>
              <w:textAlignment w:val="auto"/>
              <w:outlineLvl w:val="9"/>
              <w:rPr>
                <w:rFonts w:ascii="仿宋_GB2312" w:eastAsia="仿宋_GB2312"/>
                <w:sz w:val="32"/>
                <w:szCs w:val="32"/>
              </w:rPr>
            </w:pPr>
          </w:p>
        </w:tc>
      </w:tr>
    </w:tbl>
    <w:p>
      <w:pPr>
        <w:adjustRightInd w:val="0"/>
        <w:snapToGrid w:val="0"/>
        <w:spacing w:line="540" w:lineRule="exact"/>
        <w:ind w:firstLine="0" w:firstLineChars="0"/>
      </w:pPr>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474" w:right="1588" w:bottom="1262" w:left="1588" w:header="851" w:footer="77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50"/>
      <w:jc w:val="center"/>
    </w:pPr>
  </w:p>
  <w:p>
    <w:pPr>
      <w:pStyle w:val="3"/>
      <w:ind w:firstLine="4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5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9384"/>
      <w:docPartObj>
        <w:docPartGallery w:val="autotext"/>
      </w:docPartObj>
    </w:sdtPr>
    <w:sdtContent>
      <w:p>
        <w:pPr>
          <w:pStyle w:val="3"/>
          <w:ind w:firstLine="450"/>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ind w:firstLine="45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45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4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F533A"/>
    <w:rsid w:val="000128C7"/>
    <w:rsid w:val="0001293C"/>
    <w:rsid w:val="000312CC"/>
    <w:rsid w:val="00047396"/>
    <w:rsid w:val="0008107B"/>
    <w:rsid w:val="000A09C5"/>
    <w:rsid w:val="00177E8E"/>
    <w:rsid w:val="00182451"/>
    <w:rsid w:val="001B404F"/>
    <w:rsid w:val="001D27CC"/>
    <w:rsid w:val="002119D9"/>
    <w:rsid w:val="00273EAF"/>
    <w:rsid w:val="00290746"/>
    <w:rsid w:val="002A2D31"/>
    <w:rsid w:val="002C4A46"/>
    <w:rsid w:val="002F163F"/>
    <w:rsid w:val="0032000C"/>
    <w:rsid w:val="00334999"/>
    <w:rsid w:val="003834F8"/>
    <w:rsid w:val="003D14DA"/>
    <w:rsid w:val="003F78F5"/>
    <w:rsid w:val="00452394"/>
    <w:rsid w:val="00464A84"/>
    <w:rsid w:val="00477A84"/>
    <w:rsid w:val="0048663F"/>
    <w:rsid w:val="004E1772"/>
    <w:rsid w:val="00501546"/>
    <w:rsid w:val="00554DCE"/>
    <w:rsid w:val="005608AB"/>
    <w:rsid w:val="005612C5"/>
    <w:rsid w:val="005728E6"/>
    <w:rsid w:val="00576938"/>
    <w:rsid w:val="005A0396"/>
    <w:rsid w:val="005B1FD2"/>
    <w:rsid w:val="00643FE3"/>
    <w:rsid w:val="00650A00"/>
    <w:rsid w:val="006D23A2"/>
    <w:rsid w:val="006E320F"/>
    <w:rsid w:val="006F3B22"/>
    <w:rsid w:val="0073703B"/>
    <w:rsid w:val="007520DC"/>
    <w:rsid w:val="00782B0B"/>
    <w:rsid w:val="007A680F"/>
    <w:rsid w:val="007F35D2"/>
    <w:rsid w:val="008006A0"/>
    <w:rsid w:val="00872066"/>
    <w:rsid w:val="00887832"/>
    <w:rsid w:val="008A5B95"/>
    <w:rsid w:val="008F2CE8"/>
    <w:rsid w:val="00934BF4"/>
    <w:rsid w:val="00953FF1"/>
    <w:rsid w:val="0098372E"/>
    <w:rsid w:val="00984084"/>
    <w:rsid w:val="009953A7"/>
    <w:rsid w:val="009958F4"/>
    <w:rsid w:val="009C2437"/>
    <w:rsid w:val="00A00F51"/>
    <w:rsid w:val="00A42A03"/>
    <w:rsid w:val="00A64E97"/>
    <w:rsid w:val="00A81007"/>
    <w:rsid w:val="00A9150E"/>
    <w:rsid w:val="00AD594A"/>
    <w:rsid w:val="00B32FA6"/>
    <w:rsid w:val="00B648A6"/>
    <w:rsid w:val="00BF533A"/>
    <w:rsid w:val="00C3110A"/>
    <w:rsid w:val="00C614B1"/>
    <w:rsid w:val="00C84E6A"/>
    <w:rsid w:val="00CC7461"/>
    <w:rsid w:val="00CD60F2"/>
    <w:rsid w:val="00D33D85"/>
    <w:rsid w:val="00D90E39"/>
    <w:rsid w:val="00D93E95"/>
    <w:rsid w:val="00DA5BEE"/>
    <w:rsid w:val="00DE5DE9"/>
    <w:rsid w:val="00DF5267"/>
    <w:rsid w:val="00E501ED"/>
    <w:rsid w:val="00EC14B4"/>
    <w:rsid w:val="00EC48BC"/>
    <w:rsid w:val="00ED599C"/>
    <w:rsid w:val="00F95172"/>
    <w:rsid w:val="00F97604"/>
    <w:rsid w:val="00FC4BCA"/>
    <w:rsid w:val="00FE462F"/>
    <w:rsid w:val="2AF92726"/>
    <w:rsid w:val="421362A6"/>
    <w:rsid w:val="46F443E1"/>
    <w:rsid w:val="52CB1CD7"/>
    <w:rsid w:val="5E382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exact"/>
      <w:ind w:firstLine="250" w:firstLineChars="25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unhideWhenUsed/>
    <w:qFormat/>
    <w:uiPriority w:val="99"/>
    <w:pPr>
      <w:spacing w:line="240" w:lineRule="auto"/>
    </w:pPr>
    <w:rPr>
      <w:sz w:val="18"/>
      <w:szCs w:val="18"/>
    </w:rPr>
  </w:style>
  <w:style w:type="paragraph" w:styleId="3">
    <w:name w:val="footer"/>
    <w:basedOn w:val="1"/>
    <w:link w:val="8"/>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7">
    <w:name w:val="页眉 Char"/>
    <w:basedOn w:val="5"/>
    <w:link w:val="4"/>
    <w:uiPriority w:val="99"/>
    <w:rPr>
      <w:rFonts w:ascii="Calibri" w:hAnsi="Calibri" w:eastAsia="宋体" w:cs="Times New Roman"/>
      <w:sz w:val="18"/>
      <w:szCs w:val="18"/>
    </w:rPr>
  </w:style>
  <w:style w:type="character" w:customStyle="1" w:styleId="8">
    <w:name w:val="页脚 Char"/>
    <w:basedOn w:val="5"/>
    <w:link w:val="3"/>
    <w:qFormat/>
    <w:uiPriority w:val="99"/>
    <w:rPr>
      <w:rFonts w:ascii="Calibri" w:hAnsi="Calibri" w:eastAsia="宋体" w:cs="Times New Roman"/>
      <w:sz w:val="18"/>
      <w:szCs w:val="18"/>
    </w:rPr>
  </w:style>
  <w:style w:type="character" w:customStyle="1" w:styleId="9">
    <w:name w:val="批注框文本 Char"/>
    <w:basedOn w:val="5"/>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AFADCF-F3E5-4126-8713-657BCB55223A}">
  <ds:schemaRefs/>
</ds:datastoreItem>
</file>

<file path=docProps/app.xml><?xml version="1.0" encoding="utf-8"?>
<Properties xmlns="http://schemas.openxmlformats.org/officeDocument/2006/extended-properties" xmlns:vt="http://schemas.openxmlformats.org/officeDocument/2006/docPropsVTypes">
  <Template>Normal</Template>
  <Pages>2</Pages>
  <Words>108</Words>
  <Characters>617</Characters>
  <Lines>5</Lines>
  <Paragraphs>1</Paragraphs>
  <ScaleCrop>false</ScaleCrop>
  <LinksUpToDate>false</LinksUpToDate>
  <CharactersWithSpaces>724</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2018-02-22T02:05:00Z</dcterms:created>
  <dc:creator>侠ڏ⿀ࣃ쾈ۘ飀ݏਛ聀࣌ቨځਛ䦘ڏፈځ냠ٵ므ऐ</dc:creator>
  <cp:lastModifiedBy>TT411829</cp:lastModifiedBy>
  <cp:lastPrinted>2018-02-22T01:01:00Z</cp:lastPrinted>
  <dcterms:modified xsi:type="dcterms:W3CDTF">2018-03-14T03:31:00Z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