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关于督促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工贸行业企业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做好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安全生产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大检查长效机制网上隐患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自查自报工作的通知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各州、市安全监管局：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去年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月，省局已对部分州（市）工贸行业开展自查自报率低的情况进行通报，要求相关州（市）安全监管局认真分析原因，采取有效果断措施，立即督促企业开展自检自查，及时进行网上填报，提高工贸行业的自检自查率。截至今年3月10日，工贸行业的自查自报率仍然偏低，部分州（市）依然对这项工作重视不够，督促落实不到位。为做好安全生产大检查长效机制网上隐患自查自报工作，提出以下要求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default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各州（市）安全监管局要切实重视工贸企业隐患自查自报工作，安排专人落实。立即通知基层安全监管部门，督促辖区内的企业认真开展隐患自查自报工作，并将检查情况及时填报上网。进一步做好企业网上填报的指导工作，及时解决企业在填报过程中出现的问题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各级安全监管部门要根据《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关于印发中小企业划型标准规定的通知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》（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工信部联企业〔2011〕300号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）和《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国家统计局关于印发统计上大中小微型企业划分办法的通知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》（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国统字〔2011〕75号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），将中型以上的企业作为大检查长效机制工作重点，督促企业每月底前完成隐患自查自报工作，以提高企业隐患自查自报率。同时，做好小微企业的属地安全监管工作。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请各州（市）安全监管局指定一名工贸行业安全生产大检查长效机制工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作联络员，于3月23日前报省局行管处。</w:t>
      </w:r>
    </w:p>
    <w:p>
      <w:pPr>
        <w:numPr>
          <w:ilvl w:val="0"/>
          <w:numId w:val="0"/>
        </w:numPr>
        <w:ind w:left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联系电话：0871-68371016，68371019。</w:t>
      </w:r>
    </w:p>
    <w:p>
      <w:pPr>
        <w:numPr>
          <w:ilvl w:val="0"/>
          <w:numId w:val="0"/>
        </w:numPr>
        <w:ind w:leftChars="200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附件：1.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大中小微型企业划分标准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2.工贸行业安全生产大检查长效机制工作联络员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名单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云南省安全生产监督管理局办公室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2016年3月14日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40"/>
          <w:lang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1</w:t>
      </w:r>
    </w:p>
    <w:p>
      <w:pPr>
        <w:jc w:val="center"/>
        <w:rPr>
          <w:rFonts w:hint="default"/>
          <w:lang w:eastAsia="zh-CN"/>
        </w:rPr>
      </w:pPr>
      <w:r>
        <w:rPr>
          <w:rFonts w:hint="default"/>
          <w:sz w:val="36"/>
          <w:szCs w:val="36"/>
          <w:lang w:eastAsia="zh-CN"/>
        </w:rPr>
        <w:t>大中小微型企业划分标准</w:t>
      </w:r>
    </w:p>
    <w:tbl>
      <w:tblPr>
        <w:tblStyle w:val="10"/>
        <w:tblW w:w="86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649"/>
        <w:gridCol w:w="649"/>
        <w:gridCol w:w="1031"/>
        <w:gridCol w:w="1351"/>
        <w:gridCol w:w="1320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</w:rPr>
              <w:t xml:space="preserve"> </w:t>
            </w:r>
            <w:r>
              <w:rPr>
                <w:rFonts w:hint="default"/>
                <w:sz w:val="21"/>
                <w:szCs w:val="13"/>
                <w:lang w:eastAsia="zh-CN"/>
              </w:rPr>
              <w:t>行业名称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指标名称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计量</w:t>
            </w:r>
            <w:r>
              <w:rPr>
                <w:rFonts w:hint="default"/>
                <w:sz w:val="21"/>
                <w:szCs w:val="13"/>
                <w:lang w:eastAsia="zh-CN"/>
              </w:rPr>
              <w:br w:type="textWrapping"/>
            </w:r>
            <w:r>
              <w:rPr>
                <w:rFonts w:hint="default"/>
                <w:sz w:val="21"/>
                <w:szCs w:val="13"/>
                <w:lang w:eastAsia="zh-CN"/>
              </w:rPr>
              <w:t>单位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大型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中型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小型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农、林、牧、渔业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Y≥20000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500≤Y＜20000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50≤Y＜500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工业 *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X≥1000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300≤X＜1000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20≤X＜300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Y≥40000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2000≤Y＜40000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300≤Y＜2000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建筑业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Y≥80000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6000≤Y＜80000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300≤Y＜6000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资产总额(Z)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Z≥80000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5000≤Z＜80000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300≤Z＜5000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Z＜300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批发业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X≥200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20≤X＜200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5≤X＜20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Y≥40000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5000≤Y＜40000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1000≤Y＜5000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零售业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X≥300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50≤X＜300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10≤X＜50 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Y≥20000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500≤Y＜20000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100≤Y＜500 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交通运输业 *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X≥1000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300≤X＜1000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20≤X＜300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Y≥30000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3000≤Y＜30000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200≤Y＜3000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仓储业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X≥200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100≤X＜200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20≤X＜100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Y≥30000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1000≤Y＜30000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100≤Y＜1000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邮政业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X≥1000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300≤X＜1000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20≤X＜300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Y≥30000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2000≤Y＜30000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100≤Y＜2000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住宿业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X≥300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100≤X＜300 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10≤X＜100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Y≥10000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2000≤Y＜10000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100≤Y＜2000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餐饮业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X≥300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100≤X＜300 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10≤X＜100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Y≥10000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2000≤Y＜10000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100≤Y＜2000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信息传输业 *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X≥2000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100≤X＜2000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10≤X＜100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Y≥100000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1000≤Y＜100000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100≤Y＜1000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软件和信息技术服务业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X≥300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100≤X＜300 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10≤X＜100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Y≥10000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1000≤Y＜10000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 50≤Y＜1000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房地产开发经营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Y≥200000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1000≤Y＜200000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100≤Y＜1000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资产总额(Z)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Z≥10000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5000≤Z＜10000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2000≤Z＜5000   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Z＜2000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物业管理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X≥1000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300≤X＜1000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100≤X＜300 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营业收入(Y)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Y≥5000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1000≤Y＜5000 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500≤Y＜1000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Y＜500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租赁和商务服务业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X≥300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100≤X＜300 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10≤X＜100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资产总额(Z)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万元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Z≥120000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8000≤Z＜120000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100≤Z＜8000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Z＜100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其他未列明行业 *</w:t>
            </w: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从业人员(X)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人</w:t>
            </w:r>
          </w:p>
        </w:tc>
        <w:tc>
          <w:tcPr>
            <w:tcW w:w="10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X≥300</w:t>
            </w:r>
          </w:p>
        </w:tc>
        <w:tc>
          <w:tcPr>
            <w:tcW w:w="13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100≤X＜300 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 xml:space="preserve"> 10≤X＜100</w:t>
            </w:r>
          </w:p>
        </w:tc>
        <w:tc>
          <w:tcPr>
            <w:tcW w:w="1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sz w:val="21"/>
                <w:szCs w:val="13"/>
                <w:lang w:eastAsia="zh-CN"/>
              </w:rPr>
            </w:pPr>
            <w:r>
              <w:rPr>
                <w:rFonts w:hint="default"/>
                <w:sz w:val="21"/>
                <w:szCs w:val="13"/>
                <w:lang w:eastAsia="zh-CN"/>
              </w:rPr>
              <w:t>X＜10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大型、中型和小型企业须同时满足所列指标的下限，否则下划一档；微型企业只须满足所列指标中的一项即可。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附表中各行业的范围以《国民经济行业分类》（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GB/T4754-2011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）为准。带</w:t>
      </w:r>
      <w:r>
        <w:rPr>
          <w:rFonts w:hint="eastAsia" w:ascii="仿宋_GB2312" w:hAnsi="仿宋_GB2312" w:eastAsia="仿宋_GB2312" w:cs="仿宋_GB2312"/>
          <w:sz w:val="32"/>
          <w:szCs w:val="32"/>
        </w:rPr>
        <w:t>*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项为行业组合类别，其中，工业包括采矿业，制造业，电力、热力、燃气及水生产和供应业；交通运输业包括道路运输业，水上运输业，航空运输业，管道运输业，装卸搬运和运输代理业，不包括铁路运输业；信息传输业包括电信、广播电视和卫星传输服务，互联网和相关服务；其他未列明行业包括科学研究和技术服务业，水利、环境和公共设施管理业，居民服务、修理和其他服务业，社会工作，文化、体育和娱乐业，以及房地产中介服务，其他房地产业等，不包括自有房地产经营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企业划分指标以现行统计制度为准。（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）从业人员，是指期末从业人员数，没有期末从业人员数的，采用全年平均人员数代替。（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营业收入，工业、建筑业、限额以上批发和零售业、限额以上住宿和餐饮业以及其他设置主营业务收入指标的行业，采用主营业务收入；限额以下批发与零售业企业采用商品销售额代替；限额以下住宿与餐饮业企业采用营业额代替；农、林、牧、渔业企业采用营业总收入代替；其他未设置主营业务收入的行业，采用营业收入指标。（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）资产总额，采用资产总计代替。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附件2</w:t>
      </w:r>
    </w:p>
    <w:p>
      <w:pPr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工贸行业安全生产大检查长效机制工作联络员名单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安全生产监管理局</w:t>
      </w:r>
    </w:p>
    <w:tbl>
      <w:tblPr>
        <w:tblStyle w:val="11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2344"/>
        <w:gridCol w:w="4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3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3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科  室</w:t>
            </w:r>
          </w:p>
        </w:tc>
        <w:tc>
          <w:tcPr>
            <w:tcW w:w="40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联 系 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23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3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Lucida Sans">
    <w:panose1 w:val="020B0602030504020204"/>
    <w:charset w:val="00"/>
    <w:family w:val="roman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Lucida Sans">
    <w:panose1 w:val="020B0602030504020204"/>
    <w:charset w:val="00"/>
    <w:family w:val="modern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Lucida Sans">
    <w:panose1 w:val="020B0602030504020204"/>
    <w:charset w:val="00"/>
    <w:family w:val="decorative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微软简中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粗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综艺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简隶书">
    <w:altName w:val="隶书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粗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细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综艺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隶书">
    <w:altName w:val="隶书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魏碑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超世纪特明体一标准">
    <w:altName w:val="PMingLiU-ExtB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00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57593451">
    <w:nsid w:val="56E11C6B"/>
    <w:multiLevelType w:val="singleLevel"/>
    <w:tmpl w:val="56E11C6B"/>
    <w:lvl w:ilvl="0" w:tentative="1">
      <w:start w:val="1"/>
      <w:numFmt w:val="chineseCounting"/>
      <w:suff w:val="nothing"/>
      <w:lvlText w:val="%1、"/>
      <w:lvlJc w:val="left"/>
    </w:lvl>
  </w:abstractNum>
  <w:num w:numId="1">
    <w:abstractNumId w:val="145759345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30B01"/>
    <w:rsid w:val="023467FA"/>
    <w:rsid w:val="04EC4AAB"/>
    <w:rsid w:val="05D211E1"/>
    <w:rsid w:val="16134C45"/>
    <w:rsid w:val="1A2019B9"/>
    <w:rsid w:val="1CA0277F"/>
    <w:rsid w:val="2B34402E"/>
    <w:rsid w:val="2EBB42D1"/>
    <w:rsid w:val="318D63D2"/>
    <w:rsid w:val="33193A59"/>
    <w:rsid w:val="34BA02EF"/>
    <w:rsid w:val="38630B01"/>
    <w:rsid w:val="492C3A29"/>
    <w:rsid w:val="4F7E5141"/>
    <w:rsid w:val="5E847BE6"/>
    <w:rsid w:val="64E05EB6"/>
    <w:rsid w:val="670F7F24"/>
    <w:rsid w:val="673337B4"/>
    <w:rsid w:val="6A590E28"/>
    <w:rsid w:val="7BB501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spacing w:before="0" w:beforeLines="0" w:beforeAutospacing="0" w:after="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D78A00"/>
      <w:u w:val="none"/>
    </w:rPr>
  </w:style>
  <w:style w:type="character" w:styleId="9">
    <w:name w:val="Hyperlink"/>
    <w:basedOn w:val="6"/>
    <w:qFormat/>
    <w:uiPriority w:val="0"/>
    <w:rPr>
      <w:color w:val="000000"/>
      <w:u w:val="non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2">
    <w:name w:val="标题 1 New"/>
    <w:basedOn w:val="1"/>
    <w:next w:val="1"/>
    <w:qFormat/>
    <w:uiPriority w:val="0"/>
    <w:pPr>
      <w:keepNext/>
      <w:keepLines/>
      <w:spacing w:before="0" w:beforeLines="0" w:beforeAutospacing="0" w:after="0" w:afterLines="0" w:afterAutospacing="0" w:line="240" w:lineRule="auto"/>
      <w:ind w:firstLine="0" w:firstLineChars="0"/>
      <w:jc w:val="center"/>
      <w:outlineLvl w:val="0"/>
    </w:pPr>
    <w:rPr>
      <w:rFonts w:eastAsia="方正小标宋简体"/>
      <w:b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2015-12-10T02:38:00Z</dcterms:created>
  <dc:creator>Administrator</dc:creator>
  <cp:lastModifiedBy>lenovo</cp:lastModifiedBy>
  <cp:lastPrinted>2016-03-15T01:12:58Z</cp:lastPrinted>
  <dcterms:modified xsi:type="dcterms:W3CDTF">2016-03-15T01:13:32Z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