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560" w:lineRule="exact"/>
        <w:jc w:val="left"/>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val="en-US" w:eastAsia="zh-CN"/>
        </w:rPr>
        <w:t>附件1</w:t>
      </w:r>
    </w:p>
    <w:p>
      <w:pPr>
        <w:spacing w:line="560" w:lineRule="exact"/>
        <w:jc w:val="center"/>
        <w:rPr>
          <w:rFonts w:ascii="华文中宋" w:hAnsi="华文中宋" w:eastAsia="华文中宋"/>
          <w:sz w:val="44"/>
          <w:szCs w:val="44"/>
        </w:rPr>
      </w:pPr>
      <w:bookmarkStart w:id="0" w:name="_GoBack"/>
      <w:r>
        <w:rPr>
          <w:rFonts w:hint="eastAsia" w:ascii="华文中宋" w:hAnsi="华文中宋" w:eastAsia="华文中宋"/>
          <w:sz w:val="44"/>
          <w:szCs w:val="44"/>
        </w:rPr>
        <w:t>化工（危险化学品）企业安全检查重点指导目录</w:t>
      </w:r>
      <w:bookmarkEnd w:id="0"/>
    </w:p>
    <w:p>
      <w:pPr>
        <w:spacing w:line="560" w:lineRule="exact"/>
        <w:jc w:val="center"/>
        <w:rPr>
          <w:rFonts w:ascii="华文中宋" w:hAnsi="华文中宋" w:eastAsia="华文中宋"/>
          <w:sz w:val="32"/>
          <w:szCs w:val="32"/>
        </w:rPr>
      </w:pPr>
    </w:p>
    <w:tbl>
      <w:tblPr>
        <w:tblStyle w:val="4"/>
        <w:tblW w:w="1428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4"/>
        <w:gridCol w:w="3158"/>
        <w:gridCol w:w="1925"/>
        <w:gridCol w:w="8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黑体" w:hAnsi="仿宋" w:eastAsia="黑体"/>
                <w:b/>
                <w:sz w:val="24"/>
              </w:rPr>
            </w:pPr>
            <w:r>
              <w:rPr>
                <w:rFonts w:hint="eastAsia" w:ascii="黑体" w:hAnsi="仿宋" w:eastAsia="黑体"/>
                <w:b/>
                <w:sz w:val="24"/>
              </w:rPr>
              <w:t>序号</w:t>
            </w:r>
          </w:p>
        </w:tc>
        <w:tc>
          <w:tcPr>
            <w:tcW w:w="3158" w:type="dxa"/>
            <w:vAlign w:val="center"/>
          </w:tcPr>
          <w:p>
            <w:pPr>
              <w:adjustRightInd w:val="0"/>
              <w:snapToGrid w:val="0"/>
              <w:spacing w:line="280" w:lineRule="exact"/>
              <w:jc w:val="center"/>
              <w:rPr>
                <w:rFonts w:ascii="黑体" w:hAnsi="仿宋" w:eastAsia="黑体"/>
                <w:b/>
                <w:sz w:val="24"/>
              </w:rPr>
            </w:pPr>
            <w:r>
              <w:rPr>
                <w:rFonts w:hint="eastAsia" w:ascii="黑体" w:hAnsi="仿宋" w:eastAsia="黑体"/>
                <w:b/>
                <w:sz w:val="24"/>
              </w:rPr>
              <w:t>检查重点内容</w:t>
            </w:r>
          </w:p>
        </w:tc>
        <w:tc>
          <w:tcPr>
            <w:tcW w:w="1925" w:type="dxa"/>
            <w:vAlign w:val="center"/>
          </w:tcPr>
          <w:p>
            <w:pPr>
              <w:adjustRightInd w:val="0"/>
              <w:snapToGrid w:val="0"/>
              <w:spacing w:line="280" w:lineRule="exact"/>
              <w:jc w:val="center"/>
              <w:rPr>
                <w:rFonts w:ascii="黑体" w:hAnsi="仿宋" w:eastAsia="黑体"/>
                <w:b/>
                <w:sz w:val="24"/>
              </w:rPr>
            </w:pPr>
            <w:r>
              <w:rPr>
                <w:rFonts w:hint="eastAsia" w:ascii="黑体" w:hAnsi="仿宋" w:eastAsia="黑体"/>
                <w:b/>
                <w:sz w:val="24"/>
              </w:rPr>
              <w:t>违反条文</w:t>
            </w:r>
          </w:p>
        </w:tc>
        <w:tc>
          <w:tcPr>
            <w:tcW w:w="8466" w:type="dxa"/>
            <w:vAlign w:val="center"/>
          </w:tcPr>
          <w:p>
            <w:pPr>
              <w:adjustRightInd w:val="0"/>
              <w:snapToGrid w:val="0"/>
              <w:spacing w:line="280" w:lineRule="exact"/>
              <w:jc w:val="center"/>
              <w:rPr>
                <w:rFonts w:ascii="黑体" w:hAnsi="仿宋" w:eastAsia="黑体"/>
                <w:b/>
                <w:sz w:val="24"/>
              </w:rPr>
            </w:pPr>
            <w:r>
              <w:rPr>
                <w:rFonts w:hint="eastAsia" w:ascii="黑体" w:hAnsi="仿宋" w:eastAsia="黑体"/>
                <w:b/>
                <w:sz w:val="24"/>
              </w:rPr>
              <w:t>处罚依据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14283" w:type="dxa"/>
            <w:gridSpan w:val="4"/>
            <w:vAlign w:val="center"/>
          </w:tcPr>
          <w:p>
            <w:pPr>
              <w:adjustRightInd w:val="0"/>
              <w:snapToGrid w:val="0"/>
              <w:spacing w:line="280" w:lineRule="exact"/>
              <w:jc w:val="center"/>
              <w:rPr>
                <w:rFonts w:ascii="楷体_GB2312" w:hAnsi="仿宋" w:eastAsia="楷体_GB2312"/>
                <w:b/>
                <w:sz w:val="24"/>
              </w:rPr>
            </w:pPr>
            <w:r>
              <w:rPr>
                <w:rFonts w:hint="eastAsia" w:ascii="楷体_GB2312" w:hAnsi="仿宋" w:eastAsia="楷体_GB2312"/>
                <w:b/>
                <w:sz w:val="24"/>
              </w:rPr>
              <w:t>人员和资质管理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b/>
                <w:sz w:val="24"/>
              </w:rPr>
            </w:pPr>
            <w:r>
              <w:rPr>
                <w:rFonts w:hint="eastAsia" w:ascii="仿宋_GB2312" w:hAnsi="仿宋" w:eastAsia="仿宋_GB2312"/>
                <w:sz w:val="24"/>
              </w:rPr>
              <w:t>1</w:t>
            </w:r>
          </w:p>
        </w:tc>
        <w:tc>
          <w:tcPr>
            <w:tcW w:w="3158" w:type="dxa"/>
            <w:vAlign w:val="center"/>
          </w:tcPr>
          <w:p>
            <w:pPr>
              <w:adjustRightInd w:val="0"/>
              <w:snapToGrid w:val="0"/>
              <w:spacing w:line="280" w:lineRule="exact"/>
              <w:rPr>
                <w:rFonts w:ascii="仿宋_GB2312" w:hAnsi="仿宋" w:eastAsia="仿宋_GB2312"/>
                <w:b/>
                <w:sz w:val="24"/>
                <w:szCs w:val="24"/>
              </w:rPr>
            </w:pPr>
            <w:r>
              <w:rPr>
                <w:rFonts w:hint="eastAsia" w:ascii="仿宋_GB2312" w:hAnsi="仿宋" w:eastAsia="仿宋_GB2312"/>
                <w:sz w:val="24"/>
                <w:szCs w:val="24"/>
              </w:rPr>
              <w:t>企业安全生产行政许可手续不齐全或不在有效期内的。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szCs w:val="24"/>
              </w:rPr>
              <w:t>《危险化学品安全管理条例》第十四条、第二十九条、第三十三条</w:t>
            </w:r>
          </w:p>
        </w:tc>
        <w:tc>
          <w:tcPr>
            <w:tcW w:w="8466" w:type="dxa"/>
            <w:vAlign w:val="center"/>
          </w:tcPr>
          <w:p>
            <w:pPr>
              <w:spacing w:line="270" w:lineRule="exact"/>
              <w:rPr>
                <w:rFonts w:ascii="仿宋_GB2312" w:eastAsia="仿宋_GB2312"/>
                <w:sz w:val="24"/>
                <w:szCs w:val="24"/>
              </w:rPr>
            </w:pPr>
            <w:r>
              <w:rPr>
                <w:rFonts w:hint="eastAsia" w:ascii="仿宋_GB2312" w:hAnsi="仿宋" w:eastAsia="仿宋_GB2312"/>
                <w:b/>
                <w:sz w:val="24"/>
                <w:szCs w:val="24"/>
              </w:rPr>
              <w:t>《危险化学品安全管理条例》</w:t>
            </w:r>
            <w:r>
              <w:rPr>
                <w:rFonts w:hint="eastAsia" w:ascii="仿宋_GB2312" w:eastAsia="仿宋_GB2312"/>
                <w:sz w:val="24"/>
                <w:szCs w:val="24"/>
              </w:rPr>
              <w:t>第七十七条：未依法取得危险化学品安全生产许可证从事危险化学品生产的，依照《安全生产许可证条例》的规定处罚。</w:t>
            </w:r>
          </w:p>
          <w:p>
            <w:pPr>
              <w:spacing w:line="270" w:lineRule="exact"/>
              <w:ind w:firstLine="480" w:firstLineChars="200"/>
              <w:rPr>
                <w:rFonts w:ascii="仿宋_GB2312" w:eastAsia="仿宋_GB2312"/>
                <w:sz w:val="24"/>
                <w:szCs w:val="24"/>
              </w:rPr>
            </w:pPr>
            <w:r>
              <w:rPr>
                <w:rFonts w:hint="eastAsia" w:ascii="仿宋_GB2312" w:eastAsia="仿宋_GB2312"/>
                <w:sz w:val="24"/>
                <w:szCs w:val="24"/>
              </w:rPr>
              <w:t>违反本条例规定，化工企业未取得危险化学品安全使用许可证，使用危险化学品从事生产的，由安全生产监督管理部门责令限期改正，处10万元以上20万元以下的罚款；逾期不改正的，责令停产整顿。</w:t>
            </w:r>
          </w:p>
          <w:p>
            <w:pPr>
              <w:adjustRightInd w:val="0"/>
              <w:snapToGrid w:val="0"/>
              <w:spacing w:line="270" w:lineRule="exact"/>
              <w:ind w:firstLine="480" w:firstLineChars="200"/>
              <w:rPr>
                <w:rFonts w:ascii="仿宋_GB2312" w:eastAsia="仿宋_GB2312"/>
                <w:sz w:val="24"/>
                <w:szCs w:val="24"/>
              </w:rPr>
            </w:pPr>
            <w:r>
              <w:rPr>
                <w:rFonts w:hint="eastAsia" w:ascii="仿宋_GB2312" w:eastAsia="仿宋_GB2312"/>
                <w:sz w:val="24"/>
                <w:szCs w:val="24"/>
              </w:rPr>
              <w:t>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p>
            <w:pPr>
              <w:adjustRightInd w:val="0"/>
              <w:snapToGrid w:val="0"/>
              <w:spacing w:line="270" w:lineRule="exact"/>
              <w:rPr>
                <w:rFonts w:ascii="仿宋_GB2312" w:eastAsia="仿宋_GB2312"/>
                <w:sz w:val="24"/>
                <w:szCs w:val="24"/>
              </w:rPr>
            </w:pPr>
            <w:r>
              <w:rPr>
                <w:rFonts w:hint="eastAsia" w:ascii="仿宋_GB2312" w:hAnsi="仿宋" w:eastAsia="仿宋_GB2312"/>
                <w:b/>
                <w:sz w:val="24"/>
                <w:szCs w:val="24"/>
              </w:rPr>
              <w:t>《安全生产许可证条例》</w:t>
            </w:r>
            <w:r>
              <w:rPr>
                <w:rFonts w:hint="eastAsia" w:ascii="仿宋_GB2312" w:hAnsi="仿宋" w:eastAsia="仿宋_GB2312"/>
                <w:sz w:val="24"/>
                <w:szCs w:val="24"/>
              </w:rPr>
              <w:t>第十九条：</w:t>
            </w:r>
            <w:r>
              <w:rPr>
                <w:rFonts w:hint="eastAsia" w:ascii="仿宋_GB2312" w:eastAsia="仿宋_GB2312"/>
                <w:sz w:val="24"/>
                <w:szCs w:val="24"/>
              </w:rPr>
              <w:t>违反本条例规定，未取得安全生产许可证擅自进行生产的，责令停止生产，没收违法所得，并处10万元以上50万元以下的罚款；造成重大事故或者其他严重后果，构成犯罪的，依法追究刑事责任。</w:t>
            </w:r>
          </w:p>
          <w:p>
            <w:pPr>
              <w:adjustRightInd w:val="0"/>
              <w:snapToGrid w:val="0"/>
              <w:spacing w:line="270" w:lineRule="exact"/>
              <w:ind w:firstLine="480" w:firstLineChars="200"/>
              <w:rPr>
                <w:rFonts w:ascii="仿宋_GB2312" w:hAnsi="仿宋" w:eastAsia="仿宋_GB2312"/>
                <w:sz w:val="24"/>
                <w:szCs w:val="24"/>
              </w:rPr>
            </w:pPr>
            <w:r>
              <w:rPr>
                <w:rFonts w:hint="eastAsia" w:ascii="仿宋_GB2312" w:eastAsia="仿宋_GB2312"/>
                <w:sz w:val="24"/>
                <w:szCs w:val="24"/>
              </w:rPr>
              <w:t>第</w:t>
            </w:r>
            <w:r>
              <w:rPr>
                <w:rFonts w:ascii="仿宋_GB2312" w:eastAsia="仿宋_GB2312"/>
                <w:sz w:val="24"/>
                <w:szCs w:val="24"/>
              </w:rPr>
              <w:t>二十条</w:t>
            </w:r>
            <w:r>
              <w:rPr>
                <w:rFonts w:hint="eastAsia" w:ascii="仿宋_GB2312" w:eastAsia="仿宋_GB2312"/>
                <w:sz w:val="24"/>
                <w:szCs w:val="24"/>
              </w:rPr>
              <w:t>：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r>
              <w:rPr>
                <w:rFonts w:hint="eastAsia" w:ascii="仿宋_GB2312" w:hAnsi="仿宋" w:eastAsia="仿宋_GB2312"/>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w:t>
            </w:r>
          </w:p>
        </w:tc>
        <w:tc>
          <w:tcPr>
            <w:tcW w:w="3158" w:type="dxa"/>
            <w:vAlign w:val="center"/>
          </w:tcPr>
          <w:p>
            <w:pPr>
              <w:adjustRightInd w:val="0"/>
              <w:snapToGrid w:val="0"/>
              <w:spacing w:line="280" w:lineRule="exact"/>
              <w:rPr>
                <w:rFonts w:ascii="仿宋_GB2312" w:hAnsi="仿宋" w:eastAsia="仿宋_GB2312"/>
                <w:sz w:val="24"/>
                <w:szCs w:val="24"/>
              </w:rPr>
            </w:pPr>
            <w:r>
              <w:rPr>
                <w:rFonts w:hint="eastAsia" w:ascii="仿宋_GB2312" w:hAnsi="仿宋" w:eastAsia="仿宋_GB2312"/>
                <w:sz w:val="24"/>
                <w:szCs w:val="24"/>
              </w:rPr>
              <w:t>企业未依法明确主要负责人、分管负责人安全生产职责或主要负责人、分管负责人未依法履行其安全生产职责的。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《安全生产法》第十九条</w:t>
            </w:r>
          </w:p>
        </w:tc>
        <w:tc>
          <w:tcPr>
            <w:tcW w:w="8466" w:type="dxa"/>
            <w:vAlign w:val="center"/>
          </w:tcPr>
          <w:p>
            <w:pPr>
              <w:spacing w:line="31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第九十一条：生产经营单位的主要负责人未履行本法规定的安全生产管理职责的，责令限期改正；逾期未改正的，处二万元以上五万元以下的罚款，责令生产经营单位停产停业整顿。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3</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企业未设置安全生产管理机构或配备专职安全生产管理人员的。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《安全生产法》第二十一条</w:t>
            </w:r>
          </w:p>
        </w:tc>
        <w:tc>
          <w:tcPr>
            <w:tcW w:w="8466" w:type="dxa"/>
            <w:vAlign w:val="center"/>
          </w:tcPr>
          <w:p>
            <w:pPr>
              <w:spacing w:line="31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spacing w:line="310" w:lineRule="exact"/>
              <w:rPr>
                <w:rFonts w:ascii="仿宋_GB2312" w:eastAsia="仿宋_GB2312"/>
                <w:sz w:val="24"/>
                <w:szCs w:val="24"/>
              </w:rPr>
            </w:pPr>
            <w:r>
              <w:rPr>
                <w:rFonts w:hint="eastAsia" w:ascii="仿宋_GB2312" w:hAnsi="仿宋" w:eastAsia="仿宋_GB2312"/>
                <w:sz w:val="24"/>
                <w:szCs w:val="24"/>
              </w:rPr>
              <w:t>（一）未按照规定设置安全生产管理机构或者配备安全生产管理人员的。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4</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企业的主要负责人、安全负责人及其他安全生产管理人员未按照规定经考核合格的。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《安全生产法》第二十四条</w:t>
            </w:r>
          </w:p>
        </w:tc>
        <w:tc>
          <w:tcPr>
            <w:tcW w:w="8466" w:type="dxa"/>
            <w:vAlign w:val="center"/>
          </w:tcPr>
          <w:p>
            <w:pPr>
              <w:spacing w:line="31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spacing w:line="310" w:lineRule="exact"/>
              <w:rPr>
                <w:rFonts w:ascii="仿宋_GB2312" w:hAnsi="仿宋" w:eastAsia="仿宋_GB2312"/>
                <w:sz w:val="24"/>
                <w:szCs w:val="24"/>
              </w:rPr>
            </w:pPr>
            <w:r>
              <w:rPr>
                <w:rFonts w:hint="eastAsia" w:ascii="仿宋_GB2312" w:hAnsi="仿宋" w:eastAsia="仿宋_GB2312"/>
                <w:sz w:val="24"/>
                <w:szCs w:val="24"/>
              </w:rPr>
              <w:t>（二）危险物品的生产、经营、储存单位以及矿山、金属冶炼、建筑施工、道路运输单位的主要负责人和安全生产管理人员未按照规定经考核合格的。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5</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企业未对从业人员进行安全生产教育培训或者安排未经安全生产教育和培训合格的从业人员上岗作业的。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《安全生产法》第二十五条</w:t>
            </w:r>
          </w:p>
        </w:tc>
        <w:tc>
          <w:tcPr>
            <w:tcW w:w="8466" w:type="dxa"/>
            <w:vAlign w:val="center"/>
          </w:tcPr>
          <w:p>
            <w:pPr>
              <w:spacing w:line="31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spacing w:line="310" w:lineRule="exact"/>
              <w:rPr>
                <w:rFonts w:ascii="仿宋_GB2312" w:eastAsia="仿宋_GB2312"/>
                <w:sz w:val="24"/>
                <w:szCs w:val="24"/>
              </w:rPr>
            </w:pPr>
            <w:r>
              <w:rPr>
                <w:rFonts w:hint="eastAsia" w:ascii="仿宋_GB2312" w:hAnsi="仿宋" w:eastAsia="仿宋_GB2312"/>
                <w:sz w:val="24"/>
                <w:szCs w:val="24"/>
              </w:rPr>
              <w:t>（三）未按照规定对从业人员、被派遣劳动者、实习学生进行安全生产教育和培训，或者未按照规定如实告知有关的安全生产事项的。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6</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从业人员对本岗位涉及的危险化学品危险特性不熟悉的。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《安全生产法》第二十五条</w:t>
            </w:r>
          </w:p>
        </w:tc>
        <w:tc>
          <w:tcPr>
            <w:tcW w:w="8466" w:type="dxa"/>
            <w:vAlign w:val="center"/>
          </w:tcPr>
          <w:p>
            <w:pPr>
              <w:spacing w:line="26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spacing w:line="260" w:lineRule="exact"/>
              <w:rPr>
                <w:rFonts w:ascii="仿宋_GB2312" w:eastAsia="仿宋_GB2312"/>
                <w:sz w:val="24"/>
                <w:szCs w:val="24"/>
              </w:rPr>
            </w:pPr>
            <w:r>
              <w:rPr>
                <w:rFonts w:hint="eastAsia" w:ascii="仿宋_GB2312" w:hAnsi="仿宋" w:eastAsia="仿宋_GB2312"/>
                <w:sz w:val="24"/>
                <w:szCs w:val="24"/>
              </w:rPr>
              <w:t>（三）未按照规定对从业人员、被派遣劳动者、实习学生进行安全生产教育和培训，或者未按照规定如实告知有关的安全生产事项的。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7</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特种作业人员未按照国家有关规定经专门的安全作业培训并取得相应资格上岗作业的。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《安全生产法》第二十七条</w:t>
            </w:r>
          </w:p>
        </w:tc>
        <w:tc>
          <w:tcPr>
            <w:tcW w:w="8466" w:type="dxa"/>
            <w:vAlign w:val="center"/>
          </w:tcPr>
          <w:p>
            <w:pPr>
              <w:adjustRightInd w:val="0"/>
              <w:snapToGrid w:val="0"/>
              <w:spacing w:line="28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adjustRightInd w:val="0"/>
              <w:snapToGrid w:val="0"/>
              <w:spacing w:line="280" w:lineRule="exact"/>
              <w:rPr>
                <w:rFonts w:ascii="仿宋_GB2312" w:hAnsi="仿宋" w:eastAsia="仿宋_GB2312"/>
                <w:sz w:val="24"/>
                <w:szCs w:val="24"/>
              </w:rPr>
            </w:pPr>
            <w:r>
              <w:rPr>
                <w:rFonts w:hint="eastAsia" w:ascii="仿宋_GB2312" w:hAnsi="仿宋" w:eastAsia="仿宋_GB2312"/>
                <w:sz w:val="24"/>
                <w:szCs w:val="24"/>
              </w:rPr>
              <w:t>（七）特种作业人员未按照规定经专门的安全作业培训并取得相应资格，上岗作业的。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8</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highlight w:val="yellow"/>
              </w:rPr>
            </w:pPr>
            <w:r>
              <w:rPr>
                <w:rFonts w:hint="eastAsia" w:ascii="仿宋_GB2312" w:hAnsi="仿宋" w:eastAsia="仿宋_GB2312"/>
                <w:sz w:val="24"/>
                <w:szCs w:val="24"/>
              </w:rPr>
              <w:t>选用不符合资质的承包商或未对承包商的安全生产工作统一协调、管理的。</w:t>
            </w:r>
          </w:p>
        </w:tc>
        <w:tc>
          <w:tcPr>
            <w:tcW w:w="1925"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《安全生产法》第四十六条</w:t>
            </w:r>
          </w:p>
        </w:tc>
        <w:tc>
          <w:tcPr>
            <w:tcW w:w="8466" w:type="dxa"/>
            <w:vAlign w:val="center"/>
          </w:tcPr>
          <w:p>
            <w:pPr>
              <w:spacing w:line="280" w:lineRule="exact"/>
              <w:rPr>
                <w:rFonts w:ascii="仿宋_GB2312"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第一百条：</w:t>
            </w:r>
            <w:r>
              <w:rPr>
                <w:rFonts w:hint="eastAsia" w:ascii="仿宋_GB2312" w:eastAsia="仿宋_GB2312"/>
                <w:sz w:val="24"/>
                <w:szCs w:val="24"/>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spacing w:line="280" w:lineRule="exact"/>
              <w:ind w:firstLine="480" w:firstLineChars="200"/>
              <w:rPr>
                <w:rFonts w:ascii="仿宋_GB2312" w:eastAsia="仿宋_GB2312"/>
                <w:sz w:val="24"/>
                <w:szCs w:val="24"/>
              </w:rPr>
            </w:pPr>
            <w:r>
              <w:rPr>
                <w:rFonts w:hint="eastAsia" w:ascii="仿宋_GB2312" w:eastAsia="仿宋_GB2312"/>
                <w:sz w:val="24"/>
                <w:szCs w:val="24"/>
              </w:rPr>
              <w:t>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9</w:t>
            </w:r>
          </w:p>
        </w:tc>
        <w:tc>
          <w:tcPr>
            <w:tcW w:w="3158" w:type="dxa"/>
            <w:vAlign w:val="center"/>
          </w:tcPr>
          <w:p>
            <w:pPr>
              <w:tabs>
                <w:tab w:val="center" w:pos="4153"/>
                <w:tab w:val="right" w:pos="8306"/>
              </w:tabs>
              <w:adjustRightInd w:val="0"/>
              <w:snapToGrid w:val="0"/>
              <w:spacing w:line="300" w:lineRule="exact"/>
              <w:jc w:val="left"/>
              <w:rPr>
                <w:rFonts w:ascii="仿宋_GB2312" w:hAnsi="仿宋" w:eastAsia="仿宋_GB2312"/>
                <w:sz w:val="24"/>
                <w:szCs w:val="24"/>
                <w:highlight w:val="yellow"/>
              </w:rPr>
            </w:pPr>
            <w:r>
              <w:rPr>
                <w:rFonts w:hint="eastAsia" w:ascii="仿宋_GB2312" w:hAnsi="仿宋" w:eastAsia="仿宋_GB2312"/>
                <w:sz w:val="24"/>
                <w:szCs w:val="24"/>
              </w:rPr>
              <w:t>将火种带入易燃易爆场所或存在脱岗、睡岗、酒后上岗行为的。</w:t>
            </w:r>
          </w:p>
        </w:tc>
        <w:tc>
          <w:tcPr>
            <w:tcW w:w="1925" w:type="dxa"/>
            <w:vAlign w:val="center"/>
          </w:tcPr>
          <w:p>
            <w:pPr>
              <w:tabs>
                <w:tab w:val="center" w:pos="4153"/>
                <w:tab w:val="right" w:pos="8306"/>
              </w:tabs>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《安全生产法》第五十四条</w:t>
            </w:r>
          </w:p>
        </w:tc>
        <w:tc>
          <w:tcPr>
            <w:tcW w:w="8466" w:type="dxa"/>
            <w:vAlign w:val="center"/>
          </w:tcPr>
          <w:p>
            <w:pPr>
              <w:tabs>
                <w:tab w:val="center" w:pos="4153"/>
                <w:tab w:val="right" w:pos="8306"/>
              </w:tabs>
              <w:adjustRightInd w:val="0"/>
              <w:snapToGrid w:val="0"/>
              <w:spacing w:line="300" w:lineRule="exact"/>
              <w:rPr>
                <w:rFonts w:ascii="仿宋_GB2312" w:hAnsi="仿宋" w:eastAsia="仿宋_GB2312" w:cs="宋体"/>
                <w:kern w:val="0"/>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p>
            <w:pPr>
              <w:tabs>
                <w:tab w:val="center" w:pos="4153"/>
                <w:tab w:val="right" w:pos="8306"/>
              </w:tabs>
              <w:adjustRightInd w:val="0"/>
              <w:snapToGrid w:val="0"/>
              <w:spacing w:line="30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sz w:val="24"/>
                <w:szCs w:val="24"/>
              </w:rPr>
              <w:t>第一百零四条：生产经营单位的从业人员不服从管理，违反安全生产规章制度或者操作规程的，由生产经营单位给予批评教育，依照有关规章制度给予处分；构成犯罪的，依照刑法有关规定追究刑事责任。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14283" w:type="dxa"/>
            <w:gridSpan w:val="4"/>
            <w:vAlign w:val="center"/>
          </w:tcPr>
          <w:p>
            <w:pPr>
              <w:tabs>
                <w:tab w:val="center" w:pos="4153"/>
                <w:tab w:val="right" w:pos="8306"/>
              </w:tabs>
              <w:adjustRightInd w:val="0"/>
              <w:snapToGrid w:val="0"/>
              <w:spacing w:line="280" w:lineRule="exact"/>
              <w:jc w:val="center"/>
              <w:rPr>
                <w:rFonts w:ascii="楷体_GB2312" w:hAnsi="仿宋" w:eastAsia="楷体_GB2312"/>
                <w:b/>
                <w:sz w:val="24"/>
                <w:szCs w:val="24"/>
              </w:rPr>
            </w:pPr>
            <w:r>
              <w:rPr>
                <w:rFonts w:hint="eastAsia" w:ascii="楷体_GB2312" w:hAnsi="仿宋" w:eastAsia="楷体_GB2312"/>
                <w:b/>
                <w:sz w:val="24"/>
                <w:szCs w:val="24"/>
              </w:rPr>
              <w:t>工艺管理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300" w:lineRule="exact"/>
              <w:jc w:val="center"/>
              <w:rPr>
                <w:rFonts w:ascii="仿宋_GB2312" w:hAnsi="仿宋" w:eastAsia="仿宋_GB2312"/>
                <w:sz w:val="24"/>
              </w:rPr>
            </w:pPr>
            <w:r>
              <w:rPr>
                <w:rFonts w:hint="eastAsia" w:ascii="仿宋_GB2312" w:hAnsi="仿宋" w:eastAsia="仿宋_GB2312"/>
                <w:sz w:val="24"/>
              </w:rPr>
              <w:t>10</w:t>
            </w:r>
          </w:p>
        </w:tc>
        <w:tc>
          <w:tcPr>
            <w:tcW w:w="3158" w:type="dxa"/>
            <w:vAlign w:val="center"/>
          </w:tcPr>
          <w:p>
            <w:pPr>
              <w:tabs>
                <w:tab w:val="center" w:pos="4153"/>
                <w:tab w:val="right" w:pos="8306"/>
              </w:tabs>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在役化工装置未经正规设计且未进行安全设计诊断的。</w:t>
            </w:r>
          </w:p>
        </w:tc>
        <w:tc>
          <w:tcPr>
            <w:tcW w:w="1925" w:type="dxa"/>
            <w:vAlign w:val="center"/>
          </w:tcPr>
          <w:p>
            <w:pPr>
              <w:tabs>
                <w:tab w:val="center" w:pos="4153"/>
                <w:tab w:val="right" w:pos="8306"/>
              </w:tabs>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《安全生产法》第三十八条</w:t>
            </w:r>
          </w:p>
        </w:tc>
        <w:tc>
          <w:tcPr>
            <w:tcW w:w="8466" w:type="dxa"/>
            <w:vAlign w:val="center"/>
          </w:tcPr>
          <w:p>
            <w:pPr>
              <w:tabs>
                <w:tab w:val="center" w:pos="4153"/>
                <w:tab w:val="right" w:pos="8306"/>
              </w:tabs>
              <w:adjustRightInd w:val="0"/>
              <w:snapToGrid w:val="0"/>
              <w:spacing w:line="32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300" w:lineRule="exact"/>
              <w:jc w:val="center"/>
              <w:rPr>
                <w:rFonts w:ascii="仿宋_GB2312" w:hAnsi="仿宋" w:eastAsia="仿宋_GB2312"/>
                <w:sz w:val="24"/>
              </w:rPr>
            </w:pPr>
            <w:r>
              <w:rPr>
                <w:rFonts w:hint="eastAsia" w:ascii="仿宋_GB2312" w:hAnsi="仿宋" w:eastAsia="仿宋_GB2312"/>
                <w:sz w:val="24"/>
              </w:rPr>
              <w:t>11</w:t>
            </w:r>
          </w:p>
        </w:tc>
        <w:tc>
          <w:tcPr>
            <w:tcW w:w="3158" w:type="dxa"/>
            <w:vAlign w:val="center"/>
          </w:tcPr>
          <w:p>
            <w:pPr>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新开发的危险化学品生产工艺未经逐级放大试验到工业化生产或首次使用的化工工艺未经省级人民政府有关部门组织安全可靠性论证的。</w:t>
            </w:r>
          </w:p>
        </w:tc>
        <w:tc>
          <w:tcPr>
            <w:tcW w:w="1925" w:type="dxa"/>
            <w:vAlign w:val="center"/>
          </w:tcPr>
          <w:p>
            <w:pPr>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《危险化学品生产企业安全生产许可证实施办法》（国家安全监管总局令第41号）</w:t>
            </w:r>
          </w:p>
        </w:tc>
        <w:tc>
          <w:tcPr>
            <w:tcW w:w="8466" w:type="dxa"/>
            <w:vAlign w:val="center"/>
          </w:tcPr>
          <w:p>
            <w:pPr>
              <w:adjustRightInd w:val="0"/>
              <w:snapToGrid w:val="0"/>
              <w:spacing w:line="32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300" w:lineRule="exact"/>
              <w:jc w:val="center"/>
              <w:rPr>
                <w:rFonts w:ascii="仿宋_GB2312" w:hAnsi="仿宋" w:eastAsia="仿宋_GB2312"/>
                <w:sz w:val="24"/>
              </w:rPr>
            </w:pPr>
            <w:r>
              <w:rPr>
                <w:rFonts w:hint="eastAsia" w:ascii="仿宋_GB2312" w:hAnsi="仿宋" w:eastAsia="仿宋_GB2312"/>
                <w:sz w:val="24"/>
              </w:rPr>
              <w:t>12</w:t>
            </w:r>
          </w:p>
        </w:tc>
        <w:tc>
          <w:tcPr>
            <w:tcW w:w="3158" w:type="dxa"/>
            <w:vAlign w:val="center"/>
          </w:tcPr>
          <w:p>
            <w:pPr>
              <w:adjustRightInd w:val="0"/>
              <w:snapToGrid w:val="0"/>
              <w:spacing w:line="300" w:lineRule="exact"/>
              <w:jc w:val="left"/>
              <w:rPr>
                <w:rFonts w:ascii="仿宋_GB2312" w:hAnsi="仿宋" w:eastAsia="仿宋_GB2312"/>
                <w:sz w:val="24"/>
                <w:szCs w:val="24"/>
              </w:rPr>
            </w:pPr>
            <w:r>
              <w:rPr>
                <w:rFonts w:hint="eastAsia" w:ascii="仿宋_GB2312" w:hAnsi="仿宋" w:eastAsia="仿宋_GB2312"/>
                <w:sz w:val="24"/>
                <w:szCs w:val="24"/>
              </w:rPr>
              <w:t>未按规定制定操作规程和工艺控制指标的。</w:t>
            </w:r>
          </w:p>
        </w:tc>
        <w:tc>
          <w:tcPr>
            <w:tcW w:w="1925" w:type="dxa"/>
            <w:vAlign w:val="center"/>
          </w:tcPr>
          <w:p>
            <w:pPr>
              <w:adjustRightInd w:val="0"/>
              <w:snapToGrid w:val="0"/>
              <w:spacing w:line="300" w:lineRule="exact"/>
              <w:jc w:val="left"/>
              <w:rPr>
                <w:rFonts w:ascii="仿宋_GB2312" w:hAnsi="仿宋" w:eastAsia="仿宋_GB2312"/>
                <w:sz w:val="24"/>
              </w:rPr>
            </w:pPr>
            <w:r>
              <w:rPr>
                <w:rFonts w:hint="eastAsia" w:ascii="仿宋_GB2312" w:hAnsi="仿宋" w:eastAsia="仿宋_GB2312"/>
                <w:sz w:val="24"/>
              </w:rPr>
              <w:t>《安全生产法》第十八条</w:t>
            </w:r>
          </w:p>
        </w:tc>
        <w:tc>
          <w:tcPr>
            <w:tcW w:w="8466" w:type="dxa"/>
            <w:vAlign w:val="center"/>
          </w:tcPr>
          <w:p>
            <w:pPr>
              <w:adjustRightInd w:val="0"/>
              <w:snapToGrid w:val="0"/>
              <w:spacing w:line="32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第九十一条：生产经营单位的主要负责人未履行本法规定的安全生产管理职责的，责令限期改正；逾期未改正的，处二万元以上五万元以下的罚款，责令生产经营单位停产停业整顿。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13</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生产、储存装置及设施超温、超压、超液位运行的。</w:t>
            </w:r>
          </w:p>
        </w:tc>
        <w:tc>
          <w:tcPr>
            <w:tcW w:w="1925"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highlight w:val="yellow"/>
              </w:rPr>
            </w:pPr>
            <w:r>
              <w:rPr>
                <w:rFonts w:hint="eastAsia" w:ascii="仿宋_GB2312" w:hAnsi="仿宋" w:eastAsia="仿宋_GB2312"/>
                <w:sz w:val="24"/>
                <w:szCs w:val="24"/>
              </w:rPr>
              <w:t>《安全生产法》第三十八条</w:t>
            </w:r>
          </w:p>
        </w:tc>
        <w:tc>
          <w:tcPr>
            <w:tcW w:w="8466" w:type="dxa"/>
            <w:vAlign w:val="center"/>
          </w:tcPr>
          <w:p>
            <w:pPr>
              <w:tabs>
                <w:tab w:val="center" w:pos="4153"/>
                <w:tab w:val="right" w:pos="8306"/>
              </w:tabs>
              <w:adjustRightInd w:val="0"/>
              <w:snapToGrid w:val="0"/>
              <w:spacing w:line="29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14</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在厂房、围堤、窨井等场所内设置有毒有害气体排放口且未采取有效防范措施的。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《安全生产法》第三十八条、</w:t>
            </w:r>
          </w:p>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rPr>
              <w:t>《工业企业设计卫生标准》（GBZ1）第6.1.5.1条</w:t>
            </w:r>
          </w:p>
        </w:tc>
        <w:tc>
          <w:tcPr>
            <w:tcW w:w="8466" w:type="dxa"/>
            <w:vAlign w:val="center"/>
          </w:tcPr>
          <w:p>
            <w:pPr>
              <w:tabs>
                <w:tab w:val="center" w:pos="4153"/>
                <w:tab w:val="right" w:pos="8306"/>
              </w:tabs>
              <w:adjustRightInd w:val="0"/>
              <w:snapToGrid w:val="0"/>
              <w:spacing w:line="29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15</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涉及液化烃、液氨、液氯、硫化氢等易燃易爆及有毒介质的安全阀及其他泄放设施直排大气的（环氧乙烷的排放应采取安全措施）。</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rPr>
              <w:t>《安全生产法》第三十三条、《固定式压力容器安全技术监察规程》（TSG R0004-2009）第8.2（3）条</w:t>
            </w:r>
          </w:p>
        </w:tc>
        <w:tc>
          <w:tcPr>
            <w:tcW w:w="8466" w:type="dxa"/>
            <w:vAlign w:val="center"/>
          </w:tcPr>
          <w:p>
            <w:pPr>
              <w:adjustRightInd w:val="0"/>
              <w:snapToGrid w:val="0"/>
              <w:spacing w:line="29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spacing w:line="290" w:lineRule="exact"/>
              <w:rPr>
                <w:rFonts w:ascii="仿宋_GB2312" w:eastAsia="仿宋_GB2312"/>
                <w:sz w:val="24"/>
                <w:szCs w:val="24"/>
              </w:rPr>
            </w:pPr>
            <w:r>
              <w:rPr>
                <w:rFonts w:hint="eastAsia" w:ascii="仿宋_GB2312" w:hAnsi="仿宋" w:eastAsia="仿宋_GB2312"/>
                <w:sz w:val="24"/>
                <w:szCs w:val="24"/>
              </w:rPr>
              <w:t>（二）安全设备的安装、使用、检测、改造和报废不符合国家标准或者行业标准的。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16</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液化烃、液氨、液氯等易燃易爆、有毒有害液化气体的充装未使用万向节管道充装系统的。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《安全生产法》第三十八条</w:t>
            </w:r>
          </w:p>
        </w:tc>
        <w:tc>
          <w:tcPr>
            <w:tcW w:w="8466" w:type="dxa"/>
            <w:vAlign w:val="center"/>
          </w:tcPr>
          <w:p>
            <w:pPr>
              <w:adjustRightInd w:val="0"/>
              <w:snapToGrid w:val="0"/>
              <w:spacing w:line="29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17</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浮顶储罐运行中浮盘落底的。</w:t>
            </w:r>
          </w:p>
        </w:tc>
        <w:tc>
          <w:tcPr>
            <w:tcW w:w="1925"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《安全生产法》第三十八条</w:t>
            </w:r>
          </w:p>
        </w:tc>
        <w:tc>
          <w:tcPr>
            <w:tcW w:w="8466" w:type="dxa"/>
            <w:vAlign w:val="center"/>
          </w:tcPr>
          <w:p>
            <w:pPr>
              <w:tabs>
                <w:tab w:val="center" w:pos="4153"/>
                <w:tab w:val="right" w:pos="8306"/>
              </w:tabs>
              <w:adjustRightInd w:val="0"/>
              <w:snapToGrid w:val="0"/>
              <w:spacing w:line="29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14283" w:type="dxa"/>
            <w:gridSpan w:val="4"/>
            <w:vAlign w:val="center"/>
          </w:tcPr>
          <w:p>
            <w:pPr>
              <w:tabs>
                <w:tab w:val="center" w:pos="4153"/>
                <w:tab w:val="right" w:pos="8306"/>
              </w:tabs>
              <w:adjustRightInd w:val="0"/>
              <w:snapToGrid w:val="0"/>
              <w:spacing w:line="280" w:lineRule="exact"/>
              <w:jc w:val="center"/>
              <w:rPr>
                <w:rFonts w:ascii="楷体_GB2312" w:hAnsi="仿宋" w:eastAsia="楷体_GB2312"/>
                <w:b/>
                <w:sz w:val="24"/>
                <w:szCs w:val="24"/>
              </w:rPr>
            </w:pPr>
            <w:r>
              <w:rPr>
                <w:rFonts w:hint="eastAsia" w:ascii="楷体_GB2312" w:hAnsi="仿宋" w:eastAsia="楷体_GB2312"/>
                <w:b/>
                <w:sz w:val="24"/>
                <w:szCs w:val="24"/>
              </w:rPr>
              <w:t>设备设施管理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18</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安全设备的安装、使用、检测、维修、改造和报废不符合国家标准或行业标准；或使用国家明令淘汰的危及生产安全的工艺、设备的。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《安全生产法》第三十三条、第三十五条</w:t>
            </w:r>
          </w:p>
        </w:tc>
        <w:tc>
          <w:tcPr>
            <w:tcW w:w="8466" w:type="dxa"/>
            <w:vAlign w:val="center"/>
          </w:tcPr>
          <w:p>
            <w:pPr>
              <w:adjustRightInd w:val="0"/>
              <w:snapToGrid w:val="0"/>
              <w:spacing w:line="30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adjustRightInd w:val="0"/>
              <w:snapToGrid w:val="0"/>
              <w:spacing w:line="300" w:lineRule="exact"/>
              <w:rPr>
                <w:rFonts w:ascii="仿宋_GB2312" w:hAnsi="仿宋" w:eastAsia="仿宋_GB2312"/>
                <w:sz w:val="24"/>
                <w:szCs w:val="24"/>
              </w:rPr>
            </w:pPr>
            <w:r>
              <w:rPr>
                <w:rFonts w:hint="eastAsia" w:ascii="仿宋_GB2312" w:hAnsi="仿宋" w:eastAsia="仿宋_GB2312"/>
                <w:sz w:val="24"/>
                <w:szCs w:val="24"/>
              </w:rPr>
              <w:t>（二）安全设备的安装、使用、检测、改造和报废不符合国家标准或者行业标准的；</w:t>
            </w:r>
          </w:p>
          <w:p>
            <w:pPr>
              <w:adjustRightInd w:val="0"/>
              <w:snapToGrid w:val="0"/>
              <w:spacing w:line="300" w:lineRule="exact"/>
              <w:rPr>
                <w:rFonts w:ascii="仿宋_GB2312" w:hAnsi="仿宋" w:eastAsia="仿宋_GB2312"/>
                <w:sz w:val="24"/>
                <w:szCs w:val="24"/>
              </w:rPr>
            </w:pPr>
            <w:r>
              <w:rPr>
                <w:rFonts w:hint="eastAsia" w:ascii="仿宋_GB2312" w:hAnsi="仿宋" w:eastAsia="仿宋_GB2312"/>
                <w:sz w:val="24"/>
                <w:szCs w:val="24"/>
              </w:rPr>
              <w:t>（六）使用应当淘汰的危及生产安全的工艺、设备的。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19</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油气储罐未按规定达到以下要求的：</w:t>
            </w:r>
          </w:p>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（1）液化烃的储罐应设液位计、温度计、压力表、安全阀，以及高液位报警和高高液位自动连锁切断进料措施；全冷冻式液化烃储罐还应设真空泄放设施和高、低温度检测，并应与自动控制系统相联；</w:t>
            </w:r>
          </w:p>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（2）气柜应设上、下限位报警装置，并宜设进出管道自动联锁切断装置；</w:t>
            </w:r>
            <w:r>
              <w:rPr>
                <w:rFonts w:ascii="仿宋_GB2312" w:hAnsi="仿宋" w:eastAsia="仿宋_GB2312"/>
                <w:sz w:val="24"/>
                <w:szCs w:val="24"/>
              </w:rPr>
              <w:t xml:space="preserve"> </w:t>
            </w:r>
          </w:p>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（3）液化石油气球形储罐液相进出口应设置紧急切断阀，其位置宜靠近球形储罐；</w:t>
            </w:r>
          </w:p>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（4）丙烯、丙烷、混合C</w:t>
            </w:r>
            <w:r>
              <w:rPr>
                <w:rFonts w:hint="eastAsia" w:ascii="仿宋_GB2312" w:hAnsi="仿宋" w:eastAsia="仿宋_GB2312"/>
                <w:sz w:val="24"/>
                <w:szCs w:val="24"/>
                <w:vertAlign w:val="subscript"/>
              </w:rPr>
              <w:t>4</w:t>
            </w:r>
            <w:r>
              <w:rPr>
                <w:rFonts w:hint="eastAsia" w:ascii="仿宋_GB2312" w:hAnsi="仿宋" w:eastAsia="仿宋_GB2312"/>
                <w:sz w:val="24"/>
                <w:szCs w:val="24"/>
              </w:rPr>
              <w:t>、抽余C</w:t>
            </w:r>
            <w:r>
              <w:rPr>
                <w:rFonts w:hint="eastAsia" w:ascii="仿宋_GB2312" w:hAnsi="仿宋" w:eastAsia="仿宋_GB2312"/>
                <w:sz w:val="24"/>
                <w:szCs w:val="24"/>
                <w:vertAlign w:val="subscript"/>
              </w:rPr>
              <w:t>4</w:t>
            </w:r>
            <w:r>
              <w:rPr>
                <w:rFonts w:hint="eastAsia" w:ascii="仿宋_GB2312" w:hAnsi="仿宋" w:eastAsia="仿宋_GB2312"/>
                <w:sz w:val="24"/>
                <w:szCs w:val="24"/>
              </w:rPr>
              <w:t>及液化石油气的球形储罐应设置注水措施。</w:t>
            </w:r>
          </w:p>
        </w:tc>
        <w:tc>
          <w:tcPr>
            <w:tcW w:w="1925" w:type="dxa"/>
            <w:vAlign w:val="center"/>
          </w:tcPr>
          <w:p>
            <w:pPr>
              <w:tabs>
                <w:tab w:val="center" w:pos="4153"/>
                <w:tab w:val="right" w:pos="8306"/>
              </w:tabs>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《安全生产法》第三十三条；</w:t>
            </w:r>
          </w:p>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rPr>
              <w:t>《石油化工企业设计防火规范》（GB50160）第6.3.11条、第6.3.12条；《液化烃球形储罐安全设计规范》（SH3136）第6.1条、第7.4条</w:t>
            </w:r>
          </w:p>
        </w:tc>
        <w:tc>
          <w:tcPr>
            <w:tcW w:w="8466" w:type="dxa"/>
            <w:vAlign w:val="center"/>
          </w:tcPr>
          <w:p>
            <w:pPr>
              <w:adjustRightInd w:val="0"/>
              <w:snapToGrid w:val="0"/>
              <w:spacing w:line="30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spacing w:line="300" w:lineRule="exact"/>
              <w:rPr>
                <w:rFonts w:ascii="仿宋_GB2312" w:hAnsi="仿宋" w:eastAsia="仿宋_GB2312"/>
                <w:sz w:val="24"/>
                <w:szCs w:val="24"/>
              </w:rPr>
            </w:pPr>
            <w:r>
              <w:rPr>
                <w:rFonts w:hint="eastAsia" w:ascii="仿宋_GB2312" w:hAnsi="仿宋" w:eastAsia="仿宋_GB2312"/>
                <w:sz w:val="24"/>
                <w:szCs w:val="24"/>
              </w:rPr>
              <w:t>（二）安全设备的安装、使用、检测、改造和报废不符合国家标准或者行业标准的。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20</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涉及危险化工工艺、重点监管危险化学品的装置未设置自动化控制系统；或者涉及危险化工工艺的大型化工装置未设置紧急停车系统的。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《危险化学品生产企业安全生产许可证实施办法》（国家安全监管总局令第41号）第九条</w:t>
            </w:r>
          </w:p>
        </w:tc>
        <w:tc>
          <w:tcPr>
            <w:tcW w:w="8466" w:type="dxa"/>
            <w:vAlign w:val="center"/>
          </w:tcPr>
          <w:p>
            <w:pPr>
              <w:pStyle w:val="2"/>
              <w:shd w:val="clear" w:color="auto" w:fill="FFFFFF"/>
              <w:adjustRightInd w:val="0"/>
              <w:snapToGrid w:val="0"/>
              <w:spacing w:before="0" w:beforeAutospacing="0" w:after="0" w:afterAutospacing="0" w:line="300" w:lineRule="exact"/>
              <w:jc w:val="both"/>
              <w:rPr>
                <w:rFonts w:ascii="仿宋_GB2312" w:hAnsi="仿宋" w:eastAsia="仿宋_GB2312" w:cs="Times New Roman"/>
                <w:kern w:val="2"/>
              </w:rPr>
            </w:pPr>
            <w:r>
              <w:rPr>
                <w:rFonts w:hint="eastAsia" w:ascii="仿宋_GB2312" w:hAnsi="仿宋" w:eastAsia="仿宋_GB2312"/>
                <w:b/>
              </w:rPr>
              <w:t>《安全生产法》</w:t>
            </w:r>
            <w:r>
              <w:rPr>
                <w:rFonts w:hint="eastAsia" w:ascii="仿宋_GB2312" w:hAnsi="仿宋" w:eastAsia="仿宋_GB2312"/>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21</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有毒有害、可燃气体泄漏检测报警系统未按照标准设置、使用或定期检测校验；以及报警信号未发送至有操作人员常驻的控制室、现场操作室进行报警的。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《安全生产法》第三十三条、</w:t>
            </w:r>
            <w:r>
              <w:rPr>
                <w:rFonts w:hint="eastAsia" w:ascii="仿宋_GB2312" w:hAnsi="仿宋" w:eastAsia="仿宋_GB2312"/>
                <w:sz w:val="24"/>
              </w:rPr>
              <w:t>《石油化工企业可燃气体和有毒气体检测报警设计规范》（GB50493）</w:t>
            </w:r>
          </w:p>
        </w:tc>
        <w:tc>
          <w:tcPr>
            <w:tcW w:w="8466" w:type="dxa"/>
            <w:vAlign w:val="center"/>
          </w:tcPr>
          <w:p>
            <w:pPr>
              <w:adjustRightInd w:val="0"/>
              <w:snapToGrid w:val="0"/>
              <w:spacing w:line="29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adjustRightInd w:val="0"/>
              <w:snapToGrid w:val="0"/>
              <w:spacing w:line="290" w:lineRule="exact"/>
              <w:rPr>
                <w:rFonts w:ascii="仿宋_GB2312" w:hAnsi="仿宋" w:eastAsia="仿宋_GB2312"/>
                <w:sz w:val="24"/>
                <w:szCs w:val="24"/>
              </w:rPr>
            </w:pPr>
            <w:r>
              <w:rPr>
                <w:rFonts w:hint="eastAsia" w:ascii="仿宋_GB2312" w:hAnsi="仿宋" w:eastAsia="仿宋_GB2312"/>
                <w:sz w:val="24"/>
                <w:szCs w:val="24"/>
              </w:rPr>
              <w:t>（二）安全设备的安装、使用、检测、改造和报废不符合国家标准或者行业标准的。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22</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安全联锁未正常投用或未经审批摘除以及经审批后临时摘除超过一个月未恢复的。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《安全生产法》第三十三条</w:t>
            </w:r>
          </w:p>
        </w:tc>
        <w:tc>
          <w:tcPr>
            <w:tcW w:w="8466" w:type="dxa"/>
            <w:vAlign w:val="center"/>
          </w:tcPr>
          <w:p>
            <w:pPr>
              <w:adjustRightInd w:val="0"/>
              <w:snapToGrid w:val="0"/>
              <w:spacing w:line="29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adjustRightInd w:val="0"/>
              <w:snapToGrid w:val="0"/>
              <w:spacing w:line="290" w:lineRule="exact"/>
              <w:rPr>
                <w:rFonts w:ascii="仿宋_GB2312" w:hAnsi="仿宋" w:eastAsia="仿宋_GB2312"/>
                <w:sz w:val="24"/>
                <w:szCs w:val="24"/>
              </w:rPr>
            </w:pPr>
            <w:r>
              <w:rPr>
                <w:rFonts w:hint="eastAsia" w:ascii="仿宋_GB2312" w:hAnsi="仿宋" w:eastAsia="仿宋_GB2312"/>
                <w:sz w:val="24"/>
                <w:szCs w:val="24"/>
              </w:rPr>
              <w:t>（二）安全设备的安装、使用、检测、改造和报废不符合国家标准或者行业标准的。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23</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工艺或安全仪表报警时未及时处置的。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《安全生产法》第三十八条</w:t>
            </w:r>
          </w:p>
        </w:tc>
        <w:tc>
          <w:tcPr>
            <w:tcW w:w="8466" w:type="dxa"/>
            <w:vAlign w:val="center"/>
          </w:tcPr>
          <w:p>
            <w:pPr>
              <w:pStyle w:val="2"/>
              <w:shd w:val="clear" w:color="auto" w:fill="FFFFFF"/>
              <w:adjustRightInd w:val="0"/>
              <w:snapToGrid w:val="0"/>
              <w:spacing w:before="0" w:beforeAutospacing="0" w:after="0" w:afterAutospacing="0" w:line="290" w:lineRule="exact"/>
              <w:jc w:val="both"/>
              <w:rPr>
                <w:rFonts w:ascii="仿宋_GB2312" w:hAnsi="仿宋" w:eastAsia="仿宋_GB2312"/>
              </w:rPr>
            </w:pPr>
            <w:r>
              <w:rPr>
                <w:rFonts w:hint="eastAsia" w:ascii="仿宋_GB2312" w:hAnsi="仿宋" w:eastAsia="仿宋_GB2312"/>
                <w:b/>
              </w:rPr>
              <w:t>《安全生产法》</w:t>
            </w:r>
            <w:r>
              <w:rPr>
                <w:rFonts w:hint="eastAsia" w:ascii="仿宋_GB2312" w:hAnsi="仿宋" w:eastAsia="仿宋_GB2312"/>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24</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在用装置（设施）安全阀或泄压排放系统未正常投用的。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《安全生产法》第三十三条、</w:t>
            </w:r>
            <w:r>
              <w:rPr>
                <w:rFonts w:hint="eastAsia" w:ascii="仿宋_GB2312" w:hAnsi="仿宋" w:eastAsia="仿宋_GB2312"/>
                <w:sz w:val="24"/>
              </w:rPr>
              <w:t>《固定式压力容器安全技术监察规程》（TSG R0004-2009）第8.3.5条</w:t>
            </w:r>
          </w:p>
        </w:tc>
        <w:tc>
          <w:tcPr>
            <w:tcW w:w="8466" w:type="dxa"/>
            <w:vAlign w:val="center"/>
          </w:tcPr>
          <w:p>
            <w:pPr>
              <w:adjustRightInd w:val="0"/>
              <w:snapToGrid w:val="0"/>
              <w:spacing w:line="29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adjustRightInd w:val="0"/>
              <w:snapToGrid w:val="0"/>
              <w:spacing w:line="290" w:lineRule="exact"/>
              <w:rPr>
                <w:rFonts w:ascii="仿宋_GB2312" w:hAnsi="仿宋" w:eastAsia="仿宋_GB2312"/>
                <w:sz w:val="24"/>
                <w:szCs w:val="24"/>
              </w:rPr>
            </w:pPr>
            <w:r>
              <w:rPr>
                <w:rFonts w:hint="eastAsia" w:ascii="仿宋_GB2312" w:hAnsi="仿宋" w:eastAsia="仿宋_GB2312"/>
                <w:sz w:val="24"/>
                <w:szCs w:val="24"/>
              </w:rPr>
              <w:t>（二）安全设备的安装、使用、检测、改造和报废不符合国家标准或者行业标准的。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25</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涉及放热反应的危险化工工艺生产装置未设置双重电源供电或控制系统未设置不间断电源（UPS）的。</w:t>
            </w:r>
          </w:p>
        </w:tc>
        <w:tc>
          <w:tcPr>
            <w:tcW w:w="1925" w:type="dxa"/>
            <w:vAlign w:val="center"/>
          </w:tcPr>
          <w:p>
            <w:pPr>
              <w:adjustRightInd w:val="0"/>
              <w:snapToGrid w:val="0"/>
              <w:spacing w:line="260" w:lineRule="exact"/>
              <w:jc w:val="left"/>
              <w:rPr>
                <w:rFonts w:ascii="仿宋_GB2312" w:hAnsi="仿宋" w:eastAsia="仿宋_GB2312"/>
                <w:sz w:val="24"/>
              </w:rPr>
            </w:pPr>
            <w:r>
              <w:rPr>
                <w:rFonts w:hint="eastAsia" w:ascii="仿宋_GB2312" w:hAnsi="仿宋" w:eastAsia="仿宋_GB2312"/>
                <w:sz w:val="24"/>
                <w:szCs w:val="24"/>
              </w:rPr>
              <w:t>《安全生产法》第三十八条、</w:t>
            </w:r>
            <w:r>
              <w:rPr>
                <w:rFonts w:hint="eastAsia" w:ascii="仿宋_GB2312" w:hAnsi="仿宋" w:eastAsia="仿宋_GB2312"/>
                <w:sz w:val="24"/>
              </w:rPr>
              <w:t>《石油化工企业生产装置电力设计技术规范》（SH3038）、</w:t>
            </w:r>
          </w:p>
          <w:p>
            <w:pPr>
              <w:adjustRightInd w:val="0"/>
              <w:snapToGrid w:val="0"/>
              <w:spacing w:line="260" w:lineRule="exact"/>
              <w:jc w:val="left"/>
              <w:rPr>
                <w:rFonts w:ascii="仿宋_GB2312" w:hAnsi="仿宋" w:eastAsia="仿宋_GB2312"/>
                <w:sz w:val="24"/>
                <w:highlight w:val="yellow"/>
              </w:rPr>
            </w:pPr>
            <w:r>
              <w:rPr>
                <w:rFonts w:hint="eastAsia" w:ascii="仿宋_GB2312" w:hAnsi="仿宋" w:eastAsia="仿宋_GB2312"/>
                <w:sz w:val="24"/>
              </w:rPr>
              <w:t>《供配电系统设计规范》（GB50052）</w:t>
            </w:r>
          </w:p>
        </w:tc>
        <w:tc>
          <w:tcPr>
            <w:tcW w:w="8466" w:type="dxa"/>
            <w:vAlign w:val="center"/>
          </w:tcPr>
          <w:p>
            <w:pPr>
              <w:adjustRightInd w:val="0"/>
              <w:snapToGrid w:val="0"/>
              <w:spacing w:line="26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14283" w:type="dxa"/>
            <w:gridSpan w:val="4"/>
            <w:vAlign w:val="center"/>
          </w:tcPr>
          <w:p>
            <w:pPr>
              <w:adjustRightInd w:val="0"/>
              <w:snapToGrid w:val="0"/>
              <w:spacing w:line="280" w:lineRule="exact"/>
              <w:jc w:val="center"/>
              <w:rPr>
                <w:rFonts w:ascii="楷体_GB2312" w:hAnsi="仿宋" w:eastAsia="楷体_GB2312"/>
                <w:b/>
                <w:sz w:val="24"/>
                <w:szCs w:val="24"/>
              </w:rPr>
            </w:pPr>
            <w:r>
              <w:rPr>
                <w:rFonts w:hint="eastAsia" w:ascii="楷体_GB2312" w:hAnsi="仿宋" w:eastAsia="楷体_GB2312"/>
                <w:b/>
                <w:sz w:val="24"/>
                <w:szCs w:val="24"/>
              </w:rPr>
              <w:t>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26</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未建立变更管理制度或未严格执行的。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《安全生产法》第四条、第四十一条</w:t>
            </w:r>
          </w:p>
        </w:tc>
        <w:tc>
          <w:tcPr>
            <w:tcW w:w="8466" w:type="dxa"/>
            <w:vAlign w:val="center"/>
          </w:tcPr>
          <w:p>
            <w:pPr>
              <w:adjustRightInd w:val="0"/>
              <w:snapToGrid w:val="0"/>
              <w:spacing w:line="25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第九十一条：生产经营单位的主要负责人未履行本法规定的安全生产管理职责的，责令限期改正；逾期未改正的，处二万元以上五万元以下的罚款，责令生产经营单位停产停业整顿。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27</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危险化学品生产装置、罐区、仓库等设施与周边的安全距离不符合要求的。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《安全生产法》第三十八条</w:t>
            </w:r>
          </w:p>
        </w:tc>
        <w:tc>
          <w:tcPr>
            <w:tcW w:w="8466" w:type="dxa"/>
            <w:vAlign w:val="center"/>
          </w:tcPr>
          <w:p>
            <w:pPr>
              <w:adjustRightInd w:val="0"/>
              <w:snapToGrid w:val="0"/>
              <w:spacing w:line="25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28</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控制室或机柜间面向具有火灾、爆炸危险性装置一侧有门窗的。（2017年前必须整改完成）</w:t>
            </w:r>
          </w:p>
        </w:tc>
        <w:tc>
          <w:tcPr>
            <w:tcW w:w="1925" w:type="dxa"/>
            <w:vAlign w:val="center"/>
          </w:tcPr>
          <w:p>
            <w:pPr>
              <w:adjustRightInd w:val="0"/>
              <w:snapToGrid w:val="0"/>
              <w:spacing w:line="260" w:lineRule="exact"/>
              <w:jc w:val="left"/>
              <w:rPr>
                <w:rFonts w:ascii="仿宋_GB2312" w:hAnsi="仿宋" w:eastAsia="仿宋_GB2312"/>
                <w:sz w:val="24"/>
                <w:szCs w:val="24"/>
              </w:rPr>
            </w:pPr>
            <w:r>
              <w:rPr>
                <w:rFonts w:hint="eastAsia" w:ascii="仿宋_GB2312" w:hAnsi="仿宋" w:eastAsia="仿宋_GB2312"/>
                <w:sz w:val="24"/>
                <w:szCs w:val="24"/>
              </w:rPr>
              <w:t>《安全生产法》第三十八条、</w:t>
            </w:r>
            <w:r>
              <w:rPr>
                <w:rFonts w:hint="eastAsia" w:ascii="仿宋_GB2312" w:hAnsi="仿宋" w:eastAsia="仿宋_GB2312"/>
                <w:sz w:val="24"/>
              </w:rPr>
              <w:t>《石油化工企业设计防火规范》（GB50160）第5.2.18条</w:t>
            </w:r>
          </w:p>
        </w:tc>
        <w:tc>
          <w:tcPr>
            <w:tcW w:w="8466" w:type="dxa"/>
            <w:vAlign w:val="center"/>
          </w:tcPr>
          <w:p>
            <w:pPr>
              <w:adjustRightInd w:val="0"/>
              <w:snapToGrid w:val="0"/>
              <w:spacing w:line="25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29</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生产、经营、储存、使用危险化学品的车间、仓库与员工宿舍在同一座建筑内或与员工宿舍的距离不符合安全要求的。</w:t>
            </w:r>
          </w:p>
        </w:tc>
        <w:tc>
          <w:tcPr>
            <w:tcW w:w="1925" w:type="dxa"/>
            <w:vAlign w:val="center"/>
          </w:tcPr>
          <w:p>
            <w:pPr>
              <w:adjustRightInd w:val="0"/>
              <w:snapToGrid w:val="0"/>
              <w:spacing w:line="260" w:lineRule="exact"/>
              <w:jc w:val="left"/>
              <w:rPr>
                <w:rFonts w:ascii="仿宋_GB2312" w:hAnsi="仿宋" w:eastAsia="仿宋_GB2312"/>
                <w:sz w:val="24"/>
                <w:szCs w:val="24"/>
              </w:rPr>
            </w:pPr>
            <w:r>
              <w:rPr>
                <w:rFonts w:hint="eastAsia" w:ascii="仿宋_GB2312" w:hAnsi="仿宋" w:eastAsia="仿宋_GB2312"/>
                <w:sz w:val="24"/>
                <w:szCs w:val="24"/>
              </w:rPr>
              <w:t>《安全生产法》第三十九条</w:t>
            </w:r>
          </w:p>
        </w:tc>
        <w:tc>
          <w:tcPr>
            <w:tcW w:w="8466" w:type="dxa"/>
            <w:vAlign w:val="center"/>
          </w:tcPr>
          <w:p>
            <w:pPr>
              <w:adjustRightInd w:val="0"/>
              <w:snapToGrid w:val="0"/>
              <w:spacing w:line="25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w:t>
            </w:r>
          </w:p>
          <w:p>
            <w:pPr>
              <w:adjustRightInd w:val="0"/>
              <w:snapToGrid w:val="0"/>
              <w:spacing w:line="250" w:lineRule="exact"/>
              <w:rPr>
                <w:rFonts w:ascii="仿宋_GB2312" w:hAnsi="仿宋" w:eastAsia="仿宋_GB2312"/>
                <w:sz w:val="24"/>
                <w:szCs w:val="24"/>
              </w:rPr>
            </w:pPr>
            <w:r>
              <w:rPr>
                <w:rFonts w:hint="eastAsia" w:ascii="仿宋_GB2312" w:hAnsi="仿宋" w:eastAsia="仿宋_GB2312"/>
                <w:sz w:val="24"/>
                <w:szCs w:val="24"/>
              </w:rPr>
              <w:t>（一）生产、经营、储存、使用危险物品的车间、商店、仓库与员工宿舍在同一座建筑内，或者与员工宿舍的距离不符合安全要求的。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30</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危险化学品未按照标准分区、分类、分库存放，或存在超量、超品种以及相互禁忌物质混放混存的。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《危险化学品安全管理条例》第二十四条、</w:t>
            </w:r>
          </w:p>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《常用化学危险品贮存通则》（GB 15603）</w:t>
            </w:r>
          </w:p>
        </w:tc>
        <w:tc>
          <w:tcPr>
            <w:tcW w:w="8466" w:type="dxa"/>
            <w:vAlign w:val="center"/>
          </w:tcPr>
          <w:p>
            <w:pPr>
              <w:adjustRightInd w:val="0"/>
              <w:snapToGrid w:val="0"/>
              <w:spacing w:line="260" w:lineRule="exact"/>
              <w:rPr>
                <w:rFonts w:ascii="仿宋_GB2312" w:hAnsi="仿宋" w:eastAsia="仿宋_GB2312"/>
                <w:sz w:val="24"/>
                <w:szCs w:val="24"/>
              </w:rPr>
            </w:pPr>
            <w:r>
              <w:rPr>
                <w:rFonts w:hint="eastAsia" w:ascii="仿宋_GB2312" w:hAnsi="仿宋" w:eastAsia="仿宋_GB2312"/>
                <w:b/>
                <w:sz w:val="24"/>
                <w:szCs w:val="24"/>
              </w:rPr>
              <w:t>《危险化学品安全管理条例》</w:t>
            </w:r>
            <w:r>
              <w:rPr>
                <w:rFonts w:hint="eastAsia" w:ascii="仿宋_GB2312" w:hAnsi="仿宋" w:eastAsia="仿宋_GB2312"/>
                <w:sz w:val="24"/>
                <w:szCs w:val="24"/>
              </w:rPr>
              <w:t>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adjustRightInd w:val="0"/>
              <w:snapToGrid w:val="0"/>
              <w:spacing w:line="260" w:lineRule="exact"/>
              <w:rPr>
                <w:rFonts w:ascii="仿宋_GB2312" w:hAnsi="仿宋" w:eastAsia="仿宋_GB2312"/>
                <w:sz w:val="24"/>
                <w:szCs w:val="24"/>
              </w:rPr>
            </w:pPr>
            <w:r>
              <w:rPr>
                <w:rFonts w:hint="eastAsia" w:ascii="仿宋_GB2312" w:hAnsi="仿宋" w:eastAsia="仿宋_GB2312"/>
                <w:sz w:val="24"/>
                <w:szCs w:val="24"/>
              </w:rPr>
              <w:t xml:space="preserve"> (五)危险化学品的储存方式、方法或者储存数量不符合国家标准或者国家有关规定的。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31</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危险化学品厂际输送管道存在违章占压、安全距离不足和违规交叉穿越问题的。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szCs w:val="24"/>
              </w:rPr>
              <w:t>《安全生产法》第三十八条</w:t>
            </w:r>
          </w:p>
        </w:tc>
        <w:tc>
          <w:tcPr>
            <w:tcW w:w="8466" w:type="dxa"/>
            <w:vAlign w:val="center"/>
          </w:tcPr>
          <w:p>
            <w:pPr>
              <w:adjustRightInd w:val="0"/>
              <w:snapToGrid w:val="0"/>
              <w:spacing w:line="26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32</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光气、氯气（液氯）等剧毒化学品管道穿（跨）越公共区域的。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《危险化学品输送管道安全管理规定》（国家安全监管总局令第43号）</w:t>
            </w:r>
          </w:p>
        </w:tc>
        <w:tc>
          <w:tcPr>
            <w:tcW w:w="8466" w:type="dxa"/>
            <w:vAlign w:val="center"/>
          </w:tcPr>
          <w:p>
            <w:pPr>
              <w:adjustRightInd w:val="0"/>
              <w:snapToGrid w:val="0"/>
              <w:spacing w:line="260" w:lineRule="exact"/>
              <w:rPr>
                <w:rFonts w:ascii="仿宋_GB2312" w:hAnsi="仿宋" w:eastAsia="仿宋_GB2312"/>
                <w:color w:val="FF0000"/>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cs="Times New Roman"/>
                <w:kern w:val="2"/>
              </w:rPr>
            </w:pPr>
            <w:r>
              <w:rPr>
                <w:rFonts w:hint="eastAsia" w:ascii="仿宋_GB2312" w:hAnsi="仿宋" w:eastAsia="仿宋_GB2312"/>
              </w:rPr>
              <w:t>33</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cs="Times New Roman"/>
                <w:kern w:val="2"/>
              </w:rPr>
              <w:t>动火作业未按规定进行可燃气体分析；受限空间作业未按规定进行可燃气体、氧含量和有毒气体分析；以及作业过程无人监护的。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《安全生产法》第四十条、</w:t>
            </w:r>
          </w:p>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《化学品生产单位特殊作业安全规范》（GB30871）</w:t>
            </w:r>
          </w:p>
        </w:tc>
        <w:tc>
          <w:tcPr>
            <w:tcW w:w="8466" w:type="dxa"/>
            <w:vAlign w:val="center"/>
          </w:tcPr>
          <w:p>
            <w:pPr>
              <w:adjustRightInd w:val="0"/>
              <w:snapToGrid w:val="0"/>
              <w:spacing w:line="26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2"/>
              <w:shd w:val="clear" w:color="auto" w:fill="FFFFFF"/>
              <w:adjustRightInd w:val="0"/>
              <w:snapToGrid w:val="0"/>
              <w:spacing w:before="0" w:beforeAutospacing="0" w:after="0" w:afterAutospacing="0" w:line="260" w:lineRule="exact"/>
              <w:jc w:val="both"/>
              <w:rPr>
                <w:rFonts w:ascii="仿宋_GB2312" w:hAnsi="仿宋" w:eastAsia="仿宋_GB2312"/>
              </w:rPr>
            </w:pPr>
            <w:r>
              <w:rPr>
                <w:rFonts w:hint="eastAsia" w:ascii="仿宋_GB2312" w:hAnsi="仿宋" w:eastAsia="仿宋_GB2312"/>
              </w:rPr>
              <w:t>（三）进行爆破、吊装以及国务院安全生产监督管理部门会同国务院有关部门规定的其他危险作业，未安排专门人员进行现场安全管理的。</w:t>
            </w:r>
          </w:p>
          <w:p>
            <w:pPr>
              <w:pStyle w:val="2"/>
              <w:shd w:val="clear" w:color="auto" w:fill="FFFFFF"/>
              <w:adjustRightInd w:val="0"/>
              <w:snapToGrid w:val="0"/>
              <w:spacing w:before="0" w:beforeAutospacing="0" w:after="0" w:afterAutospacing="0" w:line="260" w:lineRule="exact"/>
              <w:jc w:val="both"/>
              <w:rPr>
                <w:rFonts w:ascii="仿宋_GB2312" w:hAnsi="仿宋" w:eastAsia="仿宋_GB2312" w:cs="Times New Roman"/>
                <w:kern w:val="2"/>
              </w:rPr>
            </w:pPr>
            <w:r>
              <w:rPr>
                <w:rFonts w:hint="eastAsia" w:ascii="仿宋_GB2312" w:hAnsi="仿宋" w:eastAsia="仿宋_GB2312"/>
                <w:b/>
              </w:rPr>
              <w:t>《安全生产法》</w:t>
            </w:r>
            <w:r>
              <w:rPr>
                <w:rFonts w:hint="eastAsia" w:ascii="仿宋_GB2312" w:hAnsi="仿宋" w:eastAsia="仿宋_GB2312"/>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cs="Times New Roman"/>
                <w:kern w:val="2"/>
              </w:rPr>
            </w:pPr>
            <w:r>
              <w:rPr>
                <w:rFonts w:hint="eastAsia" w:ascii="仿宋_GB2312" w:hAnsi="仿宋" w:eastAsia="仿宋_GB2312"/>
              </w:rPr>
              <w:t>34</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脱水、装卸、倒罐作业时，作业人员离开现场或油气罐区同一防火堤内切水和动火作业同时进行的。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《安全生产法》第三十八条</w:t>
            </w:r>
          </w:p>
        </w:tc>
        <w:tc>
          <w:tcPr>
            <w:tcW w:w="8466" w:type="dxa"/>
            <w:vAlign w:val="center"/>
          </w:tcPr>
          <w:p>
            <w:pPr>
              <w:pStyle w:val="2"/>
              <w:shd w:val="clear" w:color="auto" w:fill="FFFFFF"/>
              <w:adjustRightInd w:val="0"/>
              <w:snapToGrid w:val="0"/>
              <w:spacing w:before="0" w:beforeAutospacing="0" w:after="0" w:afterAutospacing="0" w:line="300" w:lineRule="exact"/>
              <w:jc w:val="both"/>
              <w:rPr>
                <w:rFonts w:ascii="仿宋_GB2312" w:hAnsi="仿宋" w:eastAsia="仿宋_GB2312"/>
              </w:rPr>
            </w:pPr>
            <w:r>
              <w:rPr>
                <w:rFonts w:hint="eastAsia" w:ascii="仿宋_GB2312" w:hAnsi="仿宋" w:eastAsia="仿宋_GB2312"/>
                <w:b/>
              </w:rPr>
              <w:t>《安全生产法》</w:t>
            </w:r>
            <w:r>
              <w:rPr>
                <w:rFonts w:hint="eastAsia" w:ascii="仿宋_GB2312" w:hAnsi="仿宋" w:eastAsia="仿宋_GB2312"/>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rPr>
            </w:pPr>
            <w:r>
              <w:rPr>
                <w:rFonts w:hint="eastAsia" w:ascii="仿宋_GB2312" w:hAnsi="仿宋" w:eastAsia="仿宋_GB2312"/>
              </w:rPr>
              <w:t>35</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在有较大危险因素的生产经营场所和有关设施、设备上未设置明显的安全警示标志的。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《安全生产法》第三十二条</w:t>
            </w:r>
          </w:p>
        </w:tc>
        <w:tc>
          <w:tcPr>
            <w:tcW w:w="8466" w:type="dxa"/>
            <w:vAlign w:val="center"/>
          </w:tcPr>
          <w:p>
            <w:pPr>
              <w:adjustRightInd w:val="0"/>
              <w:snapToGrid w:val="0"/>
              <w:spacing w:line="30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adjustRightInd w:val="0"/>
              <w:snapToGrid w:val="0"/>
              <w:spacing w:line="300" w:lineRule="exact"/>
              <w:rPr>
                <w:rFonts w:ascii="仿宋_GB2312" w:hAnsi="仿宋" w:eastAsia="仿宋_GB2312"/>
                <w:sz w:val="24"/>
                <w:szCs w:val="24"/>
              </w:rPr>
            </w:pPr>
            <w:r>
              <w:rPr>
                <w:rFonts w:hint="eastAsia" w:ascii="仿宋_GB2312" w:hAnsi="仿宋" w:eastAsia="仿宋_GB2312"/>
                <w:sz w:val="24"/>
                <w:szCs w:val="24"/>
              </w:rPr>
              <w:t>（一）未在有较大危险因素的生产经营场所和有关设施、设备上设置明显的安全警示标志的。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rPr>
            </w:pPr>
            <w:r>
              <w:rPr>
                <w:rFonts w:hint="eastAsia" w:ascii="仿宋_GB2312" w:hAnsi="仿宋" w:eastAsia="仿宋_GB2312"/>
              </w:rPr>
              <w:t>36</w:t>
            </w:r>
          </w:p>
        </w:tc>
        <w:tc>
          <w:tcPr>
            <w:tcW w:w="3158"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危险化学品生产企业未提供化学品安全技术说明书，未在包装（包括外包装件）上粘贴、拴挂化学品安全标签的。</w:t>
            </w:r>
          </w:p>
        </w:tc>
        <w:tc>
          <w:tcPr>
            <w:tcW w:w="1925" w:type="dxa"/>
            <w:vAlign w:val="center"/>
          </w:tcPr>
          <w:p>
            <w:pPr>
              <w:tabs>
                <w:tab w:val="center" w:pos="4153"/>
                <w:tab w:val="right" w:pos="8306"/>
              </w:tabs>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《危险化学品安全管理条例》第十五条</w:t>
            </w:r>
          </w:p>
        </w:tc>
        <w:tc>
          <w:tcPr>
            <w:tcW w:w="8466" w:type="dxa"/>
            <w:vAlign w:val="center"/>
          </w:tcPr>
          <w:p>
            <w:pPr>
              <w:tabs>
                <w:tab w:val="center" w:pos="4153"/>
                <w:tab w:val="right" w:pos="8306"/>
              </w:tabs>
              <w:adjustRightInd w:val="0"/>
              <w:snapToGrid w:val="0"/>
              <w:spacing w:line="300" w:lineRule="exact"/>
              <w:rPr>
                <w:rFonts w:ascii="仿宋_GB2312" w:hAnsi="仿宋" w:eastAsia="仿宋_GB2312"/>
                <w:sz w:val="24"/>
                <w:szCs w:val="24"/>
              </w:rPr>
            </w:pPr>
            <w:r>
              <w:rPr>
                <w:rFonts w:hint="eastAsia" w:ascii="仿宋_GB2312" w:hAnsi="仿宋" w:eastAsia="仿宋_GB2312"/>
                <w:b/>
                <w:sz w:val="24"/>
                <w:szCs w:val="24"/>
              </w:rPr>
              <w:t>《危险化学品安全管理条例》</w:t>
            </w:r>
            <w:r>
              <w:rPr>
                <w:rFonts w:hint="eastAsia" w:ascii="仿宋_GB2312" w:hAnsi="仿宋" w:eastAsia="仿宋_GB2312"/>
                <w:sz w:val="24"/>
                <w:szCs w:val="24"/>
              </w:rPr>
              <w:t>第七十八条：有下列情形之一的，由安全生产监督管理部门责令改正，可以处5万元以下的罚款；拒不改正的，处5万元以上10万元以下的罚款；情节严重的，责令停产停业整顿：</w:t>
            </w:r>
          </w:p>
          <w:p>
            <w:pPr>
              <w:tabs>
                <w:tab w:val="center" w:pos="4153"/>
                <w:tab w:val="right" w:pos="8306"/>
              </w:tabs>
              <w:adjustRightInd w:val="0"/>
              <w:snapToGrid w:val="0"/>
              <w:spacing w:line="300" w:lineRule="exact"/>
              <w:rPr>
                <w:rFonts w:ascii="仿宋_GB2312" w:hAnsi="仿宋" w:eastAsia="仿宋_GB2312"/>
                <w:sz w:val="24"/>
                <w:szCs w:val="24"/>
              </w:rPr>
            </w:pPr>
            <w:r>
              <w:rPr>
                <w:rFonts w:hint="eastAsia" w:ascii="仿宋_GB2312" w:hAnsi="仿宋" w:eastAsia="仿宋_GB2312"/>
                <w:sz w:val="24"/>
                <w:szCs w:val="24"/>
              </w:rPr>
              <w:t>（三）危险化学品生产企业未提供化学品安全技术说明书，或者未在包装(包括外包装件)上粘贴、拴挂化学品安全标签的。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rPr>
            </w:pPr>
            <w:r>
              <w:rPr>
                <w:rFonts w:hint="eastAsia" w:ascii="仿宋_GB2312" w:hAnsi="仿宋" w:eastAsia="仿宋_GB2312"/>
              </w:rPr>
              <w:t>37</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对重大危险源未登记建档，或者未进行评估、有效监控的。</w:t>
            </w:r>
          </w:p>
        </w:tc>
        <w:tc>
          <w:tcPr>
            <w:tcW w:w="1925"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《安全生产法》第三十七条</w:t>
            </w:r>
          </w:p>
        </w:tc>
        <w:tc>
          <w:tcPr>
            <w:tcW w:w="8466" w:type="dxa"/>
            <w:vAlign w:val="center"/>
          </w:tcPr>
          <w:p>
            <w:pPr>
              <w:adjustRightInd w:val="0"/>
              <w:snapToGrid w:val="0"/>
              <w:spacing w:line="300" w:lineRule="exact"/>
              <w:rPr>
                <w:rFonts w:ascii="仿宋_GB2312" w:hAnsi="仿宋" w:eastAsia="仿宋_GB2312"/>
                <w:sz w:val="24"/>
                <w:szCs w:val="24"/>
              </w:rPr>
            </w:pPr>
            <w:r>
              <w:rPr>
                <w:rFonts w:hint="eastAsia" w:ascii="仿宋_GB2312" w:hAnsi="仿宋" w:eastAsia="仿宋_GB2312"/>
                <w:b/>
                <w:sz w:val="24"/>
                <w:szCs w:val="24"/>
              </w:rPr>
              <w:t>《安全生产法》</w:t>
            </w:r>
            <w:r>
              <w:rPr>
                <w:rFonts w:hint="eastAsia" w:ascii="仿宋_GB2312" w:hAnsi="仿宋" w:eastAsia="仿宋_GB2312"/>
                <w:sz w:val="24"/>
                <w:szCs w:val="24"/>
              </w:rPr>
              <w:t>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adjustRightInd w:val="0"/>
              <w:snapToGrid w:val="0"/>
              <w:spacing w:line="300" w:lineRule="exact"/>
              <w:rPr>
                <w:rFonts w:ascii="仿宋_GB2312" w:hAnsi="仿宋" w:eastAsia="仿宋_GB2312"/>
                <w:sz w:val="24"/>
                <w:szCs w:val="24"/>
              </w:rPr>
            </w:pPr>
            <w:r>
              <w:rPr>
                <w:rFonts w:hint="eastAsia" w:ascii="仿宋_GB2312" w:hAnsi="仿宋" w:eastAsia="仿宋_GB2312"/>
                <w:sz w:val="24"/>
                <w:szCs w:val="24"/>
              </w:rPr>
              <w:t>（二）对重大危险源未登记建档，或者未进行评估、监控，或者未制定应急预案的。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cs="Times New Roman"/>
                <w:kern w:val="2"/>
              </w:rPr>
            </w:pPr>
            <w:r>
              <w:rPr>
                <w:rFonts w:hint="eastAsia" w:ascii="仿宋_GB2312" w:hAnsi="仿宋" w:eastAsia="仿宋_GB2312"/>
              </w:rPr>
              <w:t>38</w:t>
            </w:r>
          </w:p>
        </w:tc>
        <w:tc>
          <w:tcPr>
            <w:tcW w:w="3158" w:type="dxa"/>
            <w:vAlign w:val="center"/>
          </w:tcPr>
          <w:p>
            <w:pPr>
              <w:adjustRightInd w:val="0"/>
              <w:snapToGrid w:val="0"/>
              <w:spacing w:line="280" w:lineRule="exact"/>
              <w:jc w:val="left"/>
              <w:rPr>
                <w:rFonts w:ascii="仿宋_GB2312" w:hAnsi="仿宋" w:eastAsia="仿宋_GB2312"/>
                <w:sz w:val="24"/>
                <w:szCs w:val="24"/>
              </w:rPr>
            </w:pPr>
            <w:r>
              <w:rPr>
                <w:rFonts w:hint="eastAsia" w:ascii="仿宋_GB2312" w:hAnsi="仿宋" w:eastAsia="仿宋_GB2312"/>
                <w:sz w:val="24"/>
                <w:szCs w:val="24"/>
              </w:rPr>
              <w:t>未对重大危险源的安全生产状况进行定期检查，采取措施消除事故隐患的。</w:t>
            </w:r>
          </w:p>
        </w:tc>
        <w:tc>
          <w:tcPr>
            <w:tcW w:w="1925" w:type="dxa"/>
            <w:vAlign w:val="center"/>
          </w:tcPr>
          <w:p>
            <w:pPr>
              <w:adjustRightInd w:val="0"/>
              <w:snapToGrid w:val="0"/>
              <w:spacing w:line="280" w:lineRule="exact"/>
              <w:jc w:val="left"/>
              <w:rPr>
                <w:rFonts w:ascii="仿宋_GB2312" w:hAnsi="仿宋" w:eastAsia="仿宋_GB2312"/>
                <w:sz w:val="24"/>
              </w:rPr>
            </w:pPr>
            <w:r>
              <w:rPr>
                <w:rFonts w:hint="eastAsia" w:ascii="仿宋_GB2312" w:hAnsi="仿宋" w:eastAsia="仿宋_GB2312"/>
                <w:sz w:val="24"/>
              </w:rPr>
              <w:t>《危险化学品重大危险源监督管理暂行规定》（国家安全监管总局令第40号）第十六条</w:t>
            </w:r>
          </w:p>
        </w:tc>
        <w:tc>
          <w:tcPr>
            <w:tcW w:w="8466" w:type="dxa"/>
            <w:vAlign w:val="center"/>
          </w:tcPr>
          <w:p>
            <w:pPr>
              <w:adjustRightInd w:val="0"/>
              <w:snapToGrid w:val="0"/>
              <w:spacing w:line="340" w:lineRule="exact"/>
              <w:rPr>
                <w:rFonts w:ascii="仿宋_GB2312" w:hAnsi="仿宋" w:eastAsia="仿宋_GB2312"/>
                <w:sz w:val="24"/>
                <w:szCs w:val="24"/>
              </w:rPr>
            </w:pPr>
            <w:r>
              <w:rPr>
                <w:rFonts w:hint="eastAsia" w:ascii="仿宋_GB2312" w:hAnsi="仿宋" w:eastAsia="仿宋_GB2312"/>
                <w:sz w:val="24"/>
              </w:rPr>
              <w:t>《危险化学品重大危险源监督管理暂行规定》</w:t>
            </w:r>
            <w:r>
              <w:rPr>
                <w:rFonts w:hint="eastAsia" w:ascii="仿宋_GB2312" w:hAnsi="仿宋" w:eastAsia="仿宋_GB2312"/>
                <w:sz w:val="24"/>
                <w:szCs w:val="24"/>
              </w:rPr>
              <w:t>第三十五条：危险化学品单位未按照本规定对重大危险源的安全生产状况进行定期检查，采取措施消除事故隐患的，责令立即消除或者限期消除；危险化学品单位拒不执行的，责令停产停业整顿，并处10万元以上20万元以下的罚款，对其直接负责的主管人员和其他直接责任人员处2万元以上5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pStyle w:val="2"/>
              <w:shd w:val="clear" w:color="auto" w:fill="FFFFFF"/>
              <w:adjustRightInd w:val="0"/>
              <w:snapToGrid w:val="0"/>
              <w:spacing w:before="0" w:beforeAutospacing="0" w:after="0" w:afterAutospacing="0" w:line="280" w:lineRule="exact"/>
              <w:jc w:val="center"/>
              <w:rPr>
                <w:rFonts w:ascii="仿宋_GB2312" w:hAnsi="仿宋" w:eastAsia="仿宋_GB2312" w:cs="Times New Roman"/>
                <w:kern w:val="2"/>
              </w:rPr>
            </w:pPr>
            <w:r>
              <w:rPr>
                <w:rFonts w:hint="eastAsia" w:ascii="仿宋_GB2312" w:hAnsi="仿宋" w:eastAsia="仿宋_GB2312" w:cs="Times New Roman"/>
                <w:kern w:val="2"/>
              </w:rPr>
              <w:t>39</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易燃易爆区域使用非防爆工具或电器的。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《安全生产法》第三十八条</w:t>
            </w:r>
          </w:p>
        </w:tc>
        <w:tc>
          <w:tcPr>
            <w:tcW w:w="8466" w:type="dxa"/>
            <w:vAlign w:val="center"/>
          </w:tcPr>
          <w:p>
            <w:pPr>
              <w:pStyle w:val="2"/>
              <w:shd w:val="clear" w:color="auto" w:fill="FFFFFF"/>
              <w:adjustRightInd w:val="0"/>
              <w:snapToGrid w:val="0"/>
              <w:spacing w:before="0" w:beforeAutospacing="0" w:after="0" w:afterAutospacing="0" w:line="340" w:lineRule="exact"/>
              <w:jc w:val="both"/>
              <w:rPr>
                <w:rFonts w:ascii="仿宋_GB2312" w:hAnsi="仿宋" w:eastAsia="仿宋_GB2312"/>
              </w:rPr>
            </w:pPr>
            <w:r>
              <w:rPr>
                <w:rFonts w:hint="eastAsia" w:ascii="仿宋_GB2312" w:hAnsi="仿宋" w:eastAsia="仿宋_GB2312"/>
                <w:b/>
              </w:rPr>
              <w:t>《安全生产法》</w:t>
            </w:r>
            <w:r>
              <w:rPr>
                <w:rFonts w:hint="eastAsia" w:ascii="仿宋_GB2312" w:hAnsi="仿宋" w:eastAsia="仿宋_GB2312"/>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734" w:type="dxa"/>
            <w:vAlign w:val="center"/>
          </w:tcPr>
          <w:p>
            <w:pPr>
              <w:adjustRightInd w:val="0"/>
              <w:snapToGrid w:val="0"/>
              <w:spacing w:line="280" w:lineRule="exact"/>
              <w:jc w:val="center"/>
              <w:rPr>
                <w:rFonts w:ascii="仿宋_GB2312" w:hAnsi="仿宋" w:eastAsia="仿宋_GB2312"/>
                <w:sz w:val="24"/>
              </w:rPr>
            </w:pPr>
            <w:r>
              <w:rPr>
                <w:rFonts w:hint="eastAsia" w:ascii="仿宋_GB2312" w:hAnsi="仿宋" w:eastAsia="仿宋_GB2312"/>
                <w:sz w:val="24"/>
              </w:rPr>
              <w:t>40</w:t>
            </w:r>
          </w:p>
        </w:tc>
        <w:tc>
          <w:tcPr>
            <w:tcW w:w="3158"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cs="Times New Roman"/>
                <w:kern w:val="2"/>
              </w:rPr>
            </w:pPr>
            <w:r>
              <w:rPr>
                <w:rFonts w:hint="eastAsia" w:ascii="仿宋_GB2312" w:hAnsi="仿宋" w:eastAsia="仿宋_GB2312"/>
              </w:rPr>
              <w:t>未在存在有毒气体的区域配备便携式检测仪、空气呼吸器等器材和设备或者不能正确佩戴、使用个体防护用品和应急救援器材的。</w:t>
            </w:r>
          </w:p>
        </w:tc>
        <w:tc>
          <w:tcPr>
            <w:tcW w:w="1925" w:type="dxa"/>
            <w:vAlign w:val="center"/>
          </w:tcPr>
          <w:p>
            <w:pPr>
              <w:pStyle w:val="2"/>
              <w:shd w:val="clear" w:color="auto" w:fill="FFFFFF"/>
              <w:adjustRightInd w:val="0"/>
              <w:snapToGrid w:val="0"/>
              <w:spacing w:before="0" w:beforeAutospacing="0" w:after="0" w:afterAutospacing="0" w:line="280" w:lineRule="exact"/>
              <w:rPr>
                <w:rFonts w:ascii="仿宋_GB2312" w:hAnsi="仿宋" w:eastAsia="仿宋_GB2312"/>
              </w:rPr>
            </w:pPr>
            <w:r>
              <w:rPr>
                <w:rFonts w:hint="eastAsia" w:ascii="仿宋_GB2312" w:hAnsi="仿宋" w:eastAsia="仿宋_GB2312"/>
              </w:rPr>
              <w:t>《安全生产法》第三十八条、第七十九条</w:t>
            </w:r>
          </w:p>
        </w:tc>
        <w:tc>
          <w:tcPr>
            <w:tcW w:w="8466" w:type="dxa"/>
            <w:vAlign w:val="center"/>
          </w:tcPr>
          <w:p>
            <w:pPr>
              <w:adjustRightInd w:val="0"/>
              <w:snapToGrid w:val="0"/>
              <w:spacing w:line="340" w:lineRule="exact"/>
              <w:rPr>
                <w:rFonts w:ascii="仿宋_GB2312" w:hAnsi="仿宋" w:eastAsia="仿宋_GB2312"/>
                <w:sz w:val="24"/>
                <w:szCs w:val="24"/>
              </w:rPr>
            </w:pPr>
            <w:r>
              <w:rPr>
                <w:rFonts w:hint="eastAsia" w:ascii="仿宋_GB2312" w:hAnsi="仿宋" w:eastAsia="仿宋_GB2312" w:cs="宋体"/>
                <w:b/>
                <w:kern w:val="0"/>
                <w:sz w:val="24"/>
                <w:szCs w:val="24"/>
              </w:rPr>
              <w:t>《安全生产法》</w:t>
            </w:r>
            <w:r>
              <w:rPr>
                <w:rFonts w:hint="eastAsia" w:ascii="仿宋_GB2312" w:hAnsi="仿宋" w:eastAsia="仿宋_GB2312" w:cs="宋体"/>
                <w:kern w:val="0"/>
                <w:sz w:val="24"/>
                <w:szCs w:val="24"/>
              </w:rPr>
              <w:t>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bl>
    <w:p>
      <w:pPr>
        <w:spacing w:line="600" w:lineRule="exact"/>
        <w:rPr>
          <w:rFonts w:ascii="华文中宋" w:hAnsi="华文中宋" w:eastAsia="华文中宋" w:cs="宋体"/>
          <w:b/>
          <w:kern w:val="0"/>
          <w:sz w:val="44"/>
          <w:szCs w:val="44"/>
        </w:rPr>
      </w:pPr>
    </w:p>
    <w:p>
      <w:pPr/>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19F" w:csb1="00000000"/>
  </w:font>
  <w:font w:name="Calibri">
    <w:panose1 w:val="020F0502020204030204"/>
    <w:charset w:val="00"/>
    <w:family w:val="roman"/>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roma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roman"/>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EB41F2"/>
    <w:rsid w:val="4AEB41F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2016-01-05T06:59:00Z</dcterms:created>
  <dc:creator>lenovo</dc:creator>
  <cp:lastModifiedBy>lenovo</cp:lastModifiedBy>
  <dcterms:modified xsi:type="dcterms:W3CDTF">2016-01-05T07:00:13Z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