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jc w:val="center"/>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lang w:eastAsia="zh-CN"/>
        </w:rPr>
        <w:t>云南省</w:t>
      </w:r>
      <w:r>
        <w:rPr>
          <w:rFonts w:hint="eastAsia" w:ascii="方正小标宋简体" w:hAnsi="方正小标宋简体" w:eastAsia="方正小标宋简体" w:cs="方正小标宋简体"/>
          <w:color w:val="auto"/>
          <w:sz w:val="44"/>
          <w:szCs w:val="44"/>
        </w:rPr>
        <w:t>危险化学品生产企业安全诊断手册</w:t>
      </w: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rPr>
          <w:rFonts w:hint="eastAsia"/>
          <w:color w:val="auto"/>
          <w:sz w:val="28"/>
          <w:szCs w:val="28"/>
        </w:rPr>
      </w:pPr>
    </w:p>
    <w:p>
      <w:pPr>
        <w:jc w:val="center"/>
        <w:rPr>
          <w:rFonts w:hint="eastAsia" w:ascii="楷体" w:hAnsi="楷体" w:eastAsia="楷体"/>
          <w:b/>
          <w:bCs/>
          <w:color w:val="auto"/>
          <w:sz w:val="32"/>
          <w:szCs w:val="32"/>
        </w:rPr>
      </w:pPr>
      <w:r>
        <w:rPr>
          <w:rFonts w:hint="eastAsia" w:ascii="楷体" w:hAnsi="楷体" w:eastAsia="楷体"/>
          <w:b/>
          <w:bCs/>
          <w:color w:val="auto"/>
          <w:sz w:val="32"/>
          <w:szCs w:val="32"/>
        </w:rPr>
        <w:t>2026年8月</w:t>
      </w:r>
    </w:p>
    <w:p>
      <w:pPr>
        <w:widowControl/>
        <w:jc w:val="left"/>
        <w:rPr>
          <w:rFonts w:hint="eastAsia" w:ascii="楷体" w:hAnsi="楷体" w:eastAsia="楷体"/>
          <w:b/>
          <w:bCs/>
          <w:color w:val="auto"/>
          <w:sz w:val="32"/>
          <w:szCs w:val="32"/>
        </w:rPr>
      </w:pPr>
      <w:r>
        <w:rPr>
          <w:rFonts w:hint="eastAsia" w:ascii="楷体" w:hAnsi="楷体" w:eastAsia="楷体"/>
          <w:b/>
          <w:bCs/>
          <w:color w:val="auto"/>
          <w:sz w:val="32"/>
          <w:szCs w:val="32"/>
        </w:rPr>
        <w:br w:type="page"/>
      </w:r>
    </w:p>
    <w:sdt>
      <w:sdtPr>
        <w:rPr>
          <w:rFonts w:asciiTheme="minorHAnsi" w:hAnsiTheme="minorHAnsi" w:eastAsiaTheme="minorEastAsia" w:cstheme="minorBidi"/>
          <w:color w:val="auto"/>
          <w:kern w:val="2"/>
          <w:sz w:val="21"/>
          <w:szCs w:val="22"/>
          <w:lang w:val="zh-CN"/>
        </w:rPr>
        <w:id w:val="1878816847"/>
        <w:docPartObj>
          <w:docPartGallery w:val="Table of Contents"/>
          <w:docPartUnique/>
        </w:docPartObj>
      </w:sdtPr>
      <w:sdtEndPr>
        <w:rPr>
          <w:rFonts w:asciiTheme="minorHAnsi" w:hAnsiTheme="minorHAnsi" w:eastAsiaTheme="minorEastAsia" w:cstheme="minorBidi"/>
          <w:b/>
          <w:bCs/>
          <w:color w:val="auto"/>
          <w:kern w:val="2"/>
          <w:sz w:val="28"/>
          <w:szCs w:val="28"/>
          <w:lang w:val="zh-CN"/>
        </w:rPr>
      </w:sdtEndPr>
      <w:sdtContent>
        <w:p>
          <w:pPr>
            <w:pStyle w:val="43"/>
            <w:jc w:val="center"/>
            <w:rPr>
              <w:rFonts w:hint="eastAsia"/>
              <w:color w:val="auto"/>
              <w:sz w:val="44"/>
              <w:szCs w:val="44"/>
              <w:lang w:val="zh-CN"/>
            </w:rPr>
          </w:pPr>
          <w:r>
            <w:rPr>
              <w:b/>
              <w:bCs/>
              <w:color w:val="auto"/>
              <w:sz w:val="44"/>
              <w:szCs w:val="44"/>
              <w:lang w:val="zh-CN"/>
            </w:rPr>
            <w:t>目</w:t>
          </w:r>
          <w:r>
            <w:rPr>
              <w:rFonts w:hint="eastAsia"/>
              <w:b/>
              <w:bCs/>
              <w:color w:val="auto"/>
              <w:sz w:val="44"/>
              <w:szCs w:val="44"/>
              <w:lang w:val="zh-CN"/>
            </w:rPr>
            <w:t xml:space="preserve">  </w:t>
          </w:r>
          <w:r>
            <w:rPr>
              <w:b/>
              <w:bCs/>
              <w:color w:val="auto"/>
              <w:sz w:val="44"/>
              <w:szCs w:val="44"/>
              <w:lang w:val="zh-CN"/>
            </w:rPr>
            <w:t>录</w:t>
          </w:r>
        </w:p>
        <w:p>
          <w:pPr>
            <w:rPr>
              <w:rFonts w:hint="eastAsia"/>
              <w:color w:val="auto"/>
              <w:lang w:val="zh-CN"/>
            </w:rPr>
          </w:pPr>
        </w:p>
        <w:p>
          <w:pPr>
            <w:pStyle w:val="15"/>
            <w:tabs>
              <w:tab w:val="right" w:leader="dot" w:pos="9060"/>
            </w:tabs>
            <w:rPr>
              <w:rFonts w:hint="eastAsia"/>
              <w:color w:val="auto"/>
              <w:sz w:val="24"/>
              <w:szCs w:val="24"/>
              <w14:ligatures w14:val="standardContextual"/>
            </w:rPr>
          </w:pPr>
          <w:r>
            <w:rPr>
              <w:color w:val="auto"/>
              <w:sz w:val="28"/>
              <w:szCs w:val="28"/>
            </w:rPr>
            <w:fldChar w:fldCharType="begin"/>
          </w:r>
          <w:r>
            <w:rPr>
              <w:color w:val="auto"/>
              <w:sz w:val="28"/>
              <w:szCs w:val="28"/>
            </w:rPr>
            <w:instrText xml:space="preserve"> TOC \o "1-3" \h \z \u </w:instrText>
          </w:r>
          <w:r>
            <w:rPr>
              <w:color w:val="auto"/>
              <w:sz w:val="28"/>
              <w:szCs w:val="28"/>
            </w:rPr>
            <w:fldChar w:fldCharType="separate"/>
          </w:r>
          <w:r>
            <w:rPr>
              <w:color w:val="auto"/>
            </w:rPr>
            <w:fldChar w:fldCharType="begin"/>
          </w:r>
          <w:r>
            <w:rPr>
              <w:color w:val="auto"/>
            </w:rPr>
            <w:instrText xml:space="preserve"> HYPERLINK \l "_Toc237556436" </w:instrText>
          </w:r>
          <w:r>
            <w:rPr>
              <w:color w:val="auto"/>
            </w:rPr>
            <w:fldChar w:fldCharType="separate"/>
          </w:r>
          <w:r>
            <w:rPr>
              <w:rStyle w:val="23"/>
              <w:rFonts w:ascii="黑体" w:hAnsi="黑体" w:eastAsia="黑体"/>
              <w:color w:val="auto"/>
              <w:sz w:val="24"/>
              <w:szCs w:val="24"/>
            </w:rPr>
            <w:t>一、诊断总则</w:t>
          </w:r>
          <w:r>
            <w:rPr>
              <w:rFonts w:hint="eastAsia"/>
              <w:color w:val="auto"/>
              <w:sz w:val="24"/>
              <w:szCs w:val="24"/>
            </w:rPr>
            <w:tab/>
          </w:r>
          <w:r>
            <w:rPr>
              <w:rFonts w:hint="eastAsia"/>
              <w:color w:val="auto"/>
              <w:sz w:val="24"/>
              <w:szCs w:val="24"/>
            </w:rPr>
            <w:fldChar w:fldCharType="begin"/>
          </w:r>
          <w:r>
            <w:rPr>
              <w:rFonts w:hint="eastAsia"/>
              <w:color w:val="auto"/>
              <w:sz w:val="24"/>
              <w:szCs w:val="24"/>
            </w:rPr>
            <w:instrText xml:space="preserve"> </w:instrText>
          </w:r>
          <w:r>
            <w:rPr>
              <w:color w:val="auto"/>
              <w:sz w:val="24"/>
              <w:szCs w:val="24"/>
            </w:rPr>
            <w:instrText xml:space="preserve">PAGEREF _Toc237556436 \h</w:instrText>
          </w:r>
          <w:r>
            <w:rPr>
              <w:rFonts w:hint="eastAsia"/>
              <w:color w:val="auto"/>
              <w:sz w:val="24"/>
              <w:szCs w:val="24"/>
            </w:rPr>
            <w:instrText xml:space="preserve"> </w:instrText>
          </w:r>
          <w:r>
            <w:rPr>
              <w:rFonts w:hint="eastAsia"/>
              <w:color w:val="auto"/>
              <w:sz w:val="24"/>
              <w:szCs w:val="24"/>
            </w:rPr>
            <w:fldChar w:fldCharType="separate"/>
          </w:r>
          <w:r>
            <w:rPr>
              <w:rFonts w:hint="eastAsia"/>
              <w:color w:val="auto"/>
              <w:sz w:val="24"/>
              <w:szCs w:val="24"/>
            </w:rPr>
            <w:t>1</w:t>
          </w:r>
          <w:r>
            <w:rPr>
              <w:rFonts w:hint="eastAsia"/>
              <w:color w:val="auto"/>
              <w:sz w:val="24"/>
              <w:szCs w:val="24"/>
            </w:rPr>
            <w:fldChar w:fldCharType="end"/>
          </w:r>
          <w:r>
            <w:rPr>
              <w:rFonts w:hint="eastAsia"/>
              <w:color w:val="auto"/>
              <w:sz w:val="24"/>
              <w:szCs w:val="24"/>
            </w:rPr>
            <w:fldChar w:fldCharType="end"/>
          </w:r>
        </w:p>
        <w:p>
          <w:pPr>
            <w:pStyle w:val="17"/>
            <w:tabs>
              <w:tab w:val="right" w:leader="dot" w:pos="9060"/>
            </w:tabs>
            <w:rPr>
              <w:rFonts w:hint="eastAsia"/>
              <w:color w:val="auto"/>
              <w:sz w:val="24"/>
              <w:szCs w:val="24"/>
              <w14:ligatures w14:val="standardContextual"/>
            </w:rPr>
          </w:pPr>
          <w:r>
            <w:rPr>
              <w:color w:val="auto"/>
            </w:rPr>
            <w:fldChar w:fldCharType="begin"/>
          </w:r>
          <w:r>
            <w:rPr>
              <w:color w:val="auto"/>
            </w:rPr>
            <w:instrText xml:space="preserve"> HYPERLINK \l "_Toc237556437" </w:instrText>
          </w:r>
          <w:r>
            <w:rPr>
              <w:color w:val="auto"/>
            </w:rPr>
            <w:fldChar w:fldCharType="separate"/>
          </w:r>
          <w:r>
            <w:rPr>
              <w:rStyle w:val="23"/>
              <w:rFonts w:ascii="宋体" w:hAnsi="宋体" w:eastAsia="宋体"/>
              <w:color w:val="auto"/>
              <w:sz w:val="24"/>
              <w:szCs w:val="24"/>
            </w:rPr>
            <w:t>1.诊断目的</w:t>
          </w:r>
          <w:r>
            <w:rPr>
              <w:rFonts w:hint="eastAsia"/>
              <w:color w:val="auto"/>
              <w:sz w:val="24"/>
              <w:szCs w:val="24"/>
            </w:rPr>
            <w:tab/>
          </w:r>
          <w:r>
            <w:rPr>
              <w:rFonts w:hint="eastAsia"/>
              <w:color w:val="auto"/>
              <w:sz w:val="24"/>
              <w:szCs w:val="24"/>
            </w:rPr>
            <w:fldChar w:fldCharType="begin"/>
          </w:r>
          <w:r>
            <w:rPr>
              <w:rFonts w:hint="eastAsia"/>
              <w:color w:val="auto"/>
              <w:sz w:val="24"/>
              <w:szCs w:val="24"/>
            </w:rPr>
            <w:instrText xml:space="preserve"> </w:instrText>
          </w:r>
          <w:r>
            <w:rPr>
              <w:color w:val="auto"/>
              <w:sz w:val="24"/>
              <w:szCs w:val="24"/>
            </w:rPr>
            <w:instrText xml:space="preserve">PAGEREF _Toc237556437 \h</w:instrText>
          </w:r>
          <w:r>
            <w:rPr>
              <w:rFonts w:hint="eastAsia"/>
              <w:color w:val="auto"/>
              <w:sz w:val="24"/>
              <w:szCs w:val="24"/>
            </w:rPr>
            <w:instrText xml:space="preserve"> </w:instrText>
          </w:r>
          <w:r>
            <w:rPr>
              <w:rFonts w:hint="eastAsia"/>
              <w:color w:val="auto"/>
              <w:sz w:val="24"/>
              <w:szCs w:val="24"/>
            </w:rPr>
            <w:fldChar w:fldCharType="separate"/>
          </w:r>
          <w:r>
            <w:rPr>
              <w:rFonts w:hint="eastAsia"/>
              <w:color w:val="auto"/>
              <w:sz w:val="24"/>
              <w:szCs w:val="24"/>
            </w:rPr>
            <w:t>1</w:t>
          </w:r>
          <w:r>
            <w:rPr>
              <w:rFonts w:hint="eastAsia"/>
              <w:color w:val="auto"/>
              <w:sz w:val="24"/>
              <w:szCs w:val="24"/>
            </w:rPr>
            <w:fldChar w:fldCharType="end"/>
          </w:r>
          <w:r>
            <w:rPr>
              <w:rFonts w:hint="eastAsia"/>
              <w:color w:val="auto"/>
              <w:sz w:val="24"/>
              <w:szCs w:val="24"/>
            </w:rPr>
            <w:fldChar w:fldCharType="end"/>
          </w:r>
        </w:p>
        <w:p>
          <w:pPr>
            <w:pStyle w:val="17"/>
            <w:tabs>
              <w:tab w:val="right" w:leader="dot" w:pos="9060"/>
            </w:tabs>
            <w:rPr>
              <w:rFonts w:hint="eastAsia"/>
              <w:color w:val="auto"/>
              <w:sz w:val="24"/>
              <w:szCs w:val="24"/>
              <w14:ligatures w14:val="standardContextual"/>
            </w:rPr>
          </w:pPr>
          <w:r>
            <w:rPr>
              <w:color w:val="auto"/>
            </w:rPr>
            <w:fldChar w:fldCharType="begin"/>
          </w:r>
          <w:r>
            <w:rPr>
              <w:color w:val="auto"/>
            </w:rPr>
            <w:instrText xml:space="preserve"> HYPERLINK \l "_Toc237556438" </w:instrText>
          </w:r>
          <w:r>
            <w:rPr>
              <w:color w:val="auto"/>
            </w:rPr>
            <w:fldChar w:fldCharType="separate"/>
          </w:r>
          <w:r>
            <w:rPr>
              <w:rStyle w:val="23"/>
              <w:rFonts w:ascii="宋体" w:hAnsi="宋体" w:eastAsia="宋体"/>
              <w:color w:val="auto"/>
              <w:sz w:val="24"/>
              <w:szCs w:val="24"/>
            </w:rPr>
            <w:t>2.诊断原则</w:t>
          </w:r>
          <w:r>
            <w:rPr>
              <w:rFonts w:hint="eastAsia"/>
              <w:color w:val="auto"/>
              <w:sz w:val="24"/>
              <w:szCs w:val="24"/>
            </w:rPr>
            <w:tab/>
          </w:r>
          <w:r>
            <w:rPr>
              <w:rFonts w:hint="eastAsia"/>
              <w:color w:val="auto"/>
              <w:sz w:val="24"/>
              <w:szCs w:val="24"/>
            </w:rPr>
            <w:fldChar w:fldCharType="begin"/>
          </w:r>
          <w:r>
            <w:rPr>
              <w:rFonts w:hint="eastAsia"/>
              <w:color w:val="auto"/>
              <w:sz w:val="24"/>
              <w:szCs w:val="24"/>
            </w:rPr>
            <w:instrText xml:space="preserve"> </w:instrText>
          </w:r>
          <w:r>
            <w:rPr>
              <w:color w:val="auto"/>
              <w:sz w:val="24"/>
              <w:szCs w:val="24"/>
            </w:rPr>
            <w:instrText xml:space="preserve">PAGEREF _Toc237556438 \h</w:instrText>
          </w:r>
          <w:r>
            <w:rPr>
              <w:rFonts w:hint="eastAsia"/>
              <w:color w:val="auto"/>
              <w:sz w:val="24"/>
              <w:szCs w:val="24"/>
            </w:rPr>
            <w:instrText xml:space="preserve"> </w:instrText>
          </w:r>
          <w:r>
            <w:rPr>
              <w:rFonts w:hint="eastAsia"/>
              <w:color w:val="auto"/>
              <w:sz w:val="24"/>
              <w:szCs w:val="24"/>
            </w:rPr>
            <w:fldChar w:fldCharType="separate"/>
          </w:r>
          <w:r>
            <w:rPr>
              <w:rFonts w:hint="eastAsia"/>
              <w:color w:val="auto"/>
              <w:sz w:val="24"/>
              <w:szCs w:val="24"/>
            </w:rPr>
            <w:t>1</w:t>
          </w:r>
          <w:r>
            <w:rPr>
              <w:rFonts w:hint="eastAsia"/>
              <w:color w:val="auto"/>
              <w:sz w:val="24"/>
              <w:szCs w:val="24"/>
            </w:rPr>
            <w:fldChar w:fldCharType="end"/>
          </w:r>
          <w:r>
            <w:rPr>
              <w:rFonts w:hint="eastAsia"/>
              <w:color w:val="auto"/>
              <w:sz w:val="24"/>
              <w:szCs w:val="24"/>
            </w:rPr>
            <w:fldChar w:fldCharType="end"/>
          </w:r>
        </w:p>
        <w:p>
          <w:pPr>
            <w:pStyle w:val="15"/>
            <w:tabs>
              <w:tab w:val="right" w:leader="dot" w:pos="9060"/>
            </w:tabs>
            <w:rPr>
              <w:rFonts w:hint="eastAsia"/>
              <w:color w:val="auto"/>
              <w:sz w:val="24"/>
              <w:szCs w:val="24"/>
              <w14:ligatures w14:val="standardContextual"/>
            </w:rPr>
          </w:pPr>
          <w:r>
            <w:rPr>
              <w:color w:val="auto"/>
            </w:rPr>
            <w:fldChar w:fldCharType="begin"/>
          </w:r>
          <w:r>
            <w:rPr>
              <w:color w:val="auto"/>
            </w:rPr>
            <w:instrText xml:space="preserve"> HYPERLINK \l "_Toc237556439" </w:instrText>
          </w:r>
          <w:r>
            <w:rPr>
              <w:color w:val="auto"/>
            </w:rPr>
            <w:fldChar w:fldCharType="separate"/>
          </w:r>
          <w:r>
            <w:rPr>
              <w:rStyle w:val="23"/>
              <w:rFonts w:ascii="黑体" w:hAnsi="黑体" w:eastAsia="黑体"/>
              <w:color w:val="auto"/>
              <w:sz w:val="24"/>
              <w:szCs w:val="24"/>
            </w:rPr>
            <w:t>二、诊断方式</w:t>
          </w:r>
          <w:r>
            <w:rPr>
              <w:rFonts w:hint="eastAsia"/>
              <w:color w:val="auto"/>
              <w:sz w:val="24"/>
              <w:szCs w:val="24"/>
            </w:rPr>
            <w:tab/>
          </w:r>
          <w:r>
            <w:rPr>
              <w:rFonts w:hint="eastAsia"/>
              <w:color w:val="auto"/>
              <w:sz w:val="24"/>
              <w:szCs w:val="24"/>
            </w:rPr>
            <w:fldChar w:fldCharType="begin"/>
          </w:r>
          <w:r>
            <w:rPr>
              <w:rFonts w:hint="eastAsia"/>
              <w:color w:val="auto"/>
              <w:sz w:val="24"/>
              <w:szCs w:val="24"/>
            </w:rPr>
            <w:instrText xml:space="preserve"> </w:instrText>
          </w:r>
          <w:r>
            <w:rPr>
              <w:color w:val="auto"/>
              <w:sz w:val="24"/>
              <w:szCs w:val="24"/>
            </w:rPr>
            <w:instrText xml:space="preserve">PAGEREF _Toc237556439 \h</w:instrText>
          </w:r>
          <w:r>
            <w:rPr>
              <w:rFonts w:hint="eastAsia"/>
              <w:color w:val="auto"/>
              <w:sz w:val="24"/>
              <w:szCs w:val="24"/>
            </w:rPr>
            <w:instrText xml:space="preserve"> </w:instrText>
          </w:r>
          <w:r>
            <w:rPr>
              <w:rFonts w:hint="eastAsia"/>
              <w:color w:val="auto"/>
              <w:sz w:val="24"/>
              <w:szCs w:val="24"/>
            </w:rPr>
            <w:fldChar w:fldCharType="separate"/>
          </w:r>
          <w:r>
            <w:rPr>
              <w:rFonts w:hint="eastAsia"/>
              <w:color w:val="auto"/>
              <w:sz w:val="24"/>
              <w:szCs w:val="24"/>
            </w:rPr>
            <w:t>2</w:t>
          </w:r>
          <w:r>
            <w:rPr>
              <w:rFonts w:hint="eastAsia"/>
              <w:color w:val="auto"/>
              <w:sz w:val="24"/>
              <w:szCs w:val="24"/>
            </w:rPr>
            <w:fldChar w:fldCharType="end"/>
          </w:r>
          <w:r>
            <w:rPr>
              <w:rFonts w:hint="eastAsia"/>
              <w:color w:val="auto"/>
              <w:sz w:val="24"/>
              <w:szCs w:val="24"/>
            </w:rPr>
            <w:fldChar w:fldCharType="end"/>
          </w:r>
        </w:p>
        <w:p>
          <w:pPr>
            <w:pStyle w:val="15"/>
            <w:tabs>
              <w:tab w:val="right" w:leader="dot" w:pos="9060"/>
            </w:tabs>
            <w:rPr>
              <w:rFonts w:hint="eastAsia"/>
              <w:color w:val="auto"/>
              <w:sz w:val="24"/>
              <w:szCs w:val="24"/>
              <w14:ligatures w14:val="standardContextual"/>
            </w:rPr>
          </w:pPr>
          <w:r>
            <w:rPr>
              <w:color w:val="auto"/>
            </w:rPr>
            <w:fldChar w:fldCharType="begin"/>
          </w:r>
          <w:r>
            <w:rPr>
              <w:color w:val="auto"/>
            </w:rPr>
            <w:instrText xml:space="preserve"> HYPERLINK \l "_Toc237556440" </w:instrText>
          </w:r>
          <w:r>
            <w:rPr>
              <w:color w:val="auto"/>
            </w:rPr>
            <w:fldChar w:fldCharType="separate"/>
          </w:r>
          <w:r>
            <w:rPr>
              <w:rStyle w:val="23"/>
              <w:rFonts w:ascii="黑体" w:hAnsi="黑体" w:eastAsia="黑体"/>
              <w:color w:val="auto"/>
              <w:sz w:val="24"/>
              <w:szCs w:val="24"/>
            </w:rPr>
            <w:t>三、诊断工作流程</w:t>
          </w:r>
          <w:r>
            <w:rPr>
              <w:rFonts w:hint="eastAsia"/>
              <w:color w:val="auto"/>
              <w:sz w:val="24"/>
              <w:szCs w:val="24"/>
            </w:rPr>
            <w:tab/>
          </w:r>
          <w:r>
            <w:rPr>
              <w:rFonts w:hint="eastAsia"/>
              <w:color w:val="auto"/>
              <w:sz w:val="24"/>
              <w:szCs w:val="24"/>
            </w:rPr>
            <w:fldChar w:fldCharType="begin"/>
          </w:r>
          <w:r>
            <w:rPr>
              <w:rFonts w:hint="eastAsia"/>
              <w:color w:val="auto"/>
              <w:sz w:val="24"/>
              <w:szCs w:val="24"/>
            </w:rPr>
            <w:instrText xml:space="preserve"> </w:instrText>
          </w:r>
          <w:r>
            <w:rPr>
              <w:color w:val="auto"/>
              <w:sz w:val="24"/>
              <w:szCs w:val="24"/>
            </w:rPr>
            <w:instrText xml:space="preserve">PAGEREF _Toc237556440 \h</w:instrText>
          </w:r>
          <w:r>
            <w:rPr>
              <w:rFonts w:hint="eastAsia"/>
              <w:color w:val="auto"/>
              <w:sz w:val="24"/>
              <w:szCs w:val="24"/>
            </w:rPr>
            <w:instrText xml:space="preserve"> </w:instrText>
          </w:r>
          <w:r>
            <w:rPr>
              <w:rFonts w:hint="eastAsia"/>
              <w:color w:val="auto"/>
              <w:sz w:val="24"/>
              <w:szCs w:val="24"/>
            </w:rPr>
            <w:fldChar w:fldCharType="separate"/>
          </w:r>
          <w:r>
            <w:rPr>
              <w:rFonts w:hint="eastAsia"/>
              <w:color w:val="auto"/>
              <w:sz w:val="24"/>
              <w:szCs w:val="24"/>
            </w:rPr>
            <w:t>2</w:t>
          </w:r>
          <w:r>
            <w:rPr>
              <w:rFonts w:hint="eastAsia"/>
              <w:color w:val="auto"/>
              <w:sz w:val="24"/>
              <w:szCs w:val="24"/>
            </w:rPr>
            <w:fldChar w:fldCharType="end"/>
          </w:r>
          <w:r>
            <w:rPr>
              <w:rFonts w:hint="eastAsia"/>
              <w:color w:val="auto"/>
              <w:sz w:val="24"/>
              <w:szCs w:val="24"/>
            </w:rPr>
            <w:fldChar w:fldCharType="end"/>
          </w:r>
        </w:p>
        <w:p>
          <w:pPr>
            <w:pStyle w:val="17"/>
            <w:tabs>
              <w:tab w:val="right" w:leader="dot" w:pos="9060"/>
            </w:tabs>
            <w:rPr>
              <w:rFonts w:hint="eastAsia"/>
              <w:color w:val="auto"/>
              <w:sz w:val="24"/>
              <w:szCs w:val="24"/>
              <w14:ligatures w14:val="standardContextual"/>
            </w:rPr>
          </w:pPr>
          <w:r>
            <w:rPr>
              <w:color w:val="auto"/>
            </w:rPr>
            <w:fldChar w:fldCharType="begin"/>
          </w:r>
          <w:r>
            <w:rPr>
              <w:color w:val="auto"/>
            </w:rPr>
            <w:instrText xml:space="preserve"> HYPERLINK \l "_Toc237556441" </w:instrText>
          </w:r>
          <w:r>
            <w:rPr>
              <w:color w:val="auto"/>
            </w:rPr>
            <w:fldChar w:fldCharType="separate"/>
          </w:r>
          <w:r>
            <w:rPr>
              <w:rStyle w:val="23"/>
              <w:rFonts w:ascii="宋体" w:hAnsi="宋体" w:eastAsia="宋体"/>
              <w:color w:val="auto"/>
              <w:sz w:val="24"/>
              <w:szCs w:val="24"/>
            </w:rPr>
            <w:t>1.前期准备</w:t>
          </w:r>
          <w:r>
            <w:rPr>
              <w:rFonts w:hint="eastAsia"/>
              <w:color w:val="auto"/>
              <w:sz w:val="24"/>
              <w:szCs w:val="24"/>
            </w:rPr>
            <w:tab/>
          </w:r>
          <w:r>
            <w:rPr>
              <w:rFonts w:hint="eastAsia"/>
              <w:color w:val="auto"/>
              <w:sz w:val="24"/>
              <w:szCs w:val="24"/>
            </w:rPr>
            <w:fldChar w:fldCharType="begin"/>
          </w:r>
          <w:r>
            <w:rPr>
              <w:rFonts w:hint="eastAsia"/>
              <w:color w:val="auto"/>
              <w:sz w:val="24"/>
              <w:szCs w:val="24"/>
            </w:rPr>
            <w:instrText xml:space="preserve"> </w:instrText>
          </w:r>
          <w:r>
            <w:rPr>
              <w:color w:val="auto"/>
              <w:sz w:val="24"/>
              <w:szCs w:val="24"/>
            </w:rPr>
            <w:instrText xml:space="preserve">PAGEREF _Toc237556441 \h</w:instrText>
          </w:r>
          <w:r>
            <w:rPr>
              <w:rFonts w:hint="eastAsia"/>
              <w:color w:val="auto"/>
              <w:sz w:val="24"/>
              <w:szCs w:val="24"/>
            </w:rPr>
            <w:instrText xml:space="preserve"> </w:instrText>
          </w:r>
          <w:r>
            <w:rPr>
              <w:rFonts w:hint="eastAsia"/>
              <w:color w:val="auto"/>
              <w:sz w:val="24"/>
              <w:szCs w:val="24"/>
            </w:rPr>
            <w:fldChar w:fldCharType="separate"/>
          </w:r>
          <w:r>
            <w:rPr>
              <w:rFonts w:hint="eastAsia"/>
              <w:color w:val="auto"/>
              <w:sz w:val="24"/>
              <w:szCs w:val="24"/>
            </w:rPr>
            <w:t>2</w:t>
          </w:r>
          <w:r>
            <w:rPr>
              <w:rFonts w:hint="eastAsia"/>
              <w:color w:val="auto"/>
              <w:sz w:val="24"/>
              <w:szCs w:val="24"/>
            </w:rPr>
            <w:fldChar w:fldCharType="end"/>
          </w:r>
          <w:r>
            <w:rPr>
              <w:rFonts w:hint="eastAsia"/>
              <w:color w:val="auto"/>
              <w:sz w:val="24"/>
              <w:szCs w:val="24"/>
            </w:rPr>
            <w:fldChar w:fldCharType="end"/>
          </w:r>
        </w:p>
        <w:p>
          <w:pPr>
            <w:pStyle w:val="17"/>
            <w:tabs>
              <w:tab w:val="right" w:leader="dot" w:pos="9060"/>
            </w:tabs>
            <w:rPr>
              <w:rFonts w:hint="eastAsia"/>
              <w:color w:val="auto"/>
              <w:sz w:val="24"/>
              <w:szCs w:val="24"/>
              <w14:ligatures w14:val="standardContextual"/>
            </w:rPr>
          </w:pPr>
          <w:r>
            <w:rPr>
              <w:color w:val="auto"/>
            </w:rPr>
            <w:fldChar w:fldCharType="begin"/>
          </w:r>
          <w:r>
            <w:rPr>
              <w:color w:val="auto"/>
            </w:rPr>
            <w:instrText xml:space="preserve"> HYPERLINK \l "_Toc237556442" </w:instrText>
          </w:r>
          <w:r>
            <w:rPr>
              <w:color w:val="auto"/>
            </w:rPr>
            <w:fldChar w:fldCharType="separate"/>
          </w:r>
          <w:r>
            <w:rPr>
              <w:rStyle w:val="23"/>
              <w:rFonts w:ascii="宋体" w:hAnsi="宋体" w:eastAsia="宋体"/>
              <w:color w:val="auto"/>
              <w:sz w:val="24"/>
              <w:szCs w:val="24"/>
            </w:rPr>
            <w:t>2.现场诊断检查</w:t>
          </w:r>
          <w:r>
            <w:rPr>
              <w:rFonts w:hint="eastAsia"/>
              <w:color w:val="auto"/>
              <w:sz w:val="24"/>
              <w:szCs w:val="24"/>
            </w:rPr>
            <w:tab/>
          </w:r>
          <w:r>
            <w:rPr>
              <w:rFonts w:hint="eastAsia"/>
              <w:color w:val="auto"/>
              <w:sz w:val="24"/>
              <w:szCs w:val="24"/>
            </w:rPr>
            <w:fldChar w:fldCharType="begin"/>
          </w:r>
          <w:r>
            <w:rPr>
              <w:rFonts w:hint="eastAsia"/>
              <w:color w:val="auto"/>
              <w:sz w:val="24"/>
              <w:szCs w:val="24"/>
            </w:rPr>
            <w:instrText xml:space="preserve"> </w:instrText>
          </w:r>
          <w:r>
            <w:rPr>
              <w:color w:val="auto"/>
              <w:sz w:val="24"/>
              <w:szCs w:val="24"/>
            </w:rPr>
            <w:instrText xml:space="preserve">PAGEREF _Toc237556442 \h</w:instrText>
          </w:r>
          <w:r>
            <w:rPr>
              <w:rFonts w:hint="eastAsia"/>
              <w:color w:val="auto"/>
              <w:sz w:val="24"/>
              <w:szCs w:val="24"/>
            </w:rPr>
            <w:instrText xml:space="preserve"> </w:instrText>
          </w:r>
          <w:r>
            <w:rPr>
              <w:rFonts w:hint="eastAsia"/>
              <w:color w:val="auto"/>
              <w:sz w:val="24"/>
              <w:szCs w:val="24"/>
            </w:rPr>
            <w:fldChar w:fldCharType="separate"/>
          </w:r>
          <w:r>
            <w:rPr>
              <w:rFonts w:hint="eastAsia"/>
              <w:color w:val="auto"/>
              <w:sz w:val="24"/>
              <w:szCs w:val="24"/>
            </w:rPr>
            <w:t>3</w:t>
          </w:r>
          <w:r>
            <w:rPr>
              <w:rFonts w:hint="eastAsia"/>
              <w:color w:val="auto"/>
              <w:sz w:val="24"/>
              <w:szCs w:val="24"/>
            </w:rPr>
            <w:fldChar w:fldCharType="end"/>
          </w:r>
          <w:r>
            <w:rPr>
              <w:rFonts w:hint="eastAsia"/>
              <w:color w:val="auto"/>
              <w:sz w:val="24"/>
              <w:szCs w:val="24"/>
            </w:rPr>
            <w:fldChar w:fldCharType="end"/>
          </w:r>
        </w:p>
        <w:p>
          <w:pPr>
            <w:pStyle w:val="17"/>
            <w:tabs>
              <w:tab w:val="right" w:leader="dot" w:pos="9060"/>
            </w:tabs>
            <w:rPr>
              <w:rFonts w:hint="eastAsia"/>
              <w:color w:val="auto"/>
              <w:sz w:val="24"/>
              <w:szCs w:val="24"/>
              <w14:ligatures w14:val="standardContextual"/>
            </w:rPr>
          </w:pPr>
          <w:r>
            <w:rPr>
              <w:color w:val="auto"/>
            </w:rPr>
            <w:fldChar w:fldCharType="begin"/>
          </w:r>
          <w:r>
            <w:rPr>
              <w:color w:val="auto"/>
            </w:rPr>
            <w:instrText xml:space="preserve"> HYPERLINK \l "_Toc237556443" </w:instrText>
          </w:r>
          <w:r>
            <w:rPr>
              <w:color w:val="auto"/>
            </w:rPr>
            <w:fldChar w:fldCharType="separate"/>
          </w:r>
          <w:r>
            <w:rPr>
              <w:rStyle w:val="23"/>
              <w:rFonts w:ascii="宋体" w:hAnsi="宋体" w:eastAsia="宋体"/>
              <w:color w:val="auto"/>
              <w:sz w:val="24"/>
              <w:szCs w:val="24"/>
            </w:rPr>
            <w:t>3.资料整理和诊断成果编制</w:t>
          </w:r>
          <w:r>
            <w:rPr>
              <w:rFonts w:hint="eastAsia"/>
              <w:color w:val="auto"/>
              <w:sz w:val="24"/>
              <w:szCs w:val="24"/>
            </w:rPr>
            <w:tab/>
          </w:r>
          <w:r>
            <w:rPr>
              <w:rFonts w:hint="eastAsia"/>
              <w:color w:val="auto"/>
              <w:sz w:val="24"/>
              <w:szCs w:val="24"/>
            </w:rPr>
            <w:fldChar w:fldCharType="begin"/>
          </w:r>
          <w:r>
            <w:rPr>
              <w:rFonts w:hint="eastAsia"/>
              <w:color w:val="auto"/>
              <w:sz w:val="24"/>
              <w:szCs w:val="24"/>
            </w:rPr>
            <w:instrText xml:space="preserve"> </w:instrText>
          </w:r>
          <w:r>
            <w:rPr>
              <w:color w:val="auto"/>
              <w:sz w:val="24"/>
              <w:szCs w:val="24"/>
            </w:rPr>
            <w:instrText xml:space="preserve">PAGEREF _Toc237556443 \h</w:instrText>
          </w:r>
          <w:r>
            <w:rPr>
              <w:rFonts w:hint="eastAsia"/>
              <w:color w:val="auto"/>
              <w:sz w:val="24"/>
              <w:szCs w:val="24"/>
            </w:rPr>
            <w:instrText xml:space="preserve"> </w:instrText>
          </w:r>
          <w:r>
            <w:rPr>
              <w:rFonts w:hint="eastAsia"/>
              <w:color w:val="auto"/>
              <w:sz w:val="24"/>
              <w:szCs w:val="24"/>
            </w:rPr>
            <w:fldChar w:fldCharType="separate"/>
          </w:r>
          <w:r>
            <w:rPr>
              <w:rFonts w:hint="eastAsia"/>
              <w:color w:val="auto"/>
              <w:sz w:val="24"/>
              <w:szCs w:val="24"/>
            </w:rPr>
            <w:t>6</w:t>
          </w:r>
          <w:r>
            <w:rPr>
              <w:rFonts w:hint="eastAsia"/>
              <w:color w:val="auto"/>
              <w:sz w:val="24"/>
              <w:szCs w:val="24"/>
            </w:rPr>
            <w:fldChar w:fldCharType="end"/>
          </w:r>
          <w:r>
            <w:rPr>
              <w:rFonts w:hint="eastAsia"/>
              <w:color w:val="auto"/>
              <w:sz w:val="24"/>
              <w:szCs w:val="24"/>
            </w:rPr>
            <w:fldChar w:fldCharType="end"/>
          </w:r>
        </w:p>
        <w:p>
          <w:pPr>
            <w:pStyle w:val="17"/>
            <w:tabs>
              <w:tab w:val="right" w:leader="dot" w:pos="9060"/>
            </w:tabs>
            <w:rPr>
              <w:rFonts w:hint="eastAsia"/>
              <w:color w:val="auto"/>
              <w:sz w:val="24"/>
              <w:szCs w:val="24"/>
              <w14:ligatures w14:val="standardContextual"/>
            </w:rPr>
          </w:pPr>
          <w:r>
            <w:rPr>
              <w:color w:val="auto"/>
            </w:rPr>
            <w:fldChar w:fldCharType="begin"/>
          </w:r>
          <w:r>
            <w:rPr>
              <w:color w:val="auto"/>
            </w:rPr>
            <w:instrText xml:space="preserve"> HYPERLINK \l "_Toc237556444" </w:instrText>
          </w:r>
          <w:r>
            <w:rPr>
              <w:color w:val="auto"/>
            </w:rPr>
            <w:fldChar w:fldCharType="separate"/>
          </w:r>
          <w:r>
            <w:rPr>
              <w:rStyle w:val="23"/>
              <w:rFonts w:ascii="宋体" w:hAnsi="宋体" w:eastAsia="宋体"/>
              <w:color w:val="auto"/>
              <w:sz w:val="24"/>
              <w:szCs w:val="24"/>
            </w:rPr>
            <w:t>4.安全诊断分级综合评分体系</w:t>
          </w:r>
          <w:r>
            <w:rPr>
              <w:rFonts w:hint="eastAsia"/>
              <w:color w:val="auto"/>
              <w:sz w:val="24"/>
              <w:szCs w:val="24"/>
            </w:rPr>
            <w:tab/>
          </w:r>
          <w:r>
            <w:rPr>
              <w:rFonts w:hint="eastAsia"/>
              <w:color w:val="auto"/>
              <w:sz w:val="24"/>
              <w:szCs w:val="24"/>
            </w:rPr>
            <w:fldChar w:fldCharType="begin"/>
          </w:r>
          <w:r>
            <w:rPr>
              <w:rFonts w:hint="eastAsia"/>
              <w:color w:val="auto"/>
              <w:sz w:val="24"/>
              <w:szCs w:val="24"/>
            </w:rPr>
            <w:instrText xml:space="preserve"> </w:instrText>
          </w:r>
          <w:r>
            <w:rPr>
              <w:color w:val="auto"/>
              <w:sz w:val="24"/>
              <w:szCs w:val="24"/>
            </w:rPr>
            <w:instrText xml:space="preserve">PAGEREF _Toc237556444 \h</w:instrText>
          </w:r>
          <w:r>
            <w:rPr>
              <w:rFonts w:hint="eastAsia"/>
              <w:color w:val="auto"/>
              <w:sz w:val="24"/>
              <w:szCs w:val="24"/>
            </w:rPr>
            <w:instrText xml:space="preserve"> </w:instrText>
          </w:r>
          <w:r>
            <w:rPr>
              <w:rFonts w:hint="eastAsia"/>
              <w:color w:val="auto"/>
              <w:sz w:val="24"/>
              <w:szCs w:val="24"/>
            </w:rPr>
            <w:fldChar w:fldCharType="separate"/>
          </w:r>
          <w:r>
            <w:rPr>
              <w:rFonts w:hint="eastAsia"/>
              <w:color w:val="auto"/>
              <w:sz w:val="24"/>
              <w:szCs w:val="24"/>
            </w:rPr>
            <w:t>7</w:t>
          </w:r>
          <w:r>
            <w:rPr>
              <w:rFonts w:hint="eastAsia"/>
              <w:color w:val="auto"/>
              <w:sz w:val="24"/>
              <w:szCs w:val="24"/>
            </w:rPr>
            <w:fldChar w:fldCharType="end"/>
          </w:r>
          <w:r>
            <w:rPr>
              <w:rFonts w:hint="eastAsia"/>
              <w:color w:val="auto"/>
              <w:sz w:val="24"/>
              <w:szCs w:val="24"/>
            </w:rPr>
            <w:fldChar w:fldCharType="end"/>
          </w:r>
        </w:p>
        <w:p>
          <w:pPr>
            <w:pStyle w:val="15"/>
            <w:tabs>
              <w:tab w:val="right" w:leader="dot" w:pos="9060"/>
            </w:tabs>
            <w:rPr>
              <w:rFonts w:hint="eastAsia"/>
              <w:color w:val="auto"/>
              <w:sz w:val="24"/>
              <w:szCs w:val="24"/>
              <w14:ligatures w14:val="standardContextual"/>
            </w:rPr>
          </w:pPr>
          <w:r>
            <w:rPr>
              <w:color w:val="auto"/>
            </w:rPr>
            <w:fldChar w:fldCharType="begin"/>
          </w:r>
          <w:r>
            <w:rPr>
              <w:color w:val="auto"/>
            </w:rPr>
            <w:instrText xml:space="preserve"> HYPERLINK \l "_Toc237556445" </w:instrText>
          </w:r>
          <w:r>
            <w:rPr>
              <w:color w:val="auto"/>
            </w:rPr>
            <w:fldChar w:fldCharType="separate"/>
          </w:r>
          <w:r>
            <w:rPr>
              <w:rStyle w:val="23"/>
              <w:rFonts w:ascii="黑体" w:hAnsi="黑体" w:eastAsia="黑体"/>
              <w:color w:val="auto"/>
              <w:sz w:val="24"/>
              <w:szCs w:val="24"/>
            </w:rPr>
            <w:t>四、诊断专业检查内容</w:t>
          </w:r>
          <w:r>
            <w:rPr>
              <w:rFonts w:hint="eastAsia"/>
              <w:color w:val="auto"/>
              <w:sz w:val="24"/>
              <w:szCs w:val="24"/>
            </w:rPr>
            <w:tab/>
          </w:r>
          <w:r>
            <w:rPr>
              <w:rFonts w:hint="eastAsia"/>
              <w:color w:val="auto"/>
              <w:sz w:val="24"/>
              <w:szCs w:val="24"/>
            </w:rPr>
            <w:fldChar w:fldCharType="begin"/>
          </w:r>
          <w:r>
            <w:rPr>
              <w:rFonts w:hint="eastAsia"/>
              <w:color w:val="auto"/>
              <w:sz w:val="24"/>
              <w:szCs w:val="24"/>
            </w:rPr>
            <w:instrText xml:space="preserve"> </w:instrText>
          </w:r>
          <w:r>
            <w:rPr>
              <w:color w:val="auto"/>
              <w:sz w:val="24"/>
              <w:szCs w:val="24"/>
            </w:rPr>
            <w:instrText xml:space="preserve">PAGEREF _Toc237556445 \h</w:instrText>
          </w:r>
          <w:r>
            <w:rPr>
              <w:rFonts w:hint="eastAsia"/>
              <w:color w:val="auto"/>
              <w:sz w:val="24"/>
              <w:szCs w:val="24"/>
            </w:rPr>
            <w:instrText xml:space="preserve"> </w:instrText>
          </w:r>
          <w:r>
            <w:rPr>
              <w:rFonts w:hint="eastAsia"/>
              <w:color w:val="auto"/>
              <w:sz w:val="24"/>
              <w:szCs w:val="24"/>
            </w:rPr>
            <w:fldChar w:fldCharType="separate"/>
          </w:r>
          <w:r>
            <w:rPr>
              <w:rFonts w:hint="eastAsia"/>
              <w:color w:val="auto"/>
              <w:sz w:val="24"/>
              <w:szCs w:val="24"/>
            </w:rPr>
            <w:t>8</w:t>
          </w:r>
          <w:r>
            <w:rPr>
              <w:rFonts w:hint="eastAsia"/>
              <w:color w:val="auto"/>
              <w:sz w:val="24"/>
              <w:szCs w:val="24"/>
            </w:rPr>
            <w:fldChar w:fldCharType="end"/>
          </w:r>
          <w:r>
            <w:rPr>
              <w:rFonts w:hint="eastAsia"/>
              <w:color w:val="auto"/>
              <w:sz w:val="24"/>
              <w:szCs w:val="24"/>
            </w:rPr>
            <w:fldChar w:fldCharType="end"/>
          </w:r>
        </w:p>
        <w:p>
          <w:pPr>
            <w:pStyle w:val="17"/>
            <w:tabs>
              <w:tab w:val="right" w:leader="dot" w:pos="9060"/>
            </w:tabs>
            <w:rPr>
              <w:rFonts w:hint="eastAsia"/>
              <w:color w:val="auto"/>
              <w:sz w:val="24"/>
              <w:szCs w:val="24"/>
              <w14:ligatures w14:val="standardContextual"/>
            </w:rPr>
          </w:pPr>
          <w:r>
            <w:rPr>
              <w:color w:val="auto"/>
            </w:rPr>
            <w:fldChar w:fldCharType="begin"/>
          </w:r>
          <w:r>
            <w:rPr>
              <w:color w:val="auto"/>
            </w:rPr>
            <w:instrText xml:space="preserve"> HYPERLINK \l "_Toc237556446" </w:instrText>
          </w:r>
          <w:r>
            <w:rPr>
              <w:color w:val="auto"/>
            </w:rPr>
            <w:fldChar w:fldCharType="separate"/>
          </w:r>
          <w:r>
            <w:rPr>
              <w:rStyle w:val="23"/>
              <w:rFonts w:ascii="宋体" w:hAnsi="宋体" w:eastAsia="宋体"/>
              <w:color w:val="auto"/>
              <w:sz w:val="24"/>
              <w:szCs w:val="24"/>
            </w:rPr>
            <w:t>（一）设计与总图安全诊断专业检查表编制依据及基本内容</w:t>
          </w:r>
          <w:r>
            <w:rPr>
              <w:rFonts w:hint="eastAsia"/>
              <w:color w:val="auto"/>
              <w:sz w:val="24"/>
              <w:szCs w:val="24"/>
            </w:rPr>
            <w:tab/>
          </w:r>
          <w:r>
            <w:rPr>
              <w:rFonts w:hint="eastAsia"/>
              <w:color w:val="auto"/>
              <w:sz w:val="24"/>
              <w:szCs w:val="24"/>
            </w:rPr>
            <w:fldChar w:fldCharType="begin"/>
          </w:r>
          <w:r>
            <w:rPr>
              <w:rFonts w:hint="eastAsia"/>
              <w:color w:val="auto"/>
              <w:sz w:val="24"/>
              <w:szCs w:val="24"/>
            </w:rPr>
            <w:instrText xml:space="preserve"> </w:instrText>
          </w:r>
          <w:r>
            <w:rPr>
              <w:color w:val="auto"/>
              <w:sz w:val="24"/>
              <w:szCs w:val="24"/>
            </w:rPr>
            <w:instrText xml:space="preserve">PAGEREF _Toc237556446 \h</w:instrText>
          </w:r>
          <w:r>
            <w:rPr>
              <w:rFonts w:hint="eastAsia"/>
              <w:color w:val="auto"/>
              <w:sz w:val="24"/>
              <w:szCs w:val="24"/>
            </w:rPr>
            <w:instrText xml:space="preserve"> </w:instrText>
          </w:r>
          <w:r>
            <w:rPr>
              <w:rFonts w:hint="eastAsia"/>
              <w:color w:val="auto"/>
              <w:sz w:val="24"/>
              <w:szCs w:val="24"/>
            </w:rPr>
            <w:fldChar w:fldCharType="separate"/>
          </w:r>
          <w:r>
            <w:rPr>
              <w:rFonts w:hint="eastAsia"/>
              <w:color w:val="auto"/>
              <w:sz w:val="24"/>
              <w:szCs w:val="24"/>
            </w:rPr>
            <w:t>8</w:t>
          </w:r>
          <w:r>
            <w:rPr>
              <w:rFonts w:hint="eastAsia"/>
              <w:color w:val="auto"/>
              <w:sz w:val="24"/>
              <w:szCs w:val="24"/>
            </w:rPr>
            <w:fldChar w:fldCharType="end"/>
          </w:r>
          <w:r>
            <w:rPr>
              <w:rFonts w:hint="eastAsia"/>
              <w:color w:val="auto"/>
              <w:sz w:val="24"/>
              <w:szCs w:val="24"/>
            </w:rPr>
            <w:fldChar w:fldCharType="end"/>
          </w:r>
        </w:p>
        <w:p>
          <w:pPr>
            <w:pStyle w:val="17"/>
            <w:tabs>
              <w:tab w:val="right" w:leader="dot" w:pos="9060"/>
            </w:tabs>
            <w:rPr>
              <w:rFonts w:hint="eastAsia"/>
              <w:color w:val="auto"/>
              <w:sz w:val="24"/>
              <w:szCs w:val="24"/>
              <w14:ligatures w14:val="standardContextual"/>
            </w:rPr>
          </w:pPr>
          <w:r>
            <w:rPr>
              <w:color w:val="auto"/>
            </w:rPr>
            <w:fldChar w:fldCharType="begin"/>
          </w:r>
          <w:r>
            <w:rPr>
              <w:color w:val="auto"/>
            </w:rPr>
            <w:instrText xml:space="preserve"> HYPERLINK \l "_Toc237556447" </w:instrText>
          </w:r>
          <w:r>
            <w:rPr>
              <w:color w:val="auto"/>
            </w:rPr>
            <w:fldChar w:fldCharType="separate"/>
          </w:r>
          <w:r>
            <w:rPr>
              <w:rStyle w:val="23"/>
              <w:rFonts w:ascii="宋体" w:hAnsi="宋体" w:eastAsia="宋体"/>
              <w:color w:val="auto"/>
              <w:sz w:val="24"/>
              <w:szCs w:val="24"/>
            </w:rPr>
            <w:t>（二）工艺（装置运行）安全诊断专业检查表编制依据及基本内容</w:t>
          </w:r>
          <w:r>
            <w:rPr>
              <w:rFonts w:hint="eastAsia"/>
              <w:color w:val="auto"/>
              <w:sz w:val="24"/>
              <w:szCs w:val="24"/>
            </w:rPr>
            <w:tab/>
          </w:r>
          <w:r>
            <w:rPr>
              <w:rFonts w:hint="eastAsia"/>
              <w:color w:val="auto"/>
              <w:sz w:val="24"/>
              <w:szCs w:val="24"/>
            </w:rPr>
            <w:fldChar w:fldCharType="begin"/>
          </w:r>
          <w:r>
            <w:rPr>
              <w:rFonts w:hint="eastAsia"/>
              <w:color w:val="auto"/>
              <w:sz w:val="24"/>
              <w:szCs w:val="24"/>
            </w:rPr>
            <w:instrText xml:space="preserve"> </w:instrText>
          </w:r>
          <w:r>
            <w:rPr>
              <w:color w:val="auto"/>
              <w:sz w:val="24"/>
              <w:szCs w:val="24"/>
            </w:rPr>
            <w:instrText xml:space="preserve">PAGEREF _Toc237556447 \h</w:instrText>
          </w:r>
          <w:r>
            <w:rPr>
              <w:rFonts w:hint="eastAsia"/>
              <w:color w:val="auto"/>
              <w:sz w:val="24"/>
              <w:szCs w:val="24"/>
            </w:rPr>
            <w:instrText xml:space="preserve"> </w:instrText>
          </w:r>
          <w:r>
            <w:rPr>
              <w:rFonts w:hint="eastAsia"/>
              <w:color w:val="auto"/>
              <w:sz w:val="24"/>
              <w:szCs w:val="24"/>
            </w:rPr>
            <w:fldChar w:fldCharType="separate"/>
          </w:r>
          <w:r>
            <w:rPr>
              <w:rFonts w:hint="eastAsia"/>
              <w:color w:val="auto"/>
              <w:sz w:val="24"/>
              <w:szCs w:val="24"/>
            </w:rPr>
            <w:t>10</w:t>
          </w:r>
          <w:r>
            <w:rPr>
              <w:rFonts w:hint="eastAsia"/>
              <w:color w:val="auto"/>
              <w:sz w:val="24"/>
              <w:szCs w:val="24"/>
            </w:rPr>
            <w:fldChar w:fldCharType="end"/>
          </w:r>
          <w:r>
            <w:rPr>
              <w:rFonts w:hint="eastAsia"/>
              <w:color w:val="auto"/>
              <w:sz w:val="24"/>
              <w:szCs w:val="24"/>
            </w:rPr>
            <w:fldChar w:fldCharType="end"/>
          </w:r>
        </w:p>
        <w:p>
          <w:pPr>
            <w:pStyle w:val="17"/>
            <w:tabs>
              <w:tab w:val="right" w:leader="dot" w:pos="9060"/>
            </w:tabs>
            <w:rPr>
              <w:rFonts w:hint="eastAsia"/>
              <w:color w:val="auto"/>
              <w:sz w:val="24"/>
              <w:szCs w:val="24"/>
              <w14:ligatures w14:val="standardContextual"/>
            </w:rPr>
          </w:pPr>
          <w:r>
            <w:rPr>
              <w:color w:val="auto"/>
            </w:rPr>
            <w:fldChar w:fldCharType="begin"/>
          </w:r>
          <w:r>
            <w:rPr>
              <w:color w:val="auto"/>
            </w:rPr>
            <w:instrText xml:space="preserve"> HYPERLINK \l "_Toc237556448" </w:instrText>
          </w:r>
          <w:r>
            <w:rPr>
              <w:color w:val="auto"/>
            </w:rPr>
            <w:fldChar w:fldCharType="separate"/>
          </w:r>
          <w:r>
            <w:rPr>
              <w:rStyle w:val="23"/>
              <w:rFonts w:ascii="宋体" w:hAnsi="宋体" w:eastAsia="宋体"/>
              <w:color w:val="auto"/>
              <w:sz w:val="24"/>
              <w:szCs w:val="24"/>
            </w:rPr>
            <w:t>（三）设备安全诊断专业检查表编制依据及基本内容</w:t>
          </w:r>
          <w:r>
            <w:rPr>
              <w:rFonts w:hint="eastAsia"/>
              <w:color w:val="auto"/>
              <w:sz w:val="24"/>
              <w:szCs w:val="24"/>
            </w:rPr>
            <w:tab/>
          </w:r>
          <w:r>
            <w:rPr>
              <w:rFonts w:hint="eastAsia"/>
              <w:color w:val="auto"/>
              <w:sz w:val="24"/>
              <w:szCs w:val="24"/>
            </w:rPr>
            <w:fldChar w:fldCharType="begin"/>
          </w:r>
          <w:r>
            <w:rPr>
              <w:rFonts w:hint="eastAsia"/>
              <w:color w:val="auto"/>
              <w:sz w:val="24"/>
              <w:szCs w:val="24"/>
            </w:rPr>
            <w:instrText xml:space="preserve"> </w:instrText>
          </w:r>
          <w:r>
            <w:rPr>
              <w:color w:val="auto"/>
              <w:sz w:val="24"/>
              <w:szCs w:val="24"/>
            </w:rPr>
            <w:instrText xml:space="preserve">PAGEREF _Toc237556448 \h</w:instrText>
          </w:r>
          <w:r>
            <w:rPr>
              <w:rFonts w:hint="eastAsia"/>
              <w:color w:val="auto"/>
              <w:sz w:val="24"/>
              <w:szCs w:val="24"/>
            </w:rPr>
            <w:instrText xml:space="preserve"> </w:instrText>
          </w:r>
          <w:r>
            <w:rPr>
              <w:rFonts w:hint="eastAsia"/>
              <w:color w:val="auto"/>
              <w:sz w:val="24"/>
              <w:szCs w:val="24"/>
            </w:rPr>
            <w:fldChar w:fldCharType="separate"/>
          </w:r>
          <w:r>
            <w:rPr>
              <w:rFonts w:hint="eastAsia"/>
              <w:color w:val="auto"/>
              <w:sz w:val="24"/>
              <w:szCs w:val="24"/>
            </w:rPr>
            <w:t>11</w:t>
          </w:r>
          <w:r>
            <w:rPr>
              <w:rFonts w:hint="eastAsia"/>
              <w:color w:val="auto"/>
              <w:sz w:val="24"/>
              <w:szCs w:val="24"/>
            </w:rPr>
            <w:fldChar w:fldCharType="end"/>
          </w:r>
          <w:r>
            <w:rPr>
              <w:rFonts w:hint="eastAsia"/>
              <w:color w:val="auto"/>
              <w:sz w:val="24"/>
              <w:szCs w:val="24"/>
            </w:rPr>
            <w:fldChar w:fldCharType="end"/>
          </w:r>
        </w:p>
        <w:p>
          <w:pPr>
            <w:pStyle w:val="17"/>
            <w:tabs>
              <w:tab w:val="right" w:leader="dot" w:pos="9060"/>
            </w:tabs>
            <w:rPr>
              <w:rFonts w:hint="eastAsia"/>
              <w:color w:val="auto"/>
              <w:sz w:val="24"/>
              <w:szCs w:val="24"/>
              <w14:ligatures w14:val="standardContextual"/>
            </w:rPr>
          </w:pPr>
          <w:r>
            <w:rPr>
              <w:color w:val="auto"/>
            </w:rPr>
            <w:fldChar w:fldCharType="begin"/>
          </w:r>
          <w:r>
            <w:rPr>
              <w:color w:val="auto"/>
            </w:rPr>
            <w:instrText xml:space="preserve"> HYPERLINK \l "_Toc237556449" </w:instrText>
          </w:r>
          <w:r>
            <w:rPr>
              <w:color w:val="auto"/>
            </w:rPr>
            <w:fldChar w:fldCharType="separate"/>
          </w:r>
          <w:r>
            <w:rPr>
              <w:rStyle w:val="23"/>
              <w:rFonts w:ascii="宋体" w:hAnsi="宋体" w:eastAsia="宋体"/>
              <w:color w:val="auto"/>
              <w:sz w:val="24"/>
              <w:szCs w:val="24"/>
            </w:rPr>
            <w:t>（四）电仪安全诊断专业检查表编制依据及基本内容</w:t>
          </w:r>
          <w:r>
            <w:rPr>
              <w:rFonts w:hint="eastAsia"/>
              <w:color w:val="auto"/>
              <w:sz w:val="24"/>
              <w:szCs w:val="24"/>
            </w:rPr>
            <w:tab/>
          </w:r>
          <w:r>
            <w:rPr>
              <w:rFonts w:hint="eastAsia"/>
              <w:color w:val="auto"/>
              <w:sz w:val="24"/>
              <w:szCs w:val="24"/>
            </w:rPr>
            <w:fldChar w:fldCharType="begin"/>
          </w:r>
          <w:r>
            <w:rPr>
              <w:rFonts w:hint="eastAsia"/>
              <w:color w:val="auto"/>
              <w:sz w:val="24"/>
              <w:szCs w:val="24"/>
            </w:rPr>
            <w:instrText xml:space="preserve"> </w:instrText>
          </w:r>
          <w:r>
            <w:rPr>
              <w:color w:val="auto"/>
              <w:sz w:val="24"/>
              <w:szCs w:val="24"/>
            </w:rPr>
            <w:instrText xml:space="preserve">PAGEREF _Toc237556449 \h</w:instrText>
          </w:r>
          <w:r>
            <w:rPr>
              <w:rFonts w:hint="eastAsia"/>
              <w:color w:val="auto"/>
              <w:sz w:val="24"/>
              <w:szCs w:val="24"/>
            </w:rPr>
            <w:instrText xml:space="preserve"> </w:instrText>
          </w:r>
          <w:r>
            <w:rPr>
              <w:rFonts w:hint="eastAsia"/>
              <w:color w:val="auto"/>
              <w:sz w:val="24"/>
              <w:szCs w:val="24"/>
            </w:rPr>
            <w:fldChar w:fldCharType="separate"/>
          </w:r>
          <w:r>
            <w:rPr>
              <w:rFonts w:hint="eastAsia"/>
              <w:color w:val="auto"/>
              <w:sz w:val="24"/>
              <w:szCs w:val="24"/>
            </w:rPr>
            <w:t>12</w:t>
          </w:r>
          <w:r>
            <w:rPr>
              <w:rFonts w:hint="eastAsia"/>
              <w:color w:val="auto"/>
              <w:sz w:val="24"/>
              <w:szCs w:val="24"/>
            </w:rPr>
            <w:fldChar w:fldCharType="end"/>
          </w:r>
          <w:r>
            <w:rPr>
              <w:rFonts w:hint="eastAsia"/>
              <w:color w:val="auto"/>
              <w:sz w:val="24"/>
              <w:szCs w:val="24"/>
            </w:rPr>
            <w:fldChar w:fldCharType="end"/>
          </w:r>
        </w:p>
        <w:p>
          <w:pPr>
            <w:pStyle w:val="17"/>
            <w:tabs>
              <w:tab w:val="right" w:leader="dot" w:pos="9060"/>
            </w:tabs>
            <w:rPr>
              <w:rFonts w:hint="eastAsia"/>
              <w:color w:val="auto"/>
              <w:sz w:val="24"/>
              <w:szCs w:val="24"/>
              <w14:ligatures w14:val="standardContextual"/>
            </w:rPr>
          </w:pPr>
          <w:r>
            <w:rPr>
              <w:color w:val="auto"/>
            </w:rPr>
            <w:fldChar w:fldCharType="begin"/>
          </w:r>
          <w:r>
            <w:rPr>
              <w:color w:val="auto"/>
            </w:rPr>
            <w:instrText xml:space="preserve"> HYPERLINK \l "_Toc237556450" </w:instrText>
          </w:r>
          <w:r>
            <w:rPr>
              <w:color w:val="auto"/>
            </w:rPr>
            <w:fldChar w:fldCharType="separate"/>
          </w:r>
          <w:r>
            <w:rPr>
              <w:rStyle w:val="23"/>
              <w:rFonts w:ascii="宋体" w:hAnsi="宋体" w:eastAsia="宋体"/>
              <w:color w:val="auto"/>
              <w:sz w:val="24"/>
              <w:szCs w:val="24"/>
            </w:rPr>
            <w:t>（五）安全基础管理安全诊断专业检查表编制依据及基本内容</w:t>
          </w:r>
          <w:r>
            <w:rPr>
              <w:rFonts w:hint="eastAsia"/>
              <w:color w:val="auto"/>
              <w:sz w:val="24"/>
              <w:szCs w:val="24"/>
            </w:rPr>
            <w:tab/>
          </w:r>
          <w:r>
            <w:rPr>
              <w:rFonts w:hint="eastAsia"/>
              <w:color w:val="auto"/>
              <w:sz w:val="24"/>
              <w:szCs w:val="24"/>
            </w:rPr>
            <w:fldChar w:fldCharType="begin"/>
          </w:r>
          <w:r>
            <w:rPr>
              <w:rFonts w:hint="eastAsia"/>
              <w:color w:val="auto"/>
              <w:sz w:val="24"/>
              <w:szCs w:val="24"/>
            </w:rPr>
            <w:instrText xml:space="preserve"> </w:instrText>
          </w:r>
          <w:r>
            <w:rPr>
              <w:color w:val="auto"/>
              <w:sz w:val="24"/>
              <w:szCs w:val="24"/>
            </w:rPr>
            <w:instrText xml:space="preserve">PAGEREF _Toc237556450 \h</w:instrText>
          </w:r>
          <w:r>
            <w:rPr>
              <w:rFonts w:hint="eastAsia"/>
              <w:color w:val="auto"/>
              <w:sz w:val="24"/>
              <w:szCs w:val="24"/>
            </w:rPr>
            <w:instrText xml:space="preserve"> </w:instrText>
          </w:r>
          <w:r>
            <w:rPr>
              <w:rFonts w:hint="eastAsia"/>
              <w:color w:val="auto"/>
              <w:sz w:val="24"/>
              <w:szCs w:val="24"/>
            </w:rPr>
            <w:fldChar w:fldCharType="separate"/>
          </w:r>
          <w:r>
            <w:rPr>
              <w:rFonts w:hint="eastAsia"/>
              <w:color w:val="auto"/>
              <w:sz w:val="24"/>
              <w:szCs w:val="24"/>
            </w:rPr>
            <w:t>14</w:t>
          </w:r>
          <w:r>
            <w:rPr>
              <w:rFonts w:hint="eastAsia"/>
              <w:color w:val="auto"/>
              <w:sz w:val="24"/>
              <w:szCs w:val="24"/>
            </w:rPr>
            <w:fldChar w:fldCharType="end"/>
          </w:r>
          <w:r>
            <w:rPr>
              <w:rFonts w:hint="eastAsia"/>
              <w:color w:val="auto"/>
              <w:sz w:val="24"/>
              <w:szCs w:val="24"/>
            </w:rPr>
            <w:fldChar w:fldCharType="end"/>
          </w:r>
        </w:p>
        <w:p>
          <w:pPr>
            <w:pStyle w:val="15"/>
            <w:tabs>
              <w:tab w:val="right" w:leader="dot" w:pos="9060"/>
            </w:tabs>
            <w:rPr>
              <w:rFonts w:hint="eastAsia"/>
              <w:color w:val="auto"/>
              <w:sz w:val="24"/>
              <w:szCs w:val="24"/>
              <w14:ligatures w14:val="standardContextual"/>
            </w:rPr>
          </w:pPr>
          <w:r>
            <w:rPr>
              <w:color w:val="auto"/>
            </w:rPr>
            <w:fldChar w:fldCharType="begin"/>
          </w:r>
          <w:r>
            <w:rPr>
              <w:color w:val="auto"/>
            </w:rPr>
            <w:instrText xml:space="preserve"> HYPERLINK \l "_Toc237556451" </w:instrText>
          </w:r>
          <w:r>
            <w:rPr>
              <w:color w:val="auto"/>
            </w:rPr>
            <w:fldChar w:fldCharType="separate"/>
          </w:r>
          <w:r>
            <w:rPr>
              <w:rStyle w:val="23"/>
              <w:rFonts w:ascii="黑体" w:hAnsi="黑体" w:eastAsia="黑体"/>
              <w:color w:val="auto"/>
              <w:sz w:val="24"/>
              <w:szCs w:val="24"/>
            </w:rPr>
            <w:t>五、诊断专项检查内容</w:t>
          </w:r>
          <w:r>
            <w:rPr>
              <w:rFonts w:hint="eastAsia"/>
              <w:color w:val="auto"/>
              <w:sz w:val="24"/>
              <w:szCs w:val="24"/>
            </w:rPr>
            <w:tab/>
          </w:r>
          <w:r>
            <w:rPr>
              <w:rFonts w:hint="eastAsia"/>
              <w:color w:val="auto"/>
              <w:sz w:val="24"/>
              <w:szCs w:val="24"/>
            </w:rPr>
            <w:fldChar w:fldCharType="begin"/>
          </w:r>
          <w:r>
            <w:rPr>
              <w:rFonts w:hint="eastAsia"/>
              <w:color w:val="auto"/>
              <w:sz w:val="24"/>
              <w:szCs w:val="24"/>
            </w:rPr>
            <w:instrText xml:space="preserve"> </w:instrText>
          </w:r>
          <w:r>
            <w:rPr>
              <w:color w:val="auto"/>
              <w:sz w:val="24"/>
              <w:szCs w:val="24"/>
            </w:rPr>
            <w:instrText xml:space="preserve">PAGEREF _Toc237556451 \h</w:instrText>
          </w:r>
          <w:r>
            <w:rPr>
              <w:rFonts w:hint="eastAsia"/>
              <w:color w:val="auto"/>
              <w:sz w:val="24"/>
              <w:szCs w:val="24"/>
            </w:rPr>
            <w:instrText xml:space="preserve"> </w:instrText>
          </w:r>
          <w:r>
            <w:rPr>
              <w:rFonts w:hint="eastAsia"/>
              <w:color w:val="auto"/>
              <w:sz w:val="24"/>
              <w:szCs w:val="24"/>
            </w:rPr>
            <w:fldChar w:fldCharType="separate"/>
          </w:r>
          <w:r>
            <w:rPr>
              <w:rFonts w:hint="eastAsia"/>
              <w:color w:val="auto"/>
              <w:sz w:val="24"/>
              <w:szCs w:val="24"/>
            </w:rPr>
            <w:t>16</w:t>
          </w:r>
          <w:r>
            <w:rPr>
              <w:rFonts w:hint="eastAsia"/>
              <w:color w:val="auto"/>
              <w:sz w:val="24"/>
              <w:szCs w:val="24"/>
            </w:rPr>
            <w:fldChar w:fldCharType="end"/>
          </w:r>
          <w:r>
            <w:rPr>
              <w:rFonts w:hint="eastAsia"/>
              <w:color w:val="auto"/>
              <w:sz w:val="24"/>
              <w:szCs w:val="24"/>
            </w:rPr>
            <w:fldChar w:fldCharType="end"/>
          </w:r>
        </w:p>
        <w:p>
          <w:pPr>
            <w:pStyle w:val="15"/>
            <w:tabs>
              <w:tab w:val="right" w:leader="dot" w:pos="9060"/>
            </w:tabs>
            <w:rPr>
              <w:rFonts w:hint="eastAsia"/>
              <w:color w:val="auto"/>
              <w:sz w:val="24"/>
              <w:szCs w:val="24"/>
              <w14:ligatures w14:val="standardContextual"/>
            </w:rPr>
          </w:pPr>
          <w:r>
            <w:rPr>
              <w:color w:val="auto"/>
            </w:rPr>
            <w:fldChar w:fldCharType="begin"/>
          </w:r>
          <w:r>
            <w:rPr>
              <w:color w:val="auto"/>
            </w:rPr>
            <w:instrText xml:space="preserve"> HYPERLINK \l "_Toc237556452" </w:instrText>
          </w:r>
          <w:r>
            <w:rPr>
              <w:color w:val="auto"/>
            </w:rPr>
            <w:fldChar w:fldCharType="separate"/>
          </w:r>
          <w:r>
            <w:rPr>
              <w:rStyle w:val="23"/>
              <w:rFonts w:ascii="黑体" w:hAnsi="黑体" w:eastAsia="黑体"/>
              <w:color w:val="auto"/>
              <w:sz w:val="24"/>
              <w:szCs w:val="24"/>
            </w:rPr>
            <w:t>六、诊断报告</w:t>
          </w:r>
          <w:r>
            <w:rPr>
              <w:rFonts w:hint="eastAsia"/>
              <w:color w:val="auto"/>
              <w:sz w:val="24"/>
              <w:szCs w:val="24"/>
            </w:rPr>
            <w:tab/>
          </w:r>
          <w:r>
            <w:rPr>
              <w:rFonts w:hint="eastAsia"/>
              <w:color w:val="auto"/>
              <w:sz w:val="24"/>
              <w:szCs w:val="24"/>
            </w:rPr>
            <w:fldChar w:fldCharType="begin"/>
          </w:r>
          <w:r>
            <w:rPr>
              <w:rFonts w:hint="eastAsia"/>
              <w:color w:val="auto"/>
              <w:sz w:val="24"/>
              <w:szCs w:val="24"/>
            </w:rPr>
            <w:instrText xml:space="preserve"> </w:instrText>
          </w:r>
          <w:r>
            <w:rPr>
              <w:color w:val="auto"/>
              <w:sz w:val="24"/>
              <w:szCs w:val="24"/>
            </w:rPr>
            <w:instrText xml:space="preserve">PAGEREF _Toc237556452 \h</w:instrText>
          </w:r>
          <w:r>
            <w:rPr>
              <w:rFonts w:hint="eastAsia"/>
              <w:color w:val="auto"/>
              <w:sz w:val="24"/>
              <w:szCs w:val="24"/>
            </w:rPr>
            <w:instrText xml:space="preserve"> </w:instrText>
          </w:r>
          <w:r>
            <w:rPr>
              <w:rFonts w:hint="eastAsia"/>
              <w:color w:val="auto"/>
              <w:sz w:val="24"/>
              <w:szCs w:val="24"/>
            </w:rPr>
            <w:fldChar w:fldCharType="separate"/>
          </w:r>
          <w:r>
            <w:rPr>
              <w:rFonts w:hint="eastAsia"/>
              <w:color w:val="auto"/>
              <w:sz w:val="24"/>
              <w:szCs w:val="24"/>
            </w:rPr>
            <w:t>18</w:t>
          </w:r>
          <w:r>
            <w:rPr>
              <w:rFonts w:hint="eastAsia"/>
              <w:color w:val="auto"/>
              <w:sz w:val="24"/>
              <w:szCs w:val="24"/>
            </w:rPr>
            <w:fldChar w:fldCharType="end"/>
          </w:r>
          <w:r>
            <w:rPr>
              <w:rFonts w:hint="eastAsia"/>
              <w:color w:val="auto"/>
              <w:sz w:val="24"/>
              <w:szCs w:val="24"/>
            </w:rPr>
            <w:fldChar w:fldCharType="end"/>
          </w:r>
        </w:p>
        <w:p>
          <w:pPr>
            <w:pStyle w:val="15"/>
            <w:tabs>
              <w:tab w:val="right" w:leader="dot" w:pos="9060"/>
            </w:tabs>
            <w:rPr>
              <w:rFonts w:hint="eastAsia"/>
              <w:color w:val="auto"/>
              <w:sz w:val="24"/>
              <w:szCs w:val="24"/>
              <w14:ligatures w14:val="standardContextual"/>
            </w:rPr>
          </w:pPr>
          <w:r>
            <w:rPr>
              <w:color w:val="auto"/>
            </w:rPr>
            <w:fldChar w:fldCharType="begin"/>
          </w:r>
          <w:r>
            <w:rPr>
              <w:color w:val="auto"/>
            </w:rPr>
            <w:instrText xml:space="preserve"> HYPERLINK \l "_Toc237556453" </w:instrText>
          </w:r>
          <w:r>
            <w:rPr>
              <w:color w:val="auto"/>
            </w:rPr>
            <w:fldChar w:fldCharType="separate"/>
          </w:r>
          <w:r>
            <w:rPr>
              <w:rStyle w:val="23"/>
              <w:rFonts w:ascii="黑体" w:hAnsi="黑体" w:eastAsia="黑体"/>
              <w:color w:val="auto"/>
              <w:sz w:val="24"/>
              <w:szCs w:val="24"/>
            </w:rPr>
            <w:t>七、附件</w:t>
          </w:r>
          <w:r>
            <w:rPr>
              <w:rFonts w:hint="eastAsia"/>
              <w:color w:val="auto"/>
              <w:sz w:val="24"/>
              <w:szCs w:val="24"/>
            </w:rPr>
            <w:tab/>
          </w:r>
          <w:r>
            <w:rPr>
              <w:rFonts w:hint="eastAsia"/>
              <w:color w:val="auto"/>
              <w:sz w:val="24"/>
              <w:szCs w:val="24"/>
            </w:rPr>
            <w:fldChar w:fldCharType="begin"/>
          </w:r>
          <w:r>
            <w:rPr>
              <w:rFonts w:hint="eastAsia"/>
              <w:color w:val="auto"/>
              <w:sz w:val="24"/>
              <w:szCs w:val="24"/>
            </w:rPr>
            <w:instrText xml:space="preserve"> </w:instrText>
          </w:r>
          <w:r>
            <w:rPr>
              <w:color w:val="auto"/>
              <w:sz w:val="24"/>
              <w:szCs w:val="24"/>
            </w:rPr>
            <w:instrText xml:space="preserve">PAGEREF _Toc237556453 \h</w:instrText>
          </w:r>
          <w:r>
            <w:rPr>
              <w:rFonts w:hint="eastAsia"/>
              <w:color w:val="auto"/>
              <w:sz w:val="24"/>
              <w:szCs w:val="24"/>
            </w:rPr>
            <w:instrText xml:space="preserve"> </w:instrText>
          </w:r>
          <w:r>
            <w:rPr>
              <w:rFonts w:hint="eastAsia"/>
              <w:color w:val="auto"/>
              <w:sz w:val="24"/>
              <w:szCs w:val="24"/>
            </w:rPr>
            <w:fldChar w:fldCharType="separate"/>
          </w:r>
          <w:r>
            <w:rPr>
              <w:rFonts w:hint="eastAsia"/>
              <w:color w:val="auto"/>
              <w:sz w:val="24"/>
              <w:szCs w:val="24"/>
            </w:rPr>
            <w:t>19</w:t>
          </w:r>
          <w:r>
            <w:rPr>
              <w:rFonts w:hint="eastAsia"/>
              <w:color w:val="auto"/>
              <w:sz w:val="24"/>
              <w:szCs w:val="24"/>
            </w:rPr>
            <w:fldChar w:fldCharType="end"/>
          </w:r>
          <w:r>
            <w:rPr>
              <w:rFonts w:hint="eastAsia"/>
              <w:color w:val="auto"/>
              <w:sz w:val="24"/>
              <w:szCs w:val="24"/>
            </w:rPr>
            <w:fldChar w:fldCharType="end"/>
          </w:r>
        </w:p>
        <w:p>
          <w:pPr>
            <w:pStyle w:val="17"/>
            <w:tabs>
              <w:tab w:val="right" w:leader="dot" w:pos="9060"/>
            </w:tabs>
            <w:rPr>
              <w:rFonts w:hint="eastAsia"/>
              <w:color w:val="auto"/>
              <w:sz w:val="24"/>
              <w:szCs w:val="24"/>
              <w14:ligatures w14:val="standardContextual"/>
            </w:rPr>
          </w:pPr>
          <w:r>
            <w:rPr>
              <w:color w:val="auto"/>
            </w:rPr>
            <w:fldChar w:fldCharType="begin"/>
          </w:r>
          <w:r>
            <w:rPr>
              <w:color w:val="auto"/>
            </w:rPr>
            <w:instrText xml:space="preserve"> HYPERLINK \l "_Toc237556454" </w:instrText>
          </w:r>
          <w:r>
            <w:rPr>
              <w:color w:val="auto"/>
            </w:rPr>
            <w:fldChar w:fldCharType="separate"/>
          </w:r>
          <w:r>
            <w:rPr>
              <w:rStyle w:val="23"/>
              <w:rFonts w:ascii="宋体" w:hAnsi="宋体" w:eastAsia="宋体"/>
              <w:color w:val="auto"/>
              <w:sz w:val="24"/>
              <w:szCs w:val="24"/>
            </w:rPr>
            <w:t>附件1危险化学品企业基本信息统计表</w:t>
          </w:r>
          <w:r>
            <w:rPr>
              <w:rFonts w:hint="eastAsia"/>
              <w:color w:val="auto"/>
              <w:sz w:val="24"/>
              <w:szCs w:val="24"/>
            </w:rPr>
            <w:tab/>
          </w:r>
          <w:r>
            <w:rPr>
              <w:rFonts w:hint="eastAsia"/>
              <w:color w:val="auto"/>
              <w:sz w:val="24"/>
              <w:szCs w:val="24"/>
            </w:rPr>
            <w:fldChar w:fldCharType="begin"/>
          </w:r>
          <w:r>
            <w:rPr>
              <w:rFonts w:hint="eastAsia"/>
              <w:color w:val="auto"/>
              <w:sz w:val="24"/>
              <w:szCs w:val="24"/>
            </w:rPr>
            <w:instrText xml:space="preserve"> </w:instrText>
          </w:r>
          <w:r>
            <w:rPr>
              <w:color w:val="auto"/>
              <w:sz w:val="24"/>
              <w:szCs w:val="24"/>
            </w:rPr>
            <w:instrText xml:space="preserve">PAGEREF _Toc237556454 \h</w:instrText>
          </w:r>
          <w:r>
            <w:rPr>
              <w:rFonts w:hint="eastAsia"/>
              <w:color w:val="auto"/>
              <w:sz w:val="24"/>
              <w:szCs w:val="24"/>
            </w:rPr>
            <w:instrText xml:space="preserve"> </w:instrText>
          </w:r>
          <w:r>
            <w:rPr>
              <w:rFonts w:hint="eastAsia"/>
              <w:color w:val="auto"/>
              <w:sz w:val="24"/>
              <w:szCs w:val="24"/>
            </w:rPr>
            <w:fldChar w:fldCharType="separate"/>
          </w:r>
          <w:r>
            <w:rPr>
              <w:rFonts w:hint="eastAsia"/>
              <w:color w:val="auto"/>
              <w:sz w:val="24"/>
              <w:szCs w:val="24"/>
            </w:rPr>
            <w:t>20</w:t>
          </w:r>
          <w:r>
            <w:rPr>
              <w:rFonts w:hint="eastAsia"/>
              <w:color w:val="auto"/>
              <w:sz w:val="24"/>
              <w:szCs w:val="24"/>
            </w:rPr>
            <w:fldChar w:fldCharType="end"/>
          </w:r>
          <w:r>
            <w:rPr>
              <w:rFonts w:hint="eastAsia"/>
              <w:color w:val="auto"/>
              <w:sz w:val="24"/>
              <w:szCs w:val="24"/>
            </w:rPr>
            <w:fldChar w:fldCharType="end"/>
          </w:r>
        </w:p>
        <w:p>
          <w:pPr>
            <w:pStyle w:val="17"/>
            <w:tabs>
              <w:tab w:val="right" w:leader="dot" w:pos="9060"/>
            </w:tabs>
            <w:rPr>
              <w:rFonts w:hint="eastAsia"/>
              <w:color w:val="auto"/>
              <w:sz w:val="24"/>
              <w:szCs w:val="24"/>
              <w14:ligatures w14:val="standardContextual"/>
            </w:rPr>
          </w:pPr>
          <w:r>
            <w:rPr>
              <w:color w:val="auto"/>
            </w:rPr>
            <w:fldChar w:fldCharType="begin"/>
          </w:r>
          <w:r>
            <w:rPr>
              <w:color w:val="auto"/>
            </w:rPr>
            <w:instrText xml:space="preserve"> HYPERLINK \l "_Toc237556455" </w:instrText>
          </w:r>
          <w:r>
            <w:rPr>
              <w:color w:val="auto"/>
            </w:rPr>
            <w:fldChar w:fldCharType="separate"/>
          </w:r>
          <w:r>
            <w:rPr>
              <w:rStyle w:val="23"/>
              <w:rFonts w:ascii="宋体" w:hAnsi="宋体" w:eastAsia="宋体"/>
              <w:color w:val="auto"/>
              <w:sz w:val="24"/>
              <w:szCs w:val="24"/>
            </w:rPr>
            <w:t>附件2危险化学品生产企业安全诊断分级综合评分体系（试行）</w:t>
          </w:r>
          <w:r>
            <w:rPr>
              <w:rFonts w:hint="eastAsia"/>
              <w:color w:val="auto"/>
              <w:sz w:val="24"/>
              <w:szCs w:val="24"/>
            </w:rPr>
            <w:tab/>
          </w:r>
          <w:r>
            <w:rPr>
              <w:rFonts w:hint="eastAsia"/>
              <w:color w:val="auto"/>
              <w:sz w:val="24"/>
              <w:szCs w:val="24"/>
            </w:rPr>
            <w:fldChar w:fldCharType="begin"/>
          </w:r>
          <w:r>
            <w:rPr>
              <w:rFonts w:hint="eastAsia"/>
              <w:color w:val="auto"/>
              <w:sz w:val="24"/>
              <w:szCs w:val="24"/>
            </w:rPr>
            <w:instrText xml:space="preserve"> </w:instrText>
          </w:r>
          <w:r>
            <w:rPr>
              <w:color w:val="auto"/>
              <w:sz w:val="24"/>
              <w:szCs w:val="24"/>
            </w:rPr>
            <w:instrText xml:space="preserve">PAGEREF _Toc237556455 \h</w:instrText>
          </w:r>
          <w:r>
            <w:rPr>
              <w:rFonts w:hint="eastAsia"/>
              <w:color w:val="auto"/>
              <w:sz w:val="24"/>
              <w:szCs w:val="24"/>
            </w:rPr>
            <w:instrText xml:space="preserve"> </w:instrText>
          </w:r>
          <w:r>
            <w:rPr>
              <w:rFonts w:hint="eastAsia"/>
              <w:color w:val="auto"/>
              <w:sz w:val="24"/>
              <w:szCs w:val="24"/>
            </w:rPr>
            <w:fldChar w:fldCharType="separate"/>
          </w:r>
          <w:r>
            <w:rPr>
              <w:rFonts w:hint="eastAsia"/>
              <w:color w:val="auto"/>
              <w:sz w:val="24"/>
              <w:szCs w:val="24"/>
            </w:rPr>
            <w:t>21</w:t>
          </w:r>
          <w:r>
            <w:rPr>
              <w:rFonts w:hint="eastAsia"/>
              <w:color w:val="auto"/>
              <w:sz w:val="24"/>
              <w:szCs w:val="24"/>
            </w:rPr>
            <w:fldChar w:fldCharType="end"/>
          </w:r>
          <w:r>
            <w:rPr>
              <w:rFonts w:hint="eastAsia"/>
              <w:color w:val="auto"/>
              <w:sz w:val="24"/>
              <w:szCs w:val="24"/>
            </w:rPr>
            <w:fldChar w:fldCharType="end"/>
          </w:r>
        </w:p>
        <w:p>
          <w:pPr>
            <w:pStyle w:val="17"/>
            <w:tabs>
              <w:tab w:val="right" w:leader="dot" w:pos="9060"/>
            </w:tabs>
            <w:rPr>
              <w:rFonts w:hint="eastAsia"/>
              <w:color w:val="auto"/>
              <w:sz w:val="24"/>
              <w:szCs w:val="24"/>
              <w14:ligatures w14:val="standardContextual"/>
            </w:rPr>
          </w:pPr>
          <w:r>
            <w:rPr>
              <w:color w:val="auto"/>
            </w:rPr>
            <w:fldChar w:fldCharType="begin"/>
          </w:r>
          <w:r>
            <w:rPr>
              <w:color w:val="auto"/>
            </w:rPr>
            <w:instrText xml:space="preserve"> HYPERLINK \l "_Toc237556456" </w:instrText>
          </w:r>
          <w:r>
            <w:rPr>
              <w:color w:val="auto"/>
            </w:rPr>
            <w:fldChar w:fldCharType="separate"/>
          </w:r>
          <w:r>
            <w:rPr>
              <w:rStyle w:val="23"/>
              <w:rFonts w:ascii="宋体" w:hAnsi="宋体" w:eastAsia="宋体"/>
              <w:color w:val="auto"/>
              <w:sz w:val="24"/>
              <w:szCs w:val="24"/>
            </w:rPr>
            <w:t>附件3危险化学品生产企业安全诊断基础表</w:t>
          </w:r>
          <w:r>
            <w:rPr>
              <w:rFonts w:hint="eastAsia"/>
              <w:color w:val="auto"/>
              <w:sz w:val="24"/>
              <w:szCs w:val="24"/>
            </w:rPr>
            <w:tab/>
          </w:r>
          <w:r>
            <w:rPr>
              <w:rFonts w:hint="eastAsia"/>
              <w:color w:val="auto"/>
              <w:sz w:val="24"/>
              <w:szCs w:val="24"/>
            </w:rPr>
            <w:fldChar w:fldCharType="begin"/>
          </w:r>
          <w:r>
            <w:rPr>
              <w:rFonts w:hint="eastAsia"/>
              <w:color w:val="auto"/>
              <w:sz w:val="24"/>
              <w:szCs w:val="24"/>
            </w:rPr>
            <w:instrText xml:space="preserve"> </w:instrText>
          </w:r>
          <w:r>
            <w:rPr>
              <w:color w:val="auto"/>
              <w:sz w:val="24"/>
              <w:szCs w:val="24"/>
            </w:rPr>
            <w:instrText xml:space="preserve">PAGEREF _Toc237556456 \h</w:instrText>
          </w:r>
          <w:r>
            <w:rPr>
              <w:rFonts w:hint="eastAsia"/>
              <w:color w:val="auto"/>
              <w:sz w:val="24"/>
              <w:szCs w:val="24"/>
            </w:rPr>
            <w:instrText xml:space="preserve"> </w:instrText>
          </w:r>
          <w:r>
            <w:rPr>
              <w:rFonts w:hint="eastAsia"/>
              <w:color w:val="auto"/>
              <w:sz w:val="24"/>
              <w:szCs w:val="24"/>
            </w:rPr>
            <w:fldChar w:fldCharType="separate"/>
          </w:r>
          <w:r>
            <w:rPr>
              <w:rFonts w:hint="eastAsia"/>
              <w:color w:val="auto"/>
              <w:sz w:val="24"/>
              <w:szCs w:val="24"/>
            </w:rPr>
            <w:t>22</w:t>
          </w:r>
          <w:r>
            <w:rPr>
              <w:rFonts w:hint="eastAsia"/>
              <w:color w:val="auto"/>
              <w:sz w:val="24"/>
              <w:szCs w:val="24"/>
            </w:rPr>
            <w:fldChar w:fldCharType="end"/>
          </w:r>
          <w:r>
            <w:rPr>
              <w:rFonts w:hint="eastAsia"/>
              <w:color w:val="auto"/>
              <w:sz w:val="24"/>
              <w:szCs w:val="24"/>
            </w:rPr>
            <w:fldChar w:fldCharType="end"/>
          </w:r>
        </w:p>
        <w:p>
          <w:pPr>
            <w:pStyle w:val="17"/>
            <w:tabs>
              <w:tab w:val="right" w:leader="dot" w:pos="9060"/>
            </w:tabs>
            <w:rPr>
              <w:rFonts w:hint="eastAsia"/>
              <w:color w:val="auto"/>
              <w:sz w:val="24"/>
              <w:szCs w:val="24"/>
              <w14:ligatures w14:val="standardContextual"/>
            </w:rPr>
          </w:pPr>
          <w:r>
            <w:rPr>
              <w:color w:val="auto"/>
            </w:rPr>
            <w:fldChar w:fldCharType="begin"/>
          </w:r>
          <w:r>
            <w:rPr>
              <w:color w:val="auto"/>
            </w:rPr>
            <w:instrText xml:space="preserve"> HYPERLINK \l "_Toc237556457" </w:instrText>
          </w:r>
          <w:r>
            <w:rPr>
              <w:color w:val="auto"/>
            </w:rPr>
            <w:fldChar w:fldCharType="separate"/>
          </w:r>
          <w:r>
            <w:rPr>
              <w:rStyle w:val="23"/>
              <w:rFonts w:ascii="宋体" w:hAnsi="宋体" w:eastAsia="宋体"/>
              <w:color w:val="auto"/>
              <w:sz w:val="24"/>
              <w:szCs w:val="24"/>
            </w:rPr>
            <w:t>附件4-1：设计与总图专业检查表</w:t>
          </w:r>
          <w:r>
            <w:rPr>
              <w:rFonts w:hint="eastAsia"/>
              <w:color w:val="auto"/>
              <w:sz w:val="24"/>
              <w:szCs w:val="24"/>
            </w:rPr>
            <w:tab/>
          </w:r>
          <w:r>
            <w:rPr>
              <w:rFonts w:hint="eastAsia"/>
              <w:color w:val="auto"/>
              <w:sz w:val="24"/>
              <w:szCs w:val="24"/>
            </w:rPr>
            <w:fldChar w:fldCharType="begin"/>
          </w:r>
          <w:r>
            <w:rPr>
              <w:rFonts w:hint="eastAsia"/>
              <w:color w:val="auto"/>
              <w:sz w:val="24"/>
              <w:szCs w:val="24"/>
            </w:rPr>
            <w:instrText xml:space="preserve"> </w:instrText>
          </w:r>
          <w:r>
            <w:rPr>
              <w:color w:val="auto"/>
              <w:sz w:val="24"/>
              <w:szCs w:val="24"/>
            </w:rPr>
            <w:instrText xml:space="preserve">PAGEREF _Toc237556457 \h</w:instrText>
          </w:r>
          <w:r>
            <w:rPr>
              <w:rFonts w:hint="eastAsia"/>
              <w:color w:val="auto"/>
              <w:sz w:val="24"/>
              <w:szCs w:val="24"/>
            </w:rPr>
            <w:instrText xml:space="preserve"> </w:instrText>
          </w:r>
          <w:r>
            <w:rPr>
              <w:rFonts w:hint="eastAsia"/>
              <w:color w:val="auto"/>
              <w:sz w:val="24"/>
              <w:szCs w:val="24"/>
            </w:rPr>
            <w:fldChar w:fldCharType="separate"/>
          </w:r>
          <w:r>
            <w:rPr>
              <w:rFonts w:hint="eastAsia"/>
              <w:color w:val="auto"/>
              <w:sz w:val="24"/>
              <w:szCs w:val="24"/>
            </w:rPr>
            <w:t>24</w:t>
          </w:r>
          <w:r>
            <w:rPr>
              <w:rFonts w:hint="eastAsia"/>
              <w:color w:val="auto"/>
              <w:sz w:val="24"/>
              <w:szCs w:val="24"/>
            </w:rPr>
            <w:fldChar w:fldCharType="end"/>
          </w:r>
          <w:r>
            <w:rPr>
              <w:rFonts w:hint="eastAsia"/>
              <w:color w:val="auto"/>
              <w:sz w:val="24"/>
              <w:szCs w:val="24"/>
            </w:rPr>
            <w:fldChar w:fldCharType="end"/>
          </w:r>
        </w:p>
        <w:p>
          <w:pPr>
            <w:pStyle w:val="17"/>
            <w:tabs>
              <w:tab w:val="right" w:leader="dot" w:pos="9060"/>
            </w:tabs>
            <w:rPr>
              <w:rFonts w:hint="eastAsia"/>
              <w:color w:val="auto"/>
              <w:sz w:val="24"/>
              <w:szCs w:val="24"/>
              <w14:ligatures w14:val="standardContextual"/>
            </w:rPr>
          </w:pPr>
          <w:r>
            <w:rPr>
              <w:color w:val="auto"/>
            </w:rPr>
            <w:fldChar w:fldCharType="begin"/>
          </w:r>
          <w:r>
            <w:rPr>
              <w:color w:val="auto"/>
            </w:rPr>
            <w:instrText xml:space="preserve"> HYPERLINK \l "_Toc237556458" </w:instrText>
          </w:r>
          <w:r>
            <w:rPr>
              <w:color w:val="auto"/>
            </w:rPr>
            <w:fldChar w:fldCharType="separate"/>
          </w:r>
          <w:r>
            <w:rPr>
              <w:rStyle w:val="23"/>
              <w:rFonts w:ascii="宋体" w:hAnsi="宋体" w:eastAsia="宋体"/>
              <w:color w:val="auto"/>
              <w:sz w:val="24"/>
              <w:szCs w:val="24"/>
            </w:rPr>
            <w:t>附件4-2：工艺专业检查表</w:t>
          </w:r>
          <w:r>
            <w:rPr>
              <w:rFonts w:hint="eastAsia"/>
              <w:color w:val="auto"/>
              <w:sz w:val="24"/>
              <w:szCs w:val="24"/>
            </w:rPr>
            <w:tab/>
          </w:r>
          <w:r>
            <w:rPr>
              <w:rFonts w:hint="eastAsia"/>
              <w:color w:val="auto"/>
              <w:sz w:val="24"/>
              <w:szCs w:val="24"/>
            </w:rPr>
            <w:fldChar w:fldCharType="begin"/>
          </w:r>
          <w:r>
            <w:rPr>
              <w:rFonts w:hint="eastAsia"/>
              <w:color w:val="auto"/>
              <w:sz w:val="24"/>
              <w:szCs w:val="24"/>
            </w:rPr>
            <w:instrText xml:space="preserve"> </w:instrText>
          </w:r>
          <w:r>
            <w:rPr>
              <w:color w:val="auto"/>
              <w:sz w:val="24"/>
              <w:szCs w:val="24"/>
            </w:rPr>
            <w:instrText xml:space="preserve">PAGEREF _Toc237556458 \h</w:instrText>
          </w:r>
          <w:r>
            <w:rPr>
              <w:rFonts w:hint="eastAsia"/>
              <w:color w:val="auto"/>
              <w:sz w:val="24"/>
              <w:szCs w:val="24"/>
            </w:rPr>
            <w:instrText xml:space="preserve"> </w:instrText>
          </w:r>
          <w:r>
            <w:rPr>
              <w:rFonts w:hint="eastAsia"/>
              <w:color w:val="auto"/>
              <w:sz w:val="24"/>
              <w:szCs w:val="24"/>
            </w:rPr>
            <w:fldChar w:fldCharType="separate"/>
          </w:r>
          <w:r>
            <w:rPr>
              <w:rFonts w:hint="eastAsia"/>
              <w:color w:val="auto"/>
              <w:sz w:val="24"/>
              <w:szCs w:val="24"/>
            </w:rPr>
            <w:t>38</w:t>
          </w:r>
          <w:r>
            <w:rPr>
              <w:rFonts w:hint="eastAsia"/>
              <w:color w:val="auto"/>
              <w:sz w:val="24"/>
              <w:szCs w:val="24"/>
            </w:rPr>
            <w:fldChar w:fldCharType="end"/>
          </w:r>
          <w:r>
            <w:rPr>
              <w:rFonts w:hint="eastAsia"/>
              <w:color w:val="auto"/>
              <w:sz w:val="24"/>
              <w:szCs w:val="24"/>
            </w:rPr>
            <w:fldChar w:fldCharType="end"/>
          </w:r>
        </w:p>
        <w:p>
          <w:pPr>
            <w:pStyle w:val="17"/>
            <w:tabs>
              <w:tab w:val="right" w:leader="dot" w:pos="9060"/>
            </w:tabs>
            <w:rPr>
              <w:rFonts w:hint="eastAsia"/>
              <w:color w:val="auto"/>
              <w:sz w:val="24"/>
              <w:szCs w:val="24"/>
              <w14:ligatures w14:val="standardContextual"/>
            </w:rPr>
          </w:pPr>
          <w:r>
            <w:rPr>
              <w:color w:val="auto"/>
            </w:rPr>
            <w:fldChar w:fldCharType="begin"/>
          </w:r>
          <w:r>
            <w:rPr>
              <w:color w:val="auto"/>
            </w:rPr>
            <w:instrText xml:space="preserve"> HYPERLINK \l "_Toc237556459" </w:instrText>
          </w:r>
          <w:r>
            <w:rPr>
              <w:color w:val="auto"/>
            </w:rPr>
            <w:fldChar w:fldCharType="separate"/>
          </w:r>
          <w:r>
            <w:rPr>
              <w:rStyle w:val="23"/>
              <w:rFonts w:ascii="宋体" w:hAnsi="宋体" w:eastAsia="宋体"/>
              <w:color w:val="auto"/>
              <w:sz w:val="24"/>
              <w:szCs w:val="24"/>
            </w:rPr>
            <w:t>附件4-3：设备专业检查表</w:t>
          </w:r>
          <w:r>
            <w:rPr>
              <w:rFonts w:hint="eastAsia"/>
              <w:color w:val="auto"/>
              <w:sz w:val="24"/>
              <w:szCs w:val="24"/>
            </w:rPr>
            <w:tab/>
          </w:r>
          <w:r>
            <w:rPr>
              <w:rFonts w:hint="eastAsia"/>
              <w:color w:val="auto"/>
              <w:sz w:val="24"/>
              <w:szCs w:val="24"/>
            </w:rPr>
            <w:fldChar w:fldCharType="begin"/>
          </w:r>
          <w:r>
            <w:rPr>
              <w:rFonts w:hint="eastAsia"/>
              <w:color w:val="auto"/>
              <w:sz w:val="24"/>
              <w:szCs w:val="24"/>
            </w:rPr>
            <w:instrText xml:space="preserve"> </w:instrText>
          </w:r>
          <w:r>
            <w:rPr>
              <w:color w:val="auto"/>
              <w:sz w:val="24"/>
              <w:szCs w:val="24"/>
            </w:rPr>
            <w:instrText xml:space="preserve">PAGEREF _Toc237556459 \h</w:instrText>
          </w:r>
          <w:r>
            <w:rPr>
              <w:rFonts w:hint="eastAsia"/>
              <w:color w:val="auto"/>
              <w:sz w:val="24"/>
              <w:szCs w:val="24"/>
            </w:rPr>
            <w:instrText xml:space="preserve"> </w:instrText>
          </w:r>
          <w:r>
            <w:rPr>
              <w:rFonts w:hint="eastAsia"/>
              <w:color w:val="auto"/>
              <w:sz w:val="24"/>
              <w:szCs w:val="24"/>
            </w:rPr>
            <w:fldChar w:fldCharType="separate"/>
          </w:r>
          <w:r>
            <w:rPr>
              <w:rFonts w:hint="eastAsia"/>
              <w:color w:val="auto"/>
              <w:sz w:val="24"/>
              <w:szCs w:val="24"/>
            </w:rPr>
            <w:t>52</w:t>
          </w:r>
          <w:r>
            <w:rPr>
              <w:rFonts w:hint="eastAsia"/>
              <w:color w:val="auto"/>
              <w:sz w:val="24"/>
              <w:szCs w:val="24"/>
            </w:rPr>
            <w:fldChar w:fldCharType="end"/>
          </w:r>
          <w:r>
            <w:rPr>
              <w:rFonts w:hint="eastAsia"/>
              <w:color w:val="auto"/>
              <w:sz w:val="24"/>
              <w:szCs w:val="24"/>
            </w:rPr>
            <w:fldChar w:fldCharType="end"/>
          </w:r>
        </w:p>
        <w:p>
          <w:pPr>
            <w:pStyle w:val="17"/>
            <w:tabs>
              <w:tab w:val="right" w:leader="dot" w:pos="9060"/>
            </w:tabs>
            <w:rPr>
              <w:rFonts w:hint="eastAsia"/>
              <w:color w:val="auto"/>
              <w:sz w:val="24"/>
              <w:szCs w:val="24"/>
              <w14:ligatures w14:val="standardContextual"/>
            </w:rPr>
          </w:pPr>
          <w:r>
            <w:rPr>
              <w:color w:val="auto"/>
            </w:rPr>
            <w:fldChar w:fldCharType="begin"/>
          </w:r>
          <w:r>
            <w:rPr>
              <w:color w:val="auto"/>
            </w:rPr>
            <w:instrText xml:space="preserve"> HYPERLINK \l "_Toc237556460" </w:instrText>
          </w:r>
          <w:r>
            <w:rPr>
              <w:color w:val="auto"/>
            </w:rPr>
            <w:fldChar w:fldCharType="separate"/>
          </w:r>
          <w:r>
            <w:rPr>
              <w:rStyle w:val="23"/>
              <w:rFonts w:ascii="宋体" w:hAnsi="宋体" w:eastAsia="宋体"/>
              <w:color w:val="auto"/>
              <w:sz w:val="24"/>
              <w:szCs w:val="24"/>
            </w:rPr>
            <w:t>附件4-4：电仪专业检查表</w:t>
          </w:r>
          <w:r>
            <w:rPr>
              <w:rFonts w:hint="eastAsia"/>
              <w:color w:val="auto"/>
              <w:sz w:val="24"/>
              <w:szCs w:val="24"/>
            </w:rPr>
            <w:tab/>
          </w:r>
          <w:r>
            <w:rPr>
              <w:rFonts w:hint="eastAsia"/>
              <w:color w:val="auto"/>
              <w:sz w:val="24"/>
              <w:szCs w:val="24"/>
            </w:rPr>
            <w:fldChar w:fldCharType="begin"/>
          </w:r>
          <w:r>
            <w:rPr>
              <w:rFonts w:hint="eastAsia"/>
              <w:color w:val="auto"/>
              <w:sz w:val="24"/>
              <w:szCs w:val="24"/>
            </w:rPr>
            <w:instrText xml:space="preserve"> </w:instrText>
          </w:r>
          <w:r>
            <w:rPr>
              <w:color w:val="auto"/>
              <w:sz w:val="24"/>
              <w:szCs w:val="24"/>
            </w:rPr>
            <w:instrText xml:space="preserve">PAGEREF _Toc237556460 \h</w:instrText>
          </w:r>
          <w:r>
            <w:rPr>
              <w:rFonts w:hint="eastAsia"/>
              <w:color w:val="auto"/>
              <w:sz w:val="24"/>
              <w:szCs w:val="24"/>
            </w:rPr>
            <w:instrText xml:space="preserve"> </w:instrText>
          </w:r>
          <w:r>
            <w:rPr>
              <w:rFonts w:hint="eastAsia"/>
              <w:color w:val="auto"/>
              <w:sz w:val="24"/>
              <w:szCs w:val="24"/>
            </w:rPr>
            <w:fldChar w:fldCharType="separate"/>
          </w:r>
          <w:r>
            <w:rPr>
              <w:rFonts w:hint="eastAsia"/>
              <w:color w:val="auto"/>
              <w:sz w:val="24"/>
              <w:szCs w:val="24"/>
            </w:rPr>
            <w:t>69</w:t>
          </w:r>
          <w:r>
            <w:rPr>
              <w:rFonts w:hint="eastAsia"/>
              <w:color w:val="auto"/>
              <w:sz w:val="24"/>
              <w:szCs w:val="24"/>
            </w:rPr>
            <w:fldChar w:fldCharType="end"/>
          </w:r>
          <w:r>
            <w:rPr>
              <w:rFonts w:hint="eastAsia"/>
              <w:color w:val="auto"/>
              <w:sz w:val="24"/>
              <w:szCs w:val="24"/>
            </w:rPr>
            <w:fldChar w:fldCharType="end"/>
          </w:r>
        </w:p>
        <w:p>
          <w:pPr>
            <w:pStyle w:val="17"/>
            <w:tabs>
              <w:tab w:val="right" w:leader="dot" w:pos="9060"/>
            </w:tabs>
            <w:rPr>
              <w:rFonts w:hint="eastAsia"/>
              <w:color w:val="auto"/>
              <w:sz w:val="24"/>
              <w:szCs w:val="24"/>
              <w14:ligatures w14:val="standardContextual"/>
            </w:rPr>
          </w:pPr>
          <w:r>
            <w:rPr>
              <w:color w:val="auto"/>
            </w:rPr>
            <w:fldChar w:fldCharType="begin"/>
          </w:r>
          <w:r>
            <w:rPr>
              <w:color w:val="auto"/>
            </w:rPr>
            <w:instrText xml:space="preserve"> HYPERLINK \l "_Toc237556461" </w:instrText>
          </w:r>
          <w:r>
            <w:rPr>
              <w:color w:val="auto"/>
            </w:rPr>
            <w:fldChar w:fldCharType="separate"/>
          </w:r>
          <w:r>
            <w:rPr>
              <w:rStyle w:val="23"/>
              <w:rFonts w:ascii="宋体" w:hAnsi="宋体" w:eastAsia="宋体"/>
              <w:color w:val="auto"/>
              <w:sz w:val="24"/>
              <w:szCs w:val="24"/>
            </w:rPr>
            <w:t>附件4-5：安全基础管理专业检查表</w:t>
          </w:r>
          <w:r>
            <w:rPr>
              <w:rFonts w:hint="eastAsia"/>
              <w:color w:val="auto"/>
              <w:sz w:val="24"/>
              <w:szCs w:val="24"/>
            </w:rPr>
            <w:tab/>
          </w:r>
          <w:r>
            <w:rPr>
              <w:rFonts w:hint="eastAsia"/>
              <w:color w:val="auto"/>
              <w:sz w:val="24"/>
              <w:szCs w:val="24"/>
            </w:rPr>
            <w:fldChar w:fldCharType="begin"/>
          </w:r>
          <w:r>
            <w:rPr>
              <w:rFonts w:hint="eastAsia"/>
              <w:color w:val="auto"/>
              <w:sz w:val="24"/>
              <w:szCs w:val="24"/>
            </w:rPr>
            <w:instrText xml:space="preserve"> </w:instrText>
          </w:r>
          <w:r>
            <w:rPr>
              <w:color w:val="auto"/>
              <w:sz w:val="24"/>
              <w:szCs w:val="24"/>
            </w:rPr>
            <w:instrText xml:space="preserve">PAGEREF _Toc237556461 \h</w:instrText>
          </w:r>
          <w:r>
            <w:rPr>
              <w:rFonts w:hint="eastAsia"/>
              <w:color w:val="auto"/>
              <w:sz w:val="24"/>
              <w:szCs w:val="24"/>
            </w:rPr>
            <w:instrText xml:space="preserve"> </w:instrText>
          </w:r>
          <w:r>
            <w:rPr>
              <w:rFonts w:hint="eastAsia"/>
              <w:color w:val="auto"/>
              <w:sz w:val="24"/>
              <w:szCs w:val="24"/>
            </w:rPr>
            <w:fldChar w:fldCharType="separate"/>
          </w:r>
          <w:r>
            <w:rPr>
              <w:rFonts w:hint="eastAsia"/>
              <w:color w:val="auto"/>
              <w:sz w:val="24"/>
              <w:szCs w:val="24"/>
            </w:rPr>
            <w:t>82</w:t>
          </w:r>
          <w:r>
            <w:rPr>
              <w:rFonts w:hint="eastAsia"/>
              <w:color w:val="auto"/>
              <w:sz w:val="24"/>
              <w:szCs w:val="24"/>
            </w:rPr>
            <w:fldChar w:fldCharType="end"/>
          </w:r>
          <w:r>
            <w:rPr>
              <w:rFonts w:hint="eastAsia"/>
              <w:color w:val="auto"/>
              <w:sz w:val="24"/>
              <w:szCs w:val="24"/>
            </w:rPr>
            <w:fldChar w:fldCharType="end"/>
          </w:r>
        </w:p>
        <w:p>
          <w:pPr>
            <w:pStyle w:val="17"/>
            <w:tabs>
              <w:tab w:val="right" w:leader="dot" w:pos="9060"/>
            </w:tabs>
            <w:rPr>
              <w:rFonts w:hint="eastAsia"/>
              <w:color w:val="auto"/>
              <w:sz w:val="24"/>
              <w:szCs w:val="24"/>
              <w14:ligatures w14:val="standardContextual"/>
            </w:rPr>
          </w:pPr>
          <w:r>
            <w:rPr>
              <w:color w:val="auto"/>
            </w:rPr>
            <w:fldChar w:fldCharType="begin"/>
          </w:r>
          <w:r>
            <w:rPr>
              <w:color w:val="auto"/>
            </w:rPr>
            <w:instrText xml:space="preserve"> HYPERLINK \l "_Toc237556462" </w:instrText>
          </w:r>
          <w:r>
            <w:rPr>
              <w:color w:val="auto"/>
            </w:rPr>
            <w:fldChar w:fldCharType="separate"/>
          </w:r>
          <w:r>
            <w:rPr>
              <w:rStyle w:val="23"/>
              <w:rFonts w:ascii="宋体" w:hAnsi="宋体" w:eastAsia="宋体"/>
              <w:color w:val="auto"/>
              <w:sz w:val="24"/>
              <w:szCs w:val="24"/>
            </w:rPr>
            <w:t>附件5-1：精细化工企业检查表</w:t>
          </w:r>
          <w:r>
            <w:rPr>
              <w:rFonts w:hint="eastAsia"/>
              <w:color w:val="auto"/>
              <w:sz w:val="24"/>
              <w:szCs w:val="24"/>
            </w:rPr>
            <w:tab/>
          </w:r>
          <w:r>
            <w:rPr>
              <w:rFonts w:hint="eastAsia"/>
              <w:color w:val="auto"/>
              <w:sz w:val="24"/>
              <w:szCs w:val="24"/>
            </w:rPr>
            <w:fldChar w:fldCharType="begin"/>
          </w:r>
          <w:r>
            <w:rPr>
              <w:rFonts w:hint="eastAsia"/>
              <w:color w:val="auto"/>
              <w:sz w:val="24"/>
              <w:szCs w:val="24"/>
            </w:rPr>
            <w:instrText xml:space="preserve"> </w:instrText>
          </w:r>
          <w:r>
            <w:rPr>
              <w:color w:val="auto"/>
              <w:sz w:val="24"/>
              <w:szCs w:val="24"/>
            </w:rPr>
            <w:instrText xml:space="preserve">PAGEREF _Toc237556462 \h</w:instrText>
          </w:r>
          <w:r>
            <w:rPr>
              <w:rFonts w:hint="eastAsia"/>
              <w:color w:val="auto"/>
              <w:sz w:val="24"/>
              <w:szCs w:val="24"/>
            </w:rPr>
            <w:instrText xml:space="preserve"> </w:instrText>
          </w:r>
          <w:r>
            <w:rPr>
              <w:rFonts w:hint="eastAsia"/>
              <w:color w:val="auto"/>
              <w:sz w:val="24"/>
              <w:szCs w:val="24"/>
            </w:rPr>
            <w:fldChar w:fldCharType="separate"/>
          </w:r>
          <w:r>
            <w:rPr>
              <w:rFonts w:hint="eastAsia"/>
              <w:color w:val="auto"/>
              <w:sz w:val="24"/>
              <w:szCs w:val="24"/>
            </w:rPr>
            <w:t>103</w:t>
          </w:r>
          <w:r>
            <w:rPr>
              <w:rFonts w:hint="eastAsia"/>
              <w:color w:val="auto"/>
              <w:sz w:val="24"/>
              <w:szCs w:val="24"/>
            </w:rPr>
            <w:fldChar w:fldCharType="end"/>
          </w:r>
          <w:r>
            <w:rPr>
              <w:rFonts w:hint="eastAsia"/>
              <w:color w:val="auto"/>
              <w:sz w:val="24"/>
              <w:szCs w:val="24"/>
            </w:rPr>
            <w:fldChar w:fldCharType="end"/>
          </w:r>
        </w:p>
        <w:p>
          <w:pPr>
            <w:pStyle w:val="17"/>
            <w:tabs>
              <w:tab w:val="right" w:leader="dot" w:pos="9060"/>
            </w:tabs>
            <w:rPr>
              <w:rFonts w:hint="eastAsia"/>
              <w:color w:val="auto"/>
              <w:sz w:val="24"/>
              <w:szCs w:val="24"/>
              <w14:ligatures w14:val="standardContextual"/>
            </w:rPr>
          </w:pPr>
          <w:r>
            <w:rPr>
              <w:color w:val="auto"/>
            </w:rPr>
            <w:fldChar w:fldCharType="begin"/>
          </w:r>
          <w:r>
            <w:rPr>
              <w:color w:val="auto"/>
            </w:rPr>
            <w:instrText xml:space="preserve"> HYPERLINK \l "_Toc237556463" </w:instrText>
          </w:r>
          <w:r>
            <w:rPr>
              <w:color w:val="auto"/>
            </w:rPr>
            <w:fldChar w:fldCharType="separate"/>
          </w:r>
          <w:r>
            <w:rPr>
              <w:rStyle w:val="23"/>
              <w:rFonts w:ascii="宋体" w:hAnsi="宋体" w:eastAsia="宋体"/>
              <w:color w:val="auto"/>
              <w:sz w:val="24"/>
              <w:szCs w:val="24"/>
            </w:rPr>
            <w:t>附件5-2：涉氯化工企业检查表</w:t>
          </w:r>
          <w:r>
            <w:rPr>
              <w:rFonts w:hint="eastAsia"/>
              <w:color w:val="auto"/>
              <w:sz w:val="24"/>
              <w:szCs w:val="24"/>
            </w:rPr>
            <w:tab/>
          </w:r>
          <w:r>
            <w:rPr>
              <w:rFonts w:hint="eastAsia"/>
              <w:color w:val="auto"/>
              <w:sz w:val="24"/>
              <w:szCs w:val="24"/>
            </w:rPr>
            <w:fldChar w:fldCharType="begin"/>
          </w:r>
          <w:r>
            <w:rPr>
              <w:rFonts w:hint="eastAsia"/>
              <w:color w:val="auto"/>
              <w:sz w:val="24"/>
              <w:szCs w:val="24"/>
            </w:rPr>
            <w:instrText xml:space="preserve"> </w:instrText>
          </w:r>
          <w:r>
            <w:rPr>
              <w:color w:val="auto"/>
              <w:sz w:val="24"/>
              <w:szCs w:val="24"/>
            </w:rPr>
            <w:instrText xml:space="preserve">PAGEREF _Toc237556463 \h</w:instrText>
          </w:r>
          <w:r>
            <w:rPr>
              <w:rFonts w:hint="eastAsia"/>
              <w:color w:val="auto"/>
              <w:sz w:val="24"/>
              <w:szCs w:val="24"/>
            </w:rPr>
            <w:instrText xml:space="preserve"> </w:instrText>
          </w:r>
          <w:r>
            <w:rPr>
              <w:rFonts w:hint="eastAsia"/>
              <w:color w:val="auto"/>
              <w:sz w:val="24"/>
              <w:szCs w:val="24"/>
            </w:rPr>
            <w:fldChar w:fldCharType="separate"/>
          </w:r>
          <w:r>
            <w:rPr>
              <w:rFonts w:hint="eastAsia"/>
              <w:color w:val="auto"/>
              <w:sz w:val="24"/>
              <w:szCs w:val="24"/>
            </w:rPr>
            <w:t>109</w:t>
          </w:r>
          <w:r>
            <w:rPr>
              <w:rFonts w:hint="eastAsia"/>
              <w:color w:val="auto"/>
              <w:sz w:val="24"/>
              <w:szCs w:val="24"/>
            </w:rPr>
            <w:fldChar w:fldCharType="end"/>
          </w:r>
          <w:r>
            <w:rPr>
              <w:rFonts w:hint="eastAsia"/>
              <w:color w:val="auto"/>
              <w:sz w:val="24"/>
              <w:szCs w:val="24"/>
            </w:rPr>
            <w:fldChar w:fldCharType="end"/>
          </w:r>
        </w:p>
        <w:p>
          <w:pPr>
            <w:pStyle w:val="17"/>
            <w:tabs>
              <w:tab w:val="right" w:leader="dot" w:pos="9060"/>
            </w:tabs>
            <w:rPr>
              <w:rFonts w:hint="eastAsia"/>
              <w:color w:val="auto"/>
              <w:sz w:val="24"/>
              <w:szCs w:val="24"/>
              <w14:ligatures w14:val="standardContextual"/>
            </w:rPr>
          </w:pPr>
          <w:r>
            <w:rPr>
              <w:color w:val="auto"/>
            </w:rPr>
            <w:fldChar w:fldCharType="begin"/>
          </w:r>
          <w:r>
            <w:rPr>
              <w:color w:val="auto"/>
            </w:rPr>
            <w:instrText xml:space="preserve"> HYPERLINK \l "_Toc237556464" </w:instrText>
          </w:r>
          <w:r>
            <w:rPr>
              <w:color w:val="auto"/>
            </w:rPr>
            <w:fldChar w:fldCharType="separate"/>
          </w:r>
          <w:r>
            <w:rPr>
              <w:rStyle w:val="23"/>
              <w:rFonts w:ascii="宋体" w:hAnsi="宋体" w:eastAsia="宋体"/>
              <w:color w:val="auto"/>
              <w:sz w:val="24"/>
              <w:szCs w:val="24"/>
            </w:rPr>
            <w:t>附件5-3：合成氨企业检查表</w:t>
          </w:r>
          <w:r>
            <w:rPr>
              <w:rFonts w:hint="eastAsia"/>
              <w:color w:val="auto"/>
              <w:sz w:val="24"/>
              <w:szCs w:val="24"/>
            </w:rPr>
            <w:tab/>
          </w:r>
          <w:r>
            <w:rPr>
              <w:rFonts w:hint="eastAsia"/>
              <w:color w:val="auto"/>
              <w:sz w:val="24"/>
              <w:szCs w:val="24"/>
            </w:rPr>
            <w:fldChar w:fldCharType="begin"/>
          </w:r>
          <w:r>
            <w:rPr>
              <w:rFonts w:hint="eastAsia"/>
              <w:color w:val="auto"/>
              <w:sz w:val="24"/>
              <w:szCs w:val="24"/>
            </w:rPr>
            <w:instrText xml:space="preserve"> </w:instrText>
          </w:r>
          <w:r>
            <w:rPr>
              <w:color w:val="auto"/>
              <w:sz w:val="24"/>
              <w:szCs w:val="24"/>
            </w:rPr>
            <w:instrText xml:space="preserve">PAGEREF _Toc237556464 \h</w:instrText>
          </w:r>
          <w:r>
            <w:rPr>
              <w:rFonts w:hint="eastAsia"/>
              <w:color w:val="auto"/>
              <w:sz w:val="24"/>
              <w:szCs w:val="24"/>
            </w:rPr>
            <w:instrText xml:space="preserve"> </w:instrText>
          </w:r>
          <w:r>
            <w:rPr>
              <w:rFonts w:hint="eastAsia"/>
              <w:color w:val="auto"/>
              <w:sz w:val="24"/>
              <w:szCs w:val="24"/>
            </w:rPr>
            <w:fldChar w:fldCharType="separate"/>
          </w:r>
          <w:r>
            <w:rPr>
              <w:rFonts w:hint="eastAsia"/>
              <w:color w:val="auto"/>
              <w:sz w:val="24"/>
              <w:szCs w:val="24"/>
            </w:rPr>
            <w:t>113</w:t>
          </w:r>
          <w:r>
            <w:rPr>
              <w:rFonts w:hint="eastAsia"/>
              <w:color w:val="auto"/>
              <w:sz w:val="24"/>
              <w:szCs w:val="24"/>
            </w:rPr>
            <w:fldChar w:fldCharType="end"/>
          </w:r>
          <w:r>
            <w:rPr>
              <w:rFonts w:hint="eastAsia"/>
              <w:color w:val="auto"/>
              <w:sz w:val="24"/>
              <w:szCs w:val="24"/>
            </w:rPr>
            <w:fldChar w:fldCharType="end"/>
          </w:r>
        </w:p>
        <w:p>
          <w:pPr>
            <w:pStyle w:val="17"/>
            <w:tabs>
              <w:tab w:val="right" w:leader="dot" w:pos="9060"/>
            </w:tabs>
            <w:rPr>
              <w:rFonts w:hint="eastAsia"/>
              <w:color w:val="auto"/>
              <w:sz w:val="24"/>
              <w:szCs w:val="24"/>
              <w14:ligatures w14:val="standardContextual"/>
            </w:rPr>
          </w:pPr>
          <w:r>
            <w:rPr>
              <w:color w:val="auto"/>
            </w:rPr>
            <w:fldChar w:fldCharType="begin"/>
          </w:r>
          <w:r>
            <w:rPr>
              <w:color w:val="auto"/>
            </w:rPr>
            <w:instrText xml:space="preserve"> HYPERLINK \l "_Toc237556465" </w:instrText>
          </w:r>
          <w:r>
            <w:rPr>
              <w:color w:val="auto"/>
            </w:rPr>
            <w:fldChar w:fldCharType="separate"/>
          </w:r>
          <w:r>
            <w:rPr>
              <w:rStyle w:val="23"/>
              <w:rFonts w:ascii="宋体" w:hAnsi="宋体" w:eastAsia="宋体"/>
              <w:color w:val="auto"/>
              <w:sz w:val="24"/>
              <w:szCs w:val="24"/>
            </w:rPr>
            <w:t>附件5-4：过氧化氢企业检查表</w:t>
          </w:r>
          <w:r>
            <w:rPr>
              <w:rFonts w:hint="eastAsia"/>
              <w:color w:val="auto"/>
              <w:sz w:val="24"/>
              <w:szCs w:val="24"/>
            </w:rPr>
            <w:tab/>
          </w:r>
          <w:r>
            <w:rPr>
              <w:rFonts w:hint="eastAsia"/>
              <w:color w:val="auto"/>
              <w:sz w:val="24"/>
              <w:szCs w:val="24"/>
            </w:rPr>
            <w:fldChar w:fldCharType="begin"/>
          </w:r>
          <w:r>
            <w:rPr>
              <w:rFonts w:hint="eastAsia"/>
              <w:color w:val="auto"/>
              <w:sz w:val="24"/>
              <w:szCs w:val="24"/>
            </w:rPr>
            <w:instrText xml:space="preserve"> </w:instrText>
          </w:r>
          <w:r>
            <w:rPr>
              <w:color w:val="auto"/>
              <w:sz w:val="24"/>
              <w:szCs w:val="24"/>
            </w:rPr>
            <w:instrText xml:space="preserve">PAGEREF _Toc237556465 \h</w:instrText>
          </w:r>
          <w:r>
            <w:rPr>
              <w:rFonts w:hint="eastAsia"/>
              <w:color w:val="auto"/>
              <w:sz w:val="24"/>
              <w:szCs w:val="24"/>
            </w:rPr>
            <w:instrText xml:space="preserve"> </w:instrText>
          </w:r>
          <w:r>
            <w:rPr>
              <w:rFonts w:hint="eastAsia"/>
              <w:color w:val="auto"/>
              <w:sz w:val="24"/>
              <w:szCs w:val="24"/>
            </w:rPr>
            <w:fldChar w:fldCharType="separate"/>
          </w:r>
          <w:r>
            <w:rPr>
              <w:rFonts w:hint="eastAsia"/>
              <w:color w:val="auto"/>
              <w:sz w:val="24"/>
              <w:szCs w:val="24"/>
            </w:rPr>
            <w:t>120</w:t>
          </w:r>
          <w:r>
            <w:rPr>
              <w:rFonts w:hint="eastAsia"/>
              <w:color w:val="auto"/>
              <w:sz w:val="24"/>
              <w:szCs w:val="24"/>
            </w:rPr>
            <w:fldChar w:fldCharType="end"/>
          </w:r>
          <w:r>
            <w:rPr>
              <w:rFonts w:hint="eastAsia"/>
              <w:color w:val="auto"/>
              <w:sz w:val="24"/>
              <w:szCs w:val="24"/>
            </w:rPr>
            <w:fldChar w:fldCharType="end"/>
          </w:r>
        </w:p>
        <w:p>
          <w:pPr>
            <w:pStyle w:val="17"/>
            <w:tabs>
              <w:tab w:val="right" w:leader="dot" w:pos="9060"/>
            </w:tabs>
            <w:rPr>
              <w:rFonts w:hint="eastAsia"/>
              <w:color w:val="auto"/>
              <w:sz w:val="24"/>
              <w:szCs w:val="24"/>
              <w14:ligatures w14:val="standardContextual"/>
            </w:rPr>
          </w:pPr>
          <w:r>
            <w:rPr>
              <w:color w:val="auto"/>
            </w:rPr>
            <w:fldChar w:fldCharType="begin"/>
          </w:r>
          <w:r>
            <w:rPr>
              <w:color w:val="auto"/>
            </w:rPr>
            <w:instrText xml:space="preserve"> HYPERLINK \l "_Toc237556466" </w:instrText>
          </w:r>
          <w:r>
            <w:rPr>
              <w:color w:val="auto"/>
            </w:rPr>
            <w:fldChar w:fldCharType="separate"/>
          </w:r>
          <w:r>
            <w:rPr>
              <w:rStyle w:val="23"/>
              <w:rFonts w:ascii="宋体" w:hAnsi="宋体" w:eastAsia="宋体"/>
              <w:color w:val="auto"/>
              <w:sz w:val="24"/>
              <w:szCs w:val="24"/>
            </w:rPr>
            <w:t>附件5-5：多晶硅企业检查表</w:t>
          </w:r>
          <w:r>
            <w:rPr>
              <w:rFonts w:hint="eastAsia"/>
              <w:color w:val="auto"/>
              <w:sz w:val="24"/>
              <w:szCs w:val="24"/>
            </w:rPr>
            <w:tab/>
          </w:r>
          <w:r>
            <w:rPr>
              <w:rFonts w:hint="eastAsia"/>
              <w:color w:val="auto"/>
              <w:sz w:val="24"/>
              <w:szCs w:val="24"/>
            </w:rPr>
            <w:fldChar w:fldCharType="begin"/>
          </w:r>
          <w:r>
            <w:rPr>
              <w:rFonts w:hint="eastAsia"/>
              <w:color w:val="auto"/>
              <w:sz w:val="24"/>
              <w:szCs w:val="24"/>
            </w:rPr>
            <w:instrText xml:space="preserve"> </w:instrText>
          </w:r>
          <w:r>
            <w:rPr>
              <w:color w:val="auto"/>
              <w:sz w:val="24"/>
              <w:szCs w:val="24"/>
            </w:rPr>
            <w:instrText xml:space="preserve">PAGEREF _Toc237556466 \h</w:instrText>
          </w:r>
          <w:r>
            <w:rPr>
              <w:rFonts w:hint="eastAsia"/>
              <w:color w:val="auto"/>
              <w:sz w:val="24"/>
              <w:szCs w:val="24"/>
            </w:rPr>
            <w:instrText xml:space="preserve"> </w:instrText>
          </w:r>
          <w:r>
            <w:rPr>
              <w:rFonts w:hint="eastAsia"/>
              <w:color w:val="auto"/>
              <w:sz w:val="24"/>
              <w:szCs w:val="24"/>
            </w:rPr>
            <w:fldChar w:fldCharType="separate"/>
          </w:r>
          <w:r>
            <w:rPr>
              <w:rFonts w:hint="eastAsia"/>
              <w:color w:val="auto"/>
              <w:sz w:val="24"/>
              <w:szCs w:val="24"/>
            </w:rPr>
            <w:t>127</w:t>
          </w:r>
          <w:r>
            <w:rPr>
              <w:rFonts w:hint="eastAsia"/>
              <w:color w:val="auto"/>
              <w:sz w:val="24"/>
              <w:szCs w:val="24"/>
            </w:rPr>
            <w:fldChar w:fldCharType="end"/>
          </w:r>
          <w:r>
            <w:rPr>
              <w:rFonts w:hint="eastAsia"/>
              <w:color w:val="auto"/>
              <w:sz w:val="24"/>
              <w:szCs w:val="24"/>
            </w:rPr>
            <w:fldChar w:fldCharType="end"/>
          </w:r>
        </w:p>
        <w:p>
          <w:pPr>
            <w:pStyle w:val="17"/>
            <w:tabs>
              <w:tab w:val="right" w:leader="dot" w:pos="9060"/>
            </w:tabs>
            <w:rPr>
              <w:rFonts w:hint="eastAsia"/>
              <w:color w:val="auto"/>
              <w:sz w:val="24"/>
              <w:szCs w:val="24"/>
              <w14:ligatures w14:val="standardContextual"/>
            </w:rPr>
          </w:pPr>
          <w:r>
            <w:rPr>
              <w:color w:val="auto"/>
            </w:rPr>
            <w:fldChar w:fldCharType="begin"/>
          </w:r>
          <w:r>
            <w:rPr>
              <w:color w:val="auto"/>
            </w:rPr>
            <w:instrText xml:space="preserve"> HYPERLINK \l "_Toc237556467" </w:instrText>
          </w:r>
          <w:r>
            <w:rPr>
              <w:color w:val="auto"/>
            </w:rPr>
            <w:fldChar w:fldCharType="separate"/>
          </w:r>
          <w:r>
            <w:rPr>
              <w:rStyle w:val="23"/>
              <w:rFonts w:ascii="宋体" w:hAnsi="宋体" w:eastAsia="宋体"/>
              <w:color w:val="auto"/>
              <w:sz w:val="24"/>
              <w:szCs w:val="24"/>
            </w:rPr>
            <w:t>附件5-6：有机硅企业检查表</w:t>
          </w:r>
          <w:r>
            <w:rPr>
              <w:rFonts w:hint="eastAsia"/>
              <w:color w:val="auto"/>
              <w:sz w:val="24"/>
              <w:szCs w:val="24"/>
            </w:rPr>
            <w:tab/>
          </w:r>
          <w:r>
            <w:rPr>
              <w:rFonts w:hint="eastAsia"/>
              <w:color w:val="auto"/>
              <w:sz w:val="24"/>
              <w:szCs w:val="24"/>
            </w:rPr>
            <w:fldChar w:fldCharType="begin"/>
          </w:r>
          <w:r>
            <w:rPr>
              <w:rFonts w:hint="eastAsia"/>
              <w:color w:val="auto"/>
              <w:sz w:val="24"/>
              <w:szCs w:val="24"/>
            </w:rPr>
            <w:instrText xml:space="preserve"> </w:instrText>
          </w:r>
          <w:r>
            <w:rPr>
              <w:color w:val="auto"/>
              <w:sz w:val="24"/>
              <w:szCs w:val="24"/>
            </w:rPr>
            <w:instrText xml:space="preserve">PAGEREF _Toc237556467 \h</w:instrText>
          </w:r>
          <w:r>
            <w:rPr>
              <w:rFonts w:hint="eastAsia"/>
              <w:color w:val="auto"/>
              <w:sz w:val="24"/>
              <w:szCs w:val="24"/>
            </w:rPr>
            <w:instrText xml:space="preserve"> </w:instrText>
          </w:r>
          <w:r>
            <w:rPr>
              <w:rFonts w:hint="eastAsia"/>
              <w:color w:val="auto"/>
              <w:sz w:val="24"/>
              <w:szCs w:val="24"/>
            </w:rPr>
            <w:fldChar w:fldCharType="separate"/>
          </w:r>
          <w:r>
            <w:rPr>
              <w:rFonts w:hint="eastAsia"/>
              <w:color w:val="auto"/>
              <w:sz w:val="24"/>
              <w:szCs w:val="24"/>
            </w:rPr>
            <w:t>131</w:t>
          </w:r>
          <w:r>
            <w:rPr>
              <w:rFonts w:hint="eastAsia"/>
              <w:color w:val="auto"/>
              <w:sz w:val="24"/>
              <w:szCs w:val="24"/>
            </w:rPr>
            <w:fldChar w:fldCharType="end"/>
          </w:r>
          <w:r>
            <w:rPr>
              <w:rFonts w:hint="eastAsia"/>
              <w:color w:val="auto"/>
              <w:sz w:val="24"/>
              <w:szCs w:val="24"/>
            </w:rPr>
            <w:fldChar w:fldCharType="end"/>
          </w:r>
        </w:p>
        <w:p>
          <w:pPr>
            <w:pStyle w:val="17"/>
            <w:tabs>
              <w:tab w:val="right" w:leader="dot" w:pos="9060"/>
            </w:tabs>
            <w:rPr>
              <w:rFonts w:hint="eastAsia"/>
              <w:color w:val="auto"/>
              <w:sz w:val="24"/>
              <w:szCs w:val="24"/>
              <w14:ligatures w14:val="standardContextual"/>
            </w:rPr>
          </w:pPr>
          <w:r>
            <w:rPr>
              <w:color w:val="auto"/>
            </w:rPr>
            <w:fldChar w:fldCharType="begin"/>
          </w:r>
          <w:r>
            <w:rPr>
              <w:color w:val="auto"/>
            </w:rPr>
            <w:instrText xml:space="preserve"> HYPERLINK \l "_Toc237556468" </w:instrText>
          </w:r>
          <w:r>
            <w:rPr>
              <w:color w:val="auto"/>
            </w:rPr>
            <w:fldChar w:fldCharType="separate"/>
          </w:r>
          <w:r>
            <w:rPr>
              <w:rStyle w:val="23"/>
              <w:rFonts w:ascii="宋体" w:hAnsi="宋体" w:eastAsia="宋体"/>
              <w:color w:val="auto"/>
              <w:sz w:val="24"/>
              <w:szCs w:val="24"/>
            </w:rPr>
            <w:t>附件5-7：氟化工企业检查表</w:t>
          </w:r>
          <w:r>
            <w:rPr>
              <w:rFonts w:hint="eastAsia"/>
              <w:color w:val="auto"/>
              <w:sz w:val="24"/>
              <w:szCs w:val="24"/>
            </w:rPr>
            <w:tab/>
          </w:r>
          <w:r>
            <w:rPr>
              <w:rFonts w:hint="eastAsia"/>
              <w:color w:val="auto"/>
              <w:sz w:val="24"/>
              <w:szCs w:val="24"/>
            </w:rPr>
            <w:fldChar w:fldCharType="begin"/>
          </w:r>
          <w:r>
            <w:rPr>
              <w:rFonts w:hint="eastAsia"/>
              <w:color w:val="auto"/>
              <w:sz w:val="24"/>
              <w:szCs w:val="24"/>
            </w:rPr>
            <w:instrText xml:space="preserve"> </w:instrText>
          </w:r>
          <w:r>
            <w:rPr>
              <w:color w:val="auto"/>
              <w:sz w:val="24"/>
              <w:szCs w:val="24"/>
            </w:rPr>
            <w:instrText xml:space="preserve">PAGEREF _Toc237556468 \h</w:instrText>
          </w:r>
          <w:r>
            <w:rPr>
              <w:rFonts w:hint="eastAsia"/>
              <w:color w:val="auto"/>
              <w:sz w:val="24"/>
              <w:szCs w:val="24"/>
            </w:rPr>
            <w:instrText xml:space="preserve"> </w:instrText>
          </w:r>
          <w:r>
            <w:rPr>
              <w:rFonts w:hint="eastAsia"/>
              <w:color w:val="auto"/>
              <w:sz w:val="24"/>
              <w:szCs w:val="24"/>
            </w:rPr>
            <w:fldChar w:fldCharType="separate"/>
          </w:r>
          <w:r>
            <w:rPr>
              <w:rFonts w:hint="eastAsia"/>
              <w:color w:val="auto"/>
              <w:sz w:val="24"/>
              <w:szCs w:val="24"/>
            </w:rPr>
            <w:t>135</w:t>
          </w:r>
          <w:r>
            <w:rPr>
              <w:rFonts w:hint="eastAsia"/>
              <w:color w:val="auto"/>
              <w:sz w:val="24"/>
              <w:szCs w:val="24"/>
            </w:rPr>
            <w:fldChar w:fldCharType="end"/>
          </w:r>
          <w:r>
            <w:rPr>
              <w:rFonts w:hint="eastAsia"/>
              <w:color w:val="auto"/>
              <w:sz w:val="24"/>
              <w:szCs w:val="24"/>
            </w:rPr>
            <w:fldChar w:fldCharType="end"/>
          </w:r>
        </w:p>
        <w:p>
          <w:pPr>
            <w:pStyle w:val="17"/>
            <w:tabs>
              <w:tab w:val="right" w:leader="dot" w:pos="9060"/>
            </w:tabs>
            <w:rPr>
              <w:rFonts w:hint="eastAsia"/>
              <w:color w:val="auto"/>
              <w:sz w:val="24"/>
              <w:szCs w:val="24"/>
              <w14:ligatures w14:val="standardContextual"/>
            </w:rPr>
          </w:pPr>
          <w:r>
            <w:rPr>
              <w:color w:val="auto"/>
            </w:rPr>
            <w:fldChar w:fldCharType="begin"/>
          </w:r>
          <w:r>
            <w:rPr>
              <w:color w:val="auto"/>
            </w:rPr>
            <w:instrText xml:space="preserve"> HYPERLINK \l "_Toc237556469" </w:instrText>
          </w:r>
          <w:r>
            <w:rPr>
              <w:color w:val="auto"/>
            </w:rPr>
            <w:fldChar w:fldCharType="separate"/>
          </w:r>
          <w:r>
            <w:rPr>
              <w:rStyle w:val="23"/>
              <w:rFonts w:ascii="宋体" w:hAnsi="宋体" w:eastAsia="宋体"/>
              <w:color w:val="auto"/>
              <w:sz w:val="24"/>
              <w:szCs w:val="24"/>
            </w:rPr>
            <w:t>附件5-8：焦化企业检查表</w:t>
          </w:r>
          <w:r>
            <w:rPr>
              <w:rFonts w:hint="eastAsia"/>
              <w:color w:val="auto"/>
              <w:sz w:val="24"/>
              <w:szCs w:val="24"/>
            </w:rPr>
            <w:tab/>
          </w:r>
          <w:r>
            <w:rPr>
              <w:rFonts w:hint="eastAsia"/>
              <w:color w:val="auto"/>
              <w:sz w:val="24"/>
              <w:szCs w:val="24"/>
            </w:rPr>
            <w:fldChar w:fldCharType="begin"/>
          </w:r>
          <w:r>
            <w:rPr>
              <w:rFonts w:hint="eastAsia"/>
              <w:color w:val="auto"/>
              <w:sz w:val="24"/>
              <w:szCs w:val="24"/>
            </w:rPr>
            <w:instrText xml:space="preserve"> </w:instrText>
          </w:r>
          <w:r>
            <w:rPr>
              <w:color w:val="auto"/>
              <w:sz w:val="24"/>
              <w:szCs w:val="24"/>
            </w:rPr>
            <w:instrText xml:space="preserve">PAGEREF _Toc237556469 \h</w:instrText>
          </w:r>
          <w:r>
            <w:rPr>
              <w:rFonts w:hint="eastAsia"/>
              <w:color w:val="auto"/>
              <w:sz w:val="24"/>
              <w:szCs w:val="24"/>
            </w:rPr>
            <w:instrText xml:space="preserve"> </w:instrText>
          </w:r>
          <w:r>
            <w:rPr>
              <w:rFonts w:hint="eastAsia"/>
              <w:color w:val="auto"/>
              <w:sz w:val="24"/>
              <w:szCs w:val="24"/>
            </w:rPr>
            <w:fldChar w:fldCharType="separate"/>
          </w:r>
          <w:r>
            <w:rPr>
              <w:rFonts w:hint="eastAsia"/>
              <w:color w:val="auto"/>
              <w:sz w:val="24"/>
              <w:szCs w:val="24"/>
            </w:rPr>
            <w:t>138</w:t>
          </w:r>
          <w:r>
            <w:rPr>
              <w:rFonts w:hint="eastAsia"/>
              <w:color w:val="auto"/>
              <w:sz w:val="24"/>
              <w:szCs w:val="24"/>
            </w:rPr>
            <w:fldChar w:fldCharType="end"/>
          </w:r>
          <w:r>
            <w:rPr>
              <w:rFonts w:hint="eastAsia"/>
              <w:color w:val="auto"/>
              <w:sz w:val="24"/>
              <w:szCs w:val="24"/>
            </w:rPr>
            <w:fldChar w:fldCharType="end"/>
          </w:r>
        </w:p>
        <w:p>
          <w:pPr>
            <w:pStyle w:val="17"/>
            <w:tabs>
              <w:tab w:val="right" w:leader="dot" w:pos="9060"/>
            </w:tabs>
            <w:rPr>
              <w:rFonts w:hint="eastAsia"/>
              <w:color w:val="auto"/>
              <w:sz w:val="24"/>
              <w:szCs w:val="24"/>
              <w14:ligatures w14:val="standardContextual"/>
            </w:rPr>
          </w:pPr>
          <w:r>
            <w:rPr>
              <w:color w:val="auto"/>
            </w:rPr>
            <w:fldChar w:fldCharType="begin"/>
          </w:r>
          <w:r>
            <w:rPr>
              <w:color w:val="auto"/>
            </w:rPr>
            <w:instrText xml:space="preserve"> HYPERLINK \l "_Toc237556470" </w:instrText>
          </w:r>
          <w:r>
            <w:rPr>
              <w:color w:val="auto"/>
            </w:rPr>
            <w:fldChar w:fldCharType="separate"/>
          </w:r>
          <w:r>
            <w:rPr>
              <w:rStyle w:val="23"/>
              <w:rFonts w:ascii="宋体" w:hAnsi="宋体" w:eastAsia="宋体"/>
              <w:color w:val="auto"/>
              <w:sz w:val="24"/>
              <w:szCs w:val="24"/>
            </w:rPr>
            <w:t>附件5-9：黄磷企业检查表</w:t>
          </w:r>
          <w:r>
            <w:rPr>
              <w:rFonts w:hint="eastAsia"/>
              <w:color w:val="auto"/>
              <w:sz w:val="24"/>
              <w:szCs w:val="24"/>
            </w:rPr>
            <w:tab/>
          </w:r>
          <w:r>
            <w:rPr>
              <w:rFonts w:hint="eastAsia"/>
              <w:color w:val="auto"/>
              <w:sz w:val="24"/>
              <w:szCs w:val="24"/>
            </w:rPr>
            <w:fldChar w:fldCharType="begin"/>
          </w:r>
          <w:r>
            <w:rPr>
              <w:rFonts w:hint="eastAsia"/>
              <w:color w:val="auto"/>
              <w:sz w:val="24"/>
              <w:szCs w:val="24"/>
            </w:rPr>
            <w:instrText xml:space="preserve"> </w:instrText>
          </w:r>
          <w:r>
            <w:rPr>
              <w:color w:val="auto"/>
              <w:sz w:val="24"/>
              <w:szCs w:val="24"/>
            </w:rPr>
            <w:instrText xml:space="preserve">PAGEREF _Toc237556470 \h</w:instrText>
          </w:r>
          <w:r>
            <w:rPr>
              <w:rFonts w:hint="eastAsia"/>
              <w:color w:val="auto"/>
              <w:sz w:val="24"/>
              <w:szCs w:val="24"/>
            </w:rPr>
            <w:instrText xml:space="preserve"> </w:instrText>
          </w:r>
          <w:r>
            <w:rPr>
              <w:rFonts w:hint="eastAsia"/>
              <w:color w:val="auto"/>
              <w:sz w:val="24"/>
              <w:szCs w:val="24"/>
            </w:rPr>
            <w:fldChar w:fldCharType="separate"/>
          </w:r>
          <w:r>
            <w:rPr>
              <w:rFonts w:hint="eastAsia"/>
              <w:color w:val="auto"/>
              <w:sz w:val="24"/>
              <w:szCs w:val="24"/>
            </w:rPr>
            <w:t>146</w:t>
          </w:r>
          <w:r>
            <w:rPr>
              <w:rFonts w:hint="eastAsia"/>
              <w:color w:val="auto"/>
              <w:sz w:val="24"/>
              <w:szCs w:val="24"/>
            </w:rPr>
            <w:fldChar w:fldCharType="end"/>
          </w:r>
          <w:r>
            <w:rPr>
              <w:rFonts w:hint="eastAsia"/>
              <w:color w:val="auto"/>
              <w:sz w:val="24"/>
              <w:szCs w:val="24"/>
            </w:rPr>
            <w:fldChar w:fldCharType="end"/>
          </w:r>
        </w:p>
        <w:p>
          <w:pPr>
            <w:pStyle w:val="17"/>
            <w:tabs>
              <w:tab w:val="right" w:leader="dot" w:pos="9060"/>
            </w:tabs>
            <w:rPr>
              <w:rFonts w:hint="eastAsia"/>
              <w:color w:val="auto"/>
              <w:sz w:val="24"/>
              <w:szCs w:val="24"/>
              <w14:ligatures w14:val="standardContextual"/>
            </w:rPr>
          </w:pPr>
          <w:r>
            <w:rPr>
              <w:color w:val="auto"/>
            </w:rPr>
            <w:fldChar w:fldCharType="begin"/>
          </w:r>
          <w:r>
            <w:rPr>
              <w:color w:val="auto"/>
            </w:rPr>
            <w:instrText xml:space="preserve"> HYPERLINK \l "_Toc237556471" </w:instrText>
          </w:r>
          <w:r>
            <w:rPr>
              <w:color w:val="auto"/>
            </w:rPr>
            <w:fldChar w:fldCharType="separate"/>
          </w:r>
          <w:r>
            <w:rPr>
              <w:rStyle w:val="23"/>
              <w:rFonts w:ascii="宋体" w:hAnsi="宋体" w:eastAsia="宋体"/>
              <w:color w:val="auto"/>
              <w:sz w:val="24"/>
              <w:szCs w:val="24"/>
            </w:rPr>
            <w:t>附件5-10：硝化企业检查表</w:t>
          </w:r>
          <w:r>
            <w:rPr>
              <w:rFonts w:hint="eastAsia"/>
              <w:color w:val="auto"/>
              <w:sz w:val="24"/>
              <w:szCs w:val="24"/>
            </w:rPr>
            <w:tab/>
          </w:r>
          <w:r>
            <w:rPr>
              <w:rFonts w:hint="eastAsia"/>
              <w:color w:val="auto"/>
              <w:sz w:val="24"/>
              <w:szCs w:val="24"/>
            </w:rPr>
            <w:fldChar w:fldCharType="begin"/>
          </w:r>
          <w:r>
            <w:rPr>
              <w:rFonts w:hint="eastAsia"/>
              <w:color w:val="auto"/>
              <w:sz w:val="24"/>
              <w:szCs w:val="24"/>
            </w:rPr>
            <w:instrText xml:space="preserve"> </w:instrText>
          </w:r>
          <w:r>
            <w:rPr>
              <w:color w:val="auto"/>
              <w:sz w:val="24"/>
              <w:szCs w:val="24"/>
            </w:rPr>
            <w:instrText xml:space="preserve">PAGEREF _Toc237556471 \h</w:instrText>
          </w:r>
          <w:r>
            <w:rPr>
              <w:rFonts w:hint="eastAsia"/>
              <w:color w:val="auto"/>
              <w:sz w:val="24"/>
              <w:szCs w:val="24"/>
            </w:rPr>
            <w:instrText xml:space="preserve"> </w:instrText>
          </w:r>
          <w:r>
            <w:rPr>
              <w:rFonts w:hint="eastAsia"/>
              <w:color w:val="auto"/>
              <w:sz w:val="24"/>
              <w:szCs w:val="24"/>
            </w:rPr>
            <w:fldChar w:fldCharType="separate"/>
          </w:r>
          <w:r>
            <w:rPr>
              <w:rFonts w:hint="eastAsia"/>
              <w:color w:val="auto"/>
              <w:sz w:val="24"/>
              <w:szCs w:val="24"/>
            </w:rPr>
            <w:t>150</w:t>
          </w:r>
          <w:r>
            <w:rPr>
              <w:rFonts w:hint="eastAsia"/>
              <w:color w:val="auto"/>
              <w:sz w:val="24"/>
              <w:szCs w:val="24"/>
            </w:rPr>
            <w:fldChar w:fldCharType="end"/>
          </w:r>
          <w:r>
            <w:rPr>
              <w:rFonts w:hint="eastAsia"/>
              <w:color w:val="auto"/>
              <w:sz w:val="24"/>
              <w:szCs w:val="24"/>
            </w:rPr>
            <w:fldChar w:fldCharType="end"/>
          </w:r>
        </w:p>
        <w:p>
          <w:pPr>
            <w:pStyle w:val="17"/>
            <w:tabs>
              <w:tab w:val="right" w:leader="dot" w:pos="9060"/>
            </w:tabs>
            <w:rPr>
              <w:rFonts w:hint="eastAsia"/>
              <w:color w:val="auto"/>
              <w:sz w:val="22"/>
              <w:szCs w:val="24"/>
              <w14:ligatures w14:val="standardContextual"/>
            </w:rPr>
          </w:pPr>
          <w:r>
            <w:rPr>
              <w:color w:val="auto"/>
            </w:rPr>
            <w:fldChar w:fldCharType="begin"/>
          </w:r>
          <w:r>
            <w:rPr>
              <w:color w:val="auto"/>
            </w:rPr>
            <w:instrText xml:space="preserve"> HYPERLINK \l "_Toc237556472" </w:instrText>
          </w:r>
          <w:r>
            <w:rPr>
              <w:color w:val="auto"/>
            </w:rPr>
            <w:fldChar w:fldCharType="separate"/>
          </w:r>
          <w:r>
            <w:rPr>
              <w:rStyle w:val="23"/>
              <w:rFonts w:ascii="宋体" w:hAnsi="宋体" w:eastAsia="宋体"/>
              <w:color w:val="auto"/>
              <w:sz w:val="24"/>
              <w:szCs w:val="24"/>
            </w:rPr>
            <w:t>附件6：安全诊断报告</w:t>
          </w:r>
          <w:r>
            <w:rPr>
              <w:rFonts w:hint="eastAsia"/>
              <w:color w:val="auto"/>
              <w:sz w:val="24"/>
              <w:szCs w:val="24"/>
            </w:rPr>
            <w:tab/>
          </w:r>
          <w:r>
            <w:rPr>
              <w:rFonts w:hint="eastAsia"/>
              <w:color w:val="auto"/>
              <w:sz w:val="24"/>
              <w:szCs w:val="24"/>
            </w:rPr>
            <w:fldChar w:fldCharType="begin"/>
          </w:r>
          <w:r>
            <w:rPr>
              <w:rFonts w:hint="eastAsia"/>
              <w:color w:val="auto"/>
              <w:sz w:val="24"/>
              <w:szCs w:val="24"/>
            </w:rPr>
            <w:instrText xml:space="preserve"> </w:instrText>
          </w:r>
          <w:r>
            <w:rPr>
              <w:color w:val="auto"/>
              <w:sz w:val="24"/>
              <w:szCs w:val="24"/>
            </w:rPr>
            <w:instrText xml:space="preserve">PAGEREF _Toc237556472 \h</w:instrText>
          </w:r>
          <w:r>
            <w:rPr>
              <w:rFonts w:hint="eastAsia"/>
              <w:color w:val="auto"/>
              <w:sz w:val="24"/>
              <w:szCs w:val="24"/>
            </w:rPr>
            <w:instrText xml:space="preserve"> </w:instrText>
          </w:r>
          <w:r>
            <w:rPr>
              <w:rFonts w:hint="eastAsia"/>
              <w:color w:val="auto"/>
              <w:sz w:val="24"/>
              <w:szCs w:val="24"/>
            </w:rPr>
            <w:fldChar w:fldCharType="separate"/>
          </w:r>
          <w:r>
            <w:rPr>
              <w:rFonts w:hint="eastAsia"/>
              <w:color w:val="auto"/>
              <w:sz w:val="24"/>
              <w:szCs w:val="24"/>
            </w:rPr>
            <w:t>158</w:t>
          </w:r>
          <w:r>
            <w:rPr>
              <w:rFonts w:hint="eastAsia"/>
              <w:color w:val="auto"/>
              <w:sz w:val="24"/>
              <w:szCs w:val="24"/>
            </w:rPr>
            <w:fldChar w:fldCharType="end"/>
          </w:r>
          <w:r>
            <w:rPr>
              <w:rFonts w:hint="eastAsia"/>
              <w:color w:val="auto"/>
              <w:sz w:val="24"/>
              <w:szCs w:val="24"/>
            </w:rPr>
            <w:fldChar w:fldCharType="end"/>
          </w:r>
        </w:p>
        <w:p>
          <w:pPr>
            <w:rPr>
              <w:rFonts w:hint="eastAsia"/>
              <w:color w:val="auto"/>
              <w:sz w:val="28"/>
              <w:szCs w:val="28"/>
            </w:rPr>
          </w:pPr>
          <w:r>
            <w:rPr>
              <w:b/>
              <w:bCs/>
              <w:color w:val="auto"/>
              <w:sz w:val="28"/>
              <w:szCs w:val="28"/>
              <w:lang w:val="zh-CN"/>
            </w:rPr>
            <w:fldChar w:fldCharType="end"/>
          </w:r>
        </w:p>
      </w:sdtContent>
    </w:sdt>
    <w:p>
      <w:pPr>
        <w:widowControl/>
        <w:jc w:val="left"/>
        <w:rPr>
          <w:rFonts w:hint="eastAsia"/>
          <w:color w:val="auto"/>
          <w:sz w:val="28"/>
          <w:szCs w:val="28"/>
        </w:rPr>
        <w:sectPr>
          <w:headerReference r:id="rId5" w:type="first"/>
          <w:footerReference r:id="rId8" w:type="first"/>
          <w:headerReference r:id="rId3" w:type="default"/>
          <w:footerReference r:id="rId6" w:type="default"/>
          <w:headerReference r:id="rId4" w:type="even"/>
          <w:footerReference r:id="rId7" w:type="even"/>
          <w:pgSz w:w="11906" w:h="16838"/>
          <w:pgMar w:top="1134" w:right="1418" w:bottom="1134" w:left="1418" w:header="851" w:footer="992" w:gutter="0"/>
          <w:cols w:space="425" w:num="1"/>
          <w:titlePg/>
          <w:docGrid w:type="lines" w:linePitch="312" w:charSpace="0"/>
        </w:sectPr>
      </w:pPr>
      <w:r>
        <w:rPr>
          <w:rFonts w:hint="eastAsia"/>
          <w:color w:val="auto"/>
          <w:sz w:val="28"/>
          <w:szCs w:val="28"/>
        </w:rPr>
        <w:br w:type="page"/>
      </w:r>
    </w:p>
    <w:p>
      <w:pPr>
        <w:jc w:val="center"/>
        <w:rPr>
          <w:rFonts w:hint="eastAsia" w:ascii="微软雅黑" w:hAnsi="微软雅黑" w:eastAsia="微软雅黑"/>
          <w:color w:val="auto"/>
          <w:sz w:val="44"/>
          <w:szCs w:val="44"/>
        </w:rPr>
      </w:pPr>
      <w:r>
        <w:rPr>
          <w:rFonts w:hint="eastAsia" w:ascii="微软雅黑" w:hAnsi="微软雅黑" w:eastAsia="微软雅黑"/>
          <w:color w:val="auto"/>
          <w:sz w:val="44"/>
          <w:szCs w:val="44"/>
        </w:rPr>
        <w:t>危险化学品生产企业安全诊断手册</w:t>
      </w:r>
    </w:p>
    <w:p>
      <w:pPr>
        <w:jc w:val="center"/>
        <w:rPr>
          <w:rFonts w:hint="eastAsia" w:ascii="微软雅黑" w:hAnsi="微软雅黑" w:eastAsia="微软雅黑"/>
          <w:color w:val="auto"/>
          <w:sz w:val="28"/>
          <w:szCs w:val="28"/>
        </w:rPr>
      </w:pPr>
    </w:p>
    <w:p>
      <w:pPr>
        <w:ind w:firstLine="640" w:firstLineChars="200"/>
        <w:jc w:val="left"/>
        <w:outlineLvl w:val="0"/>
        <w:rPr>
          <w:rFonts w:hint="eastAsia" w:ascii="黑体" w:hAnsi="黑体" w:eastAsia="黑体"/>
          <w:color w:val="auto"/>
          <w:sz w:val="32"/>
          <w:szCs w:val="32"/>
        </w:rPr>
      </w:pPr>
      <w:bookmarkStart w:id="0" w:name="_Toc237556436"/>
      <w:bookmarkStart w:id="1" w:name="OLE_LINK1"/>
      <w:r>
        <w:rPr>
          <w:rFonts w:hint="eastAsia" w:ascii="黑体" w:hAnsi="黑体" w:eastAsia="黑体"/>
          <w:color w:val="auto"/>
          <w:sz w:val="32"/>
          <w:szCs w:val="32"/>
        </w:rPr>
        <w:t>一、诊断总则</w:t>
      </w:r>
      <w:bookmarkEnd w:id="0"/>
    </w:p>
    <w:bookmarkEnd w:id="1"/>
    <w:p>
      <w:pPr>
        <w:ind w:firstLine="602" w:firstLineChars="200"/>
        <w:jc w:val="left"/>
        <w:outlineLvl w:val="1"/>
        <w:rPr>
          <w:rFonts w:hint="eastAsia" w:ascii="宋体" w:hAnsi="宋体" w:eastAsia="宋体"/>
          <w:b/>
          <w:bCs/>
          <w:color w:val="auto"/>
          <w:sz w:val="30"/>
          <w:szCs w:val="30"/>
        </w:rPr>
      </w:pPr>
      <w:bookmarkStart w:id="2" w:name="_Toc237556437"/>
      <w:r>
        <w:rPr>
          <w:rFonts w:hint="eastAsia" w:ascii="宋体" w:hAnsi="宋体" w:eastAsia="宋体"/>
          <w:b/>
          <w:bCs/>
          <w:color w:val="auto"/>
          <w:sz w:val="30"/>
          <w:szCs w:val="30"/>
        </w:rPr>
        <w:t>1.诊断目的</w:t>
      </w:r>
      <w:bookmarkEnd w:id="2"/>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（1）</w:t>
      </w:r>
      <w:r>
        <w:rPr>
          <w:rFonts w:ascii="宋体" w:hAnsi="宋体" w:eastAsia="宋体"/>
          <w:color w:val="auto"/>
          <w:sz w:val="28"/>
          <w:szCs w:val="28"/>
        </w:rPr>
        <w:t>通过开展安全</w:t>
      </w:r>
      <w:r>
        <w:rPr>
          <w:rFonts w:hint="eastAsia" w:ascii="宋体" w:hAnsi="宋体" w:eastAsia="宋体"/>
          <w:color w:val="auto"/>
          <w:sz w:val="28"/>
          <w:szCs w:val="28"/>
        </w:rPr>
        <w:t>诊断</w:t>
      </w:r>
      <w:r>
        <w:rPr>
          <w:rFonts w:ascii="宋体" w:hAnsi="宋体" w:eastAsia="宋体"/>
          <w:color w:val="auto"/>
          <w:sz w:val="28"/>
          <w:szCs w:val="28"/>
        </w:rPr>
        <w:t>，进一步夯实企业安全生产主体责任，全面系统诊断企业安全管理体系运行状况，指导企业精准施策，不断提升安全管理水平。</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（2）</w:t>
      </w:r>
      <w:r>
        <w:rPr>
          <w:rFonts w:ascii="宋体" w:hAnsi="宋体" w:eastAsia="宋体"/>
          <w:color w:val="auto"/>
          <w:sz w:val="28"/>
          <w:szCs w:val="28"/>
        </w:rPr>
        <w:t>通过开展安全</w:t>
      </w:r>
      <w:r>
        <w:rPr>
          <w:rFonts w:hint="eastAsia" w:ascii="宋体" w:hAnsi="宋体" w:eastAsia="宋体"/>
          <w:color w:val="auto"/>
          <w:sz w:val="28"/>
          <w:szCs w:val="28"/>
        </w:rPr>
        <w:t>诊断</w:t>
      </w:r>
      <w:r>
        <w:rPr>
          <w:rFonts w:ascii="宋体" w:hAnsi="宋体" w:eastAsia="宋体"/>
          <w:color w:val="auto"/>
          <w:sz w:val="28"/>
          <w:szCs w:val="28"/>
        </w:rPr>
        <w:t>，</w:t>
      </w:r>
      <w:r>
        <w:rPr>
          <w:rFonts w:hint="eastAsia" w:ascii="宋体" w:hAnsi="宋体" w:eastAsia="宋体"/>
          <w:color w:val="auto"/>
          <w:sz w:val="28"/>
          <w:szCs w:val="28"/>
        </w:rPr>
        <w:t>诊断成果为</w:t>
      </w:r>
      <w:r>
        <w:rPr>
          <w:rFonts w:ascii="宋体" w:hAnsi="宋体" w:eastAsia="宋体"/>
          <w:color w:val="auto"/>
          <w:sz w:val="28"/>
          <w:szCs w:val="28"/>
        </w:rPr>
        <w:t>应急管理部门落实危化品分级分类监管、精准配置监管力量、实施差异化</w:t>
      </w:r>
      <w:r>
        <w:rPr>
          <w:rFonts w:hint="eastAsia" w:ascii="宋体" w:hAnsi="宋体" w:eastAsia="宋体"/>
          <w:color w:val="auto"/>
          <w:sz w:val="28"/>
          <w:szCs w:val="28"/>
        </w:rPr>
        <w:t>监管</w:t>
      </w:r>
      <w:r>
        <w:rPr>
          <w:rFonts w:ascii="宋体" w:hAnsi="宋体" w:eastAsia="宋体"/>
          <w:color w:val="auto"/>
          <w:sz w:val="28"/>
          <w:szCs w:val="28"/>
        </w:rPr>
        <w:t>的核心技术支撑</w:t>
      </w:r>
      <w:r>
        <w:rPr>
          <w:rFonts w:hint="eastAsia" w:ascii="宋体" w:hAnsi="宋体" w:eastAsia="宋体"/>
          <w:color w:val="auto"/>
          <w:sz w:val="28"/>
          <w:szCs w:val="28"/>
        </w:rPr>
        <w:t>。</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（3）通过开展安全诊断，</w:t>
      </w:r>
      <w:r>
        <w:rPr>
          <w:rFonts w:ascii="宋体" w:hAnsi="宋体" w:eastAsia="宋体"/>
          <w:color w:val="auto"/>
          <w:sz w:val="28"/>
          <w:szCs w:val="28"/>
        </w:rPr>
        <w:t>实现“高风险严管、低风险减负、全行业</w:t>
      </w:r>
      <w:r>
        <w:rPr>
          <w:rFonts w:hint="eastAsia" w:ascii="宋体" w:hAnsi="宋体" w:eastAsia="宋体"/>
          <w:color w:val="auto"/>
          <w:sz w:val="28"/>
          <w:szCs w:val="28"/>
        </w:rPr>
        <w:t>提高</w:t>
      </w:r>
      <w:r>
        <w:rPr>
          <w:rFonts w:ascii="宋体" w:hAnsi="宋体" w:eastAsia="宋体"/>
          <w:color w:val="auto"/>
          <w:sz w:val="28"/>
          <w:szCs w:val="28"/>
        </w:rPr>
        <w:t>安全、坚决遏制重特大危化事故”的监管目标。</w:t>
      </w:r>
    </w:p>
    <w:p>
      <w:pPr>
        <w:ind w:firstLine="602" w:firstLineChars="200"/>
        <w:jc w:val="left"/>
        <w:outlineLvl w:val="1"/>
        <w:rPr>
          <w:rFonts w:hint="eastAsia" w:ascii="宋体" w:hAnsi="宋体" w:eastAsia="宋体"/>
          <w:b/>
          <w:bCs/>
          <w:color w:val="auto"/>
          <w:sz w:val="30"/>
          <w:szCs w:val="30"/>
        </w:rPr>
      </w:pPr>
      <w:bookmarkStart w:id="3" w:name="_Toc237556438"/>
      <w:r>
        <w:rPr>
          <w:rFonts w:hint="eastAsia" w:ascii="宋体" w:hAnsi="宋体" w:eastAsia="宋体"/>
          <w:b/>
          <w:bCs/>
          <w:color w:val="auto"/>
          <w:sz w:val="30"/>
          <w:szCs w:val="30"/>
        </w:rPr>
        <w:t>2.诊断原则</w:t>
      </w:r>
      <w:bookmarkEnd w:id="3"/>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1）客观公正与量化评估原则：诊断采用千分制量化评估，结合企业本质安全与安全管理现状，客观、公正地评估企业安全状况，按“红、橙、黄、蓝”进行风险分级（红/橙为高风险，黄为中风险，蓝为低风险）。</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（2）全面系统与重点突出原则：诊断需全面覆盖企业固有风险、安全设计、工艺操作、设备完好性、特殊作业管理、应急管理等环节，同时重点聚焦重大危险源、高危工艺、屡查屡犯环节等隐患排查。</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（3）诊断服务与分级管理原则：坚持“安全检查与诊断服务相结合、隐患分析与分级监管相结合”，专家在排查隐患的同时，需为企业提供精准的整改建议，并如实分析隐患根源，为分级监管提供技术支撑。</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（4）动态评估与“一企一策”原则：诊断结果实行动态管理，针对不同风险等级的企业，提出差异化的“一企一策”整改与管控建议。</w:t>
      </w:r>
    </w:p>
    <w:p>
      <w:pPr>
        <w:ind w:firstLine="640" w:firstLineChars="200"/>
        <w:jc w:val="left"/>
        <w:outlineLvl w:val="0"/>
        <w:rPr>
          <w:rFonts w:hint="eastAsia" w:ascii="黑体" w:hAnsi="黑体" w:eastAsia="黑体"/>
          <w:color w:val="auto"/>
          <w:sz w:val="32"/>
          <w:szCs w:val="32"/>
        </w:rPr>
      </w:pPr>
      <w:bookmarkStart w:id="4" w:name="_Toc237556439"/>
      <w:r>
        <w:rPr>
          <w:rFonts w:hint="eastAsia" w:ascii="黑体" w:hAnsi="黑体" w:eastAsia="黑体"/>
          <w:color w:val="auto"/>
          <w:sz w:val="32"/>
          <w:szCs w:val="32"/>
        </w:rPr>
        <w:t>二、诊断方式</w:t>
      </w:r>
      <w:bookmarkEnd w:id="4"/>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诊断方式</w:t>
      </w:r>
      <w:r>
        <w:rPr>
          <w:rFonts w:ascii="宋体" w:hAnsi="宋体" w:eastAsia="宋体"/>
          <w:color w:val="auto"/>
          <w:sz w:val="28"/>
          <w:szCs w:val="28"/>
        </w:rPr>
        <w:t>主要包括</w:t>
      </w:r>
      <w:r>
        <w:rPr>
          <w:rFonts w:hint="eastAsia" w:ascii="宋体" w:hAnsi="宋体" w:eastAsia="宋体"/>
          <w:color w:val="auto"/>
          <w:sz w:val="28"/>
          <w:szCs w:val="28"/>
        </w:rPr>
        <w:t>资料台账审阅，查阅评价报告、变更记录、设备检修台账、仪表管理台账及应急演练记录；装置现场勘验，装置区、储罐区、装卸站台实地检查设备硬件、安全设施；人员问询实操考核，随机抽考操作工异常处置、特种作业审批流程、管理人员风险辨识能力及承包商人员问询。针对诊断发现的问题开展全链条根源剖析，从责任、制度、人员、资源、考核五大维度剖析成因、制定整改方案，落实五个方面：厘清岗位权责边界、完善制度操作规范、匹配岗位履职能力、配齐各类工作资源、做实检查考核效果。</w:t>
      </w:r>
    </w:p>
    <w:p>
      <w:pPr>
        <w:ind w:firstLine="640" w:firstLineChars="200"/>
        <w:jc w:val="left"/>
        <w:outlineLvl w:val="0"/>
        <w:rPr>
          <w:rFonts w:hint="eastAsia" w:ascii="黑体" w:hAnsi="黑体" w:eastAsia="黑体"/>
          <w:color w:val="auto"/>
          <w:sz w:val="32"/>
          <w:szCs w:val="32"/>
        </w:rPr>
      </w:pPr>
      <w:bookmarkStart w:id="5" w:name="_Toc237556440"/>
      <w:bookmarkStart w:id="6" w:name="OLE_LINK3"/>
      <w:r>
        <w:rPr>
          <w:rFonts w:hint="eastAsia" w:ascii="黑体" w:hAnsi="黑体" w:eastAsia="黑体"/>
          <w:color w:val="auto"/>
          <w:sz w:val="32"/>
          <w:szCs w:val="32"/>
        </w:rPr>
        <w:t>三、诊断工作流程</w:t>
      </w:r>
      <w:bookmarkEnd w:id="5"/>
    </w:p>
    <w:p>
      <w:pPr>
        <w:ind w:firstLine="560" w:firstLineChars="200"/>
        <w:jc w:val="left"/>
        <w:rPr>
          <w:rFonts w:hint="eastAsia" w:ascii="宋体" w:hAnsi="宋体" w:eastAsia="宋体"/>
          <w:color w:val="auto"/>
          <w:sz w:val="28"/>
          <w:szCs w:val="28"/>
        </w:rPr>
      </w:pPr>
      <w:r>
        <w:rPr>
          <w:rFonts w:ascii="宋体" w:hAnsi="宋体" w:eastAsia="宋体"/>
          <w:color w:val="auto"/>
          <w:sz w:val="28"/>
          <w:szCs w:val="28"/>
        </w:rPr>
        <w:t>企业</w:t>
      </w:r>
      <w:r>
        <w:rPr>
          <w:rFonts w:hint="eastAsia" w:ascii="宋体" w:hAnsi="宋体" w:eastAsia="宋体"/>
          <w:color w:val="auto"/>
          <w:sz w:val="28"/>
          <w:szCs w:val="28"/>
        </w:rPr>
        <w:t>安全诊断</w:t>
      </w:r>
      <w:r>
        <w:rPr>
          <w:rFonts w:ascii="宋体" w:hAnsi="宋体" w:eastAsia="宋体"/>
          <w:color w:val="auto"/>
          <w:sz w:val="28"/>
          <w:szCs w:val="28"/>
        </w:rPr>
        <w:t>工作流程一般包括前期准备、</w:t>
      </w:r>
      <w:r>
        <w:rPr>
          <w:rFonts w:hint="eastAsia" w:ascii="宋体" w:hAnsi="宋体" w:eastAsia="宋体"/>
          <w:color w:val="auto"/>
          <w:sz w:val="28"/>
          <w:szCs w:val="28"/>
        </w:rPr>
        <w:t>首次</w:t>
      </w:r>
      <w:r>
        <w:rPr>
          <w:rFonts w:ascii="宋体" w:hAnsi="宋体" w:eastAsia="宋体"/>
          <w:color w:val="auto"/>
          <w:sz w:val="28"/>
          <w:szCs w:val="28"/>
        </w:rPr>
        <w:t>会、现场</w:t>
      </w:r>
      <w:r>
        <w:rPr>
          <w:rFonts w:hint="eastAsia" w:ascii="宋体" w:hAnsi="宋体" w:eastAsia="宋体"/>
          <w:color w:val="auto"/>
          <w:sz w:val="28"/>
          <w:szCs w:val="28"/>
        </w:rPr>
        <w:t>检查</w:t>
      </w:r>
      <w:r>
        <w:rPr>
          <w:rFonts w:ascii="宋体" w:hAnsi="宋体" w:eastAsia="宋体"/>
          <w:color w:val="auto"/>
          <w:sz w:val="28"/>
          <w:szCs w:val="28"/>
        </w:rPr>
        <w:t>、资料整理与讨论、</w:t>
      </w:r>
      <w:r>
        <w:rPr>
          <w:rFonts w:hint="eastAsia" w:ascii="宋体" w:hAnsi="宋体" w:eastAsia="宋体"/>
          <w:color w:val="auto"/>
          <w:sz w:val="28"/>
          <w:szCs w:val="28"/>
        </w:rPr>
        <w:t>反馈会</w:t>
      </w:r>
      <w:r>
        <w:rPr>
          <w:rFonts w:ascii="宋体" w:hAnsi="宋体" w:eastAsia="宋体"/>
          <w:color w:val="auto"/>
          <w:sz w:val="28"/>
          <w:szCs w:val="28"/>
        </w:rPr>
        <w:t>、隐患整改复查</w:t>
      </w:r>
      <w:r>
        <w:rPr>
          <w:rFonts w:hint="eastAsia" w:ascii="宋体" w:hAnsi="宋体" w:eastAsia="宋体"/>
          <w:color w:val="auto"/>
          <w:sz w:val="28"/>
          <w:szCs w:val="28"/>
        </w:rPr>
        <w:t>及成果编制</w:t>
      </w:r>
      <w:r>
        <w:rPr>
          <w:rFonts w:ascii="宋体" w:hAnsi="宋体" w:eastAsia="宋体"/>
          <w:color w:val="auto"/>
          <w:sz w:val="28"/>
          <w:szCs w:val="28"/>
        </w:rPr>
        <w:t>等。</w:t>
      </w:r>
    </w:p>
    <w:bookmarkEnd w:id="6"/>
    <w:p>
      <w:pPr>
        <w:ind w:firstLine="602" w:firstLineChars="200"/>
        <w:jc w:val="left"/>
        <w:outlineLvl w:val="1"/>
        <w:rPr>
          <w:rFonts w:hint="eastAsia" w:ascii="宋体" w:hAnsi="宋体" w:eastAsia="宋体"/>
          <w:b/>
          <w:bCs/>
          <w:color w:val="auto"/>
          <w:sz w:val="30"/>
          <w:szCs w:val="30"/>
        </w:rPr>
      </w:pPr>
      <w:bookmarkStart w:id="7" w:name="_Toc237556441"/>
      <w:r>
        <w:rPr>
          <w:rFonts w:hint="eastAsia" w:ascii="宋体" w:hAnsi="宋体" w:eastAsia="宋体"/>
          <w:b/>
          <w:bCs/>
          <w:color w:val="auto"/>
          <w:sz w:val="30"/>
          <w:szCs w:val="30"/>
        </w:rPr>
        <w:t>1.前期准备</w:t>
      </w:r>
      <w:bookmarkEnd w:id="7"/>
    </w:p>
    <w:p>
      <w:pPr>
        <w:ind w:firstLine="560" w:firstLineChars="200"/>
        <w:jc w:val="left"/>
        <w:rPr>
          <w:rFonts w:hint="eastAsia" w:ascii="宋体" w:hAnsi="宋体" w:eastAsia="宋体"/>
          <w:color w:val="auto"/>
          <w:sz w:val="28"/>
          <w:szCs w:val="28"/>
        </w:rPr>
      </w:pPr>
      <w:r>
        <w:rPr>
          <w:rFonts w:ascii="宋体" w:hAnsi="宋体" w:eastAsia="宋体"/>
          <w:color w:val="auto"/>
          <w:sz w:val="28"/>
          <w:szCs w:val="28"/>
        </w:rPr>
        <w:t>开展</w:t>
      </w:r>
      <w:r>
        <w:rPr>
          <w:rFonts w:hint="eastAsia" w:ascii="宋体" w:hAnsi="宋体" w:eastAsia="宋体"/>
          <w:color w:val="auto"/>
          <w:sz w:val="28"/>
          <w:szCs w:val="28"/>
        </w:rPr>
        <w:t>企业安全诊断</w:t>
      </w:r>
      <w:r>
        <w:rPr>
          <w:rFonts w:ascii="宋体" w:hAnsi="宋体" w:eastAsia="宋体"/>
          <w:color w:val="auto"/>
          <w:sz w:val="28"/>
          <w:szCs w:val="28"/>
        </w:rPr>
        <w:t>服务工作前，收集</w:t>
      </w:r>
      <w:r>
        <w:rPr>
          <w:rFonts w:hint="eastAsia" w:ascii="宋体" w:hAnsi="宋体" w:eastAsia="宋体"/>
          <w:color w:val="auto"/>
          <w:sz w:val="28"/>
          <w:szCs w:val="28"/>
        </w:rPr>
        <w:t>诊断</w:t>
      </w:r>
      <w:r>
        <w:rPr>
          <w:rFonts w:ascii="宋体" w:hAnsi="宋体" w:eastAsia="宋体"/>
          <w:color w:val="auto"/>
          <w:sz w:val="28"/>
          <w:szCs w:val="28"/>
        </w:rPr>
        <w:t>企业</w:t>
      </w:r>
      <w:r>
        <w:rPr>
          <w:rFonts w:hint="eastAsia" w:ascii="宋体" w:hAnsi="宋体" w:eastAsia="宋体"/>
          <w:color w:val="auto"/>
          <w:sz w:val="28"/>
          <w:szCs w:val="28"/>
        </w:rPr>
        <w:t>的</w:t>
      </w:r>
      <w:r>
        <w:rPr>
          <w:rFonts w:ascii="宋体" w:hAnsi="宋体" w:eastAsia="宋体"/>
          <w:color w:val="auto"/>
          <w:sz w:val="28"/>
          <w:szCs w:val="28"/>
        </w:rPr>
        <w:t>基础信息与相关资料，</w:t>
      </w:r>
      <w:r>
        <w:rPr>
          <w:rFonts w:hint="eastAsia" w:ascii="宋体" w:hAnsi="宋体" w:eastAsia="宋体"/>
          <w:color w:val="auto"/>
          <w:sz w:val="28"/>
          <w:szCs w:val="28"/>
        </w:rPr>
        <w:t>工作组</w:t>
      </w:r>
      <w:r>
        <w:rPr>
          <w:rFonts w:ascii="宋体" w:hAnsi="宋体" w:eastAsia="宋体"/>
          <w:color w:val="auto"/>
          <w:sz w:val="28"/>
          <w:szCs w:val="28"/>
        </w:rPr>
        <w:t>调整完善安全</w:t>
      </w:r>
      <w:r>
        <w:rPr>
          <w:rFonts w:hint="eastAsia" w:ascii="宋体" w:hAnsi="宋体" w:eastAsia="宋体"/>
          <w:color w:val="auto"/>
          <w:sz w:val="28"/>
          <w:szCs w:val="28"/>
        </w:rPr>
        <w:t>诊断检查</w:t>
      </w:r>
      <w:r>
        <w:rPr>
          <w:rFonts w:ascii="宋体" w:hAnsi="宋体" w:eastAsia="宋体"/>
          <w:color w:val="auto"/>
          <w:sz w:val="28"/>
          <w:szCs w:val="28"/>
        </w:rPr>
        <w:t>表，调配所需专业的专家。</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 xml:space="preserve">（1）调研企业现状 </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安全诊断服务前，工作组向企业收集安全评价报告、HAZOP分析报告、重大危险源评估报告、总平面布置图、防爆区域划分图等资料，了解服务对象基本情况和安全生产现状，填写完善危险化学品企业基本信息统计表（详见附件1）。</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（2）组建专家组</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根据诊断工作要求组建专家组，每个专家组由设计、工艺、设备、电仪、安全等专业各1名专家组成，委任1名经验丰富的专家兼任组长，配备1名工作秘书。组长负责本次专家诊断服务期间的全面工作，工作秘书负责与诊断企业联系并做好专家诊断服务各项协调工作。</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每次诊断服务前5天完成专家组组建，并告知本次诊断企业的基本情况、专家分工、诊断内容和工作要求。其中工作要求主要是：</w:t>
      </w:r>
      <w:bookmarkStart w:id="8" w:name="OLE_LINK9"/>
      <w:r>
        <w:rPr>
          <w:rFonts w:hint="eastAsia" w:ascii="宋体" w:hAnsi="宋体" w:eastAsia="宋体"/>
          <w:color w:val="auto"/>
          <w:sz w:val="28"/>
          <w:szCs w:val="28"/>
        </w:rPr>
        <w:t>一严格按照安全诊断表的检查内容</w:t>
      </w:r>
      <w:r>
        <w:rPr>
          <w:rFonts w:ascii="宋体" w:hAnsi="宋体" w:eastAsia="宋体"/>
          <w:color w:val="auto"/>
          <w:sz w:val="28"/>
          <w:szCs w:val="28"/>
        </w:rPr>
        <w:t>实施对表对标检查</w:t>
      </w:r>
      <w:r>
        <w:rPr>
          <w:rFonts w:hint="eastAsia" w:ascii="宋体" w:hAnsi="宋体" w:eastAsia="宋体"/>
          <w:color w:val="auto"/>
          <w:sz w:val="28"/>
          <w:szCs w:val="28"/>
        </w:rPr>
        <w:t>，每项</w:t>
      </w:r>
      <w:r>
        <w:rPr>
          <w:rFonts w:ascii="宋体" w:hAnsi="宋体" w:eastAsia="宋体"/>
          <w:color w:val="auto"/>
          <w:sz w:val="28"/>
          <w:szCs w:val="28"/>
        </w:rPr>
        <w:t>检查情况描述具体情况内容，不得</w:t>
      </w:r>
      <w:r>
        <w:rPr>
          <w:rFonts w:hint="eastAsia" w:ascii="宋体" w:hAnsi="宋体" w:eastAsia="宋体"/>
          <w:color w:val="auto"/>
          <w:sz w:val="28"/>
          <w:szCs w:val="28"/>
        </w:rPr>
        <w:t>直接</w:t>
      </w:r>
      <w:r>
        <w:rPr>
          <w:rFonts w:ascii="宋体" w:hAnsi="宋体" w:eastAsia="宋体"/>
          <w:color w:val="auto"/>
          <w:sz w:val="28"/>
          <w:szCs w:val="28"/>
        </w:rPr>
        <w:t>填写符合或不符合</w:t>
      </w:r>
      <w:r>
        <w:rPr>
          <w:rFonts w:hint="eastAsia" w:ascii="宋体" w:hAnsi="宋体" w:eastAsia="宋体"/>
          <w:color w:val="auto"/>
          <w:sz w:val="28"/>
          <w:szCs w:val="28"/>
        </w:rPr>
        <w:t>，确保安全诊断工作高质高效完成；二是</w:t>
      </w:r>
      <w:r>
        <w:rPr>
          <w:rFonts w:ascii="宋体" w:hAnsi="宋体" w:eastAsia="宋体"/>
          <w:color w:val="auto"/>
          <w:sz w:val="28"/>
          <w:szCs w:val="28"/>
        </w:rPr>
        <w:t>检查过程中专家</w:t>
      </w:r>
      <w:r>
        <w:rPr>
          <w:rFonts w:hint="eastAsia" w:ascii="宋体" w:hAnsi="宋体" w:eastAsia="宋体"/>
          <w:color w:val="auto"/>
          <w:sz w:val="28"/>
          <w:szCs w:val="28"/>
        </w:rPr>
        <w:t>要严格遵守各项工作</w:t>
      </w:r>
      <w:r>
        <w:rPr>
          <w:rFonts w:ascii="宋体" w:hAnsi="宋体" w:eastAsia="宋体"/>
          <w:color w:val="auto"/>
          <w:sz w:val="28"/>
          <w:szCs w:val="28"/>
        </w:rPr>
        <w:t>纪律，检查过程应专业、客观、公正</w:t>
      </w:r>
      <w:r>
        <w:rPr>
          <w:rFonts w:hint="eastAsia" w:ascii="宋体" w:hAnsi="宋体" w:eastAsia="宋体"/>
          <w:color w:val="auto"/>
          <w:sz w:val="28"/>
          <w:szCs w:val="28"/>
        </w:rPr>
        <w:t>，听从指挥，统一行动；三是严格遵守中央八项规定等廉洁纪律，</w:t>
      </w:r>
      <w:r>
        <w:rPr>
          <w:rFonts w:ascii="宋体" w:hAnsi="宋体" w:eastAsia="宋体"/>
          <w:color w:val="auto"/>
          <w:sz w:val="28"/>
          <w:szCs w:val="28"/>
        </w:rPr>
        <w:t>不得收受任何企业和个人的礼品、礼金、特产等，不得接受宴请；</w:t>
      </w:r>
      <w:r>
        <w:rPr>
          <w:rFonts w:hint="eastAsia" w:ascii="宋体" w:hAnsi="宋体" w:eastAsia="宋体"/>
          <w:color w:val="auto"/>
          <w:sz w:val="28"/>
          <w:szCs w:val="28"/>
        </w:rPr>
        <w:t>四是遵守被检企业对外来人员的安全管理要求，严格保守服务工作秘密及被检查企业的技术、商业、信息秘密。</w:t>
      </w:r>
      <w:bookmarkEnd w:id="8"/>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（3）确定安全诊断检查表</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工作组根据收集的企业资料，确定本次采用的检查表内容，即专业检查表、专业检查表+专项检查表的形式。</w:t>
      </w:r>
    </w:p>
    <w:p>
      <w:pPr>
        <w:ind w:firstLine="602" w:firstLineChars="200"/>
        <w:jc w:val="left"/>
        <w:outlineLvl w:val="1"/>
        <w:rPr>
          <w:rFonts w:hint="eastAsia" w:ascii="宋体" w:hAnsi="宋体" w:eastAsia="宋体"/>
          <w:b/>
          <w:bCs/>
          <w:color w:val="auto"/>
          <w:sz w:val="30"/>
          <w:szCs w:val="30"/>
        </w:rPr>
      </w:pPr>
      <w:bookmarkStart w:id="9" w:name="_Toc237556442"/>
      <w:bookmarkStart w:id="10" w:name="OLE_LINK91"/>
      <w:r>
        <w:rPr>
          <w:rFonts w:hint="eastAsia" w:ascii="宋体" w:hAnsi="宋体" w:eastAsia="宋体"/>
          <w:b/>
          <w:bCs/>
          <w:color w:val="auto"/>
          <w:sz w:val="30"/>
          <w:szCs w:val="30"/>
        </w:rPr>
        <w:t>2.现场诊断检查</w:t>
      </w:r>
      <w:bookmarkEnd w:id="9"/>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每户企业现场诊断检查时间平均4天</w:t>
      </w:r>
      <w:bookmarkEnd w:id="10"/>
      <w:r>
        <w:rPr>
          <w:rFonts w:hint="eastAsia" w:ascii="宋体" w:hAnsi="宋体" w:eastAsia="宋体"/>
          <w:color w:val="auto"/>
          <w:sz w:val="28"/>
          <w:szCs w:val="28"/>
        </w:rPr>
        <w:t xml:space="preserve">，采用“首次会+现场诊断检查+反馈会”的工作模式。 </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 xml:space="preserve">（1）首次会 </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到达被检企业后，组织召开首次对接会，会议原则上</w:t>
      </w:r>
      <w:bookmarkStart w:id="11" w:name="OLE_LINK6"/>
      <w:bookmarkStart w:id="12" w:name="OLE_LINK5"/>
      <w:r>
        <w:rPr>
          <w:rFonts w:hint="eastAsia" w:ascii="宋体" w:hAnsi="宋体" w:eastAsia="宋体"/>
          <w:color w:val="auto"/>
          <w:sz w:val="28"/>
          <w:szCs w:val="28"/>
        </w:rPr>
        <w:t>由专家组组长主持，参加会议的人员包括专家组所有成员、应急管理部门相关人员、企业主要负责人及陪检人员等，首次对接会时间控制在30分钟内。会议内容为</w:t>
      </w:r>
      <w:r>
        <w:rPr>
          <w:rFonts w:ascii="宋体" w:hAnsi="宋体" w:eastAsia="宋体"/>
          <w:color w:val="auto"/>
          <w:sz w:val="28"/>
          <w:szCs w:val="28"/>
        </w:rPr>
        <w:t>检查组介绍安全诊断（安全条件核查）的重点内容和工作安排，企业介绍涉及两重点一重大情况、近三年新改扩项目三同时情况</w:t>
      </w:r>
      <w:r>
        <w:rPr>
          <w:rFonts w:hint="eastAsia" w:ascii="宋体" w:hAnsi="宋体" w:eastAsia="宋体"/>
          <w:color w:val="auto"/>
          <w:sz w:val="28"/>
          <w:szCs w:val="28"/>
        </w:rPr>
        <w:t>。同时对接企业陪检人员后，立即进入工作。</w:t>
      </w:r>
      <w:bookmarkEnd w:id="11"/>
      <w:bookmarkEnd w:id="12"/>
      <w:r>
        <w:rPr>
          <w:rFonts w:hint="eastAsia" w:ascii="宋体" w:hAnsi="宋体" w:eastAsia="宋体"/>
          <w:color w:val="auto"/>
          <w:sz w:val="28"/>
          <w:szCs w:val="28"/>
        </w:rPr>
        <w:t xml:space="preserve"> </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（2）现场诊断检查</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在企业现场安全诊断的主要工作包括：专家组按照检查表开展现场检查，对查出的问题进行剖析，找出发生问题的根原因，与企业人员沟通交流，指导企业建立安全风险隐患排查治理长效机制，防止同类问题再次发生。工作秘书负责用无人机拍摄企业周边情况及企业布局情况。</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 xml:space="preserve">1）检查方式 </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 xml:space="preserve">安全诊断现场工作主要有三种方式，即查阅资料、现场检查与询问，这三种方式是相互补充的，每一项检查都可以通过三种方式确定安全风险管控措施可能存在的缺陷，从而诊断企业安全风险管控的现状与装置运行存在的不足。 </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 xml:space="preserve">第一，查阅资料。查阅企业的安全管理制度、安全设计专篇、安全评价/评估报告、操作规程、各类记录、台账、票证、检验检测报告等资料。特别需要关注的是： </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 xml:space="preserve">制度类：应是最新版本的适用制度。 </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 xml:space="preserve">台账类：以半年内的做为检查重点；年度更新的台账，以上年度为主。 </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 xml:space="preserve">记录类：以近期的为主或者当日的。 </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 xml:space="preserve">作业票证类：查近期存档的作业票；如果现场有特殊作业，作业现场必查。除重点查动火、受限空间作业票外，还要查关联的临时用电、盲板抽堵等作业票。 </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 xml:space="preserve">变更类：以工艺、设备变更为重点，核查半年内的变更情况。如果近期没有变更，查1年以内的。 </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 xml:space="preserve">第二，现场检查。对企业的设备、设施、电气、仪表的运行、维护及管理情况、工艺规程执行情况、特殊作业管理情况、应急器材的完好情况等进行现场检查。特别需要关注的是： </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 xml:space="preserve">原则上，重要的设备、设施需逐台检查，如大机组、加热炉、火炬、气柜等。 </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对于抽查的设备设施，如机泵、特种设备、储罐、安全阀、现场仪表等，时间允许的情况下逐套装置抽查，重要岗位的设备设施应重点抽查。</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 xml:space="preserve">第三，询问。通过询问方式向企业相关管理人员、技术人员、岗位操作人员了解企业安全管理状况及岗位操作规程、工艺指标的掌握及执行情况。特别需要关注的是：询问的对象一定要有代表性，能反映该检查项的运行与执行情况。 </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 xml:space="preserve">2）现场检查要求 </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 xml:space="preserve">第一，既定检查与自主检查相结合。各位专家按照检查表规定内容进行检查，不能缺项漏项。专家结合自身经验和专业特点，在完成既定检查工作的基础上，进行自主检查。 </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 xml:space="preserve">第二，合理选择检查装置和设备。当被检查企业有多套装置时，可选择重点装置进行抽查，按照防控大风险、大隐患的原则，并结合安全诊断重点，涉及“两重点一重大”的装置尽可能安排在检查计划中，开展精准诊断服务。 </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第三，清晰记录检查内容，留存问题照片。检查时，清楚记录检查的装置名称、设备位号、车间、班组、人员姓名等信息，在征得被检查企业同意的前提下，尽可能地拍摄生产装置现场和档案资料存在的问题，已便于后期资料整理。</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3）资料整理</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每天现场检查完成，各专家及时整理工作记录，完成本专业诊断检查表的填写，检查资料至少包括检查情况、问题清单、检查表、问题照片等，并提交给工作秘书，</w:t>
      </w:r>
      <w:r>
        <w:rPr>
          <w:rFonts w:ascii="宋体" w:hAnsi="宋体" w:eastAsia="宋体"/>
          <w:color w:val="auto"/>
          <w:sz w:val="28"/>
          <w:szCs w:val="28"/>
        </w:rPr>
        <w:t>工作秘书及时整理完成危险化学品企业基本信息统计表（即危险化学品登记企业现场核查表）、危险化学品生产企业安全诊断基础表</w:t>
      </w:r>
      <w:r>
        <w:rPr>
          <w:rFonts w:hint="eastAsia" w:ascii="宋体" w:hAnsi="宋体" w:eastAsia="宋体"/>
          <w:color w:val="auto"/>
          <w:sz w:val="28"/>
          <w:szCs w:val="28"/>
        </w:rPr>
        <w:t>、各专业</w:t>
      </w:r>
      <w:r>
        <w:rPr>
          <w:rFonts w:ascii="宋体" w:hAnsi="宋体" w:eastAsia="宋体"/>
          <w:color w:val="auto"/>
          <w:sz w:val="28"/>
          <w:szCs w:val="28"/>
        </w:rPr>
        <w:t>安全诊断检查表</w:t>
      </w:r>
      <w:r>
        <w:rPr>
          <w:rFonts w:hint="eastAsia" w:ascii="宋体" w:hAnsi="宋体" w:eastAsia="宋体"/>
          <w:color w:val="auto"/>
          <w:sz w:val="28"/>
          <w:szCs w:val="28"/>
        </w:rPr>
        <w:t>和</w:t>
      </w:r>
      <w:r>
        <w:rPr>
          <w:rFonts w:ascii="宋体" w:hAnsi="宋体" w:eastAsia="宋体"/>
          <w:color w:val="auto"/>
          <w:sz w:val="28"/>
          <w:szCs w:val="28"/>
        </w:rPr>
        <w:t>安全诊断反馈意见表</w:t>
      </w:r>
      <w:r>
        <w:rPr>
          <w:rFonts w:hint="eastAsia" w:ascii="宋体" w:hAnsi="宋体" w:eastAsia="宋体"/>
          <w:color w:val="auto"/>
          <w:sz w:val="28"/>
          <w:szCs w:val="28"/>
        </w:rPr>
        <w:t>（即</w:t>
      </w:r>
      <w:r>
        <w:rPr>
          <w:rFonts w:ascii="宋体" w:hAnsi="宋体" w:eastAsia="宋体"/>
          <w:color w:val="auto"/>
          <w:sz w:val="28"/>
          <w:szCs w:val="28"/>
        </w:rPr>
        <w:t>安全生产许可证（延期）现场核查问题</w:t>
      </w:r>
      <w:r>
        <w:rPr>
          <w:rFonts w:hint="eastAsia" w:ascii="宋体" w:hAnsi="宋体" w:eastAsia="宋体"/>
          <w:color w:val="auto"/>
          <w:sz w:val="28"/>
          <w:szCs w:val="28"/>
        </w:rPr>
        <w:t>清单）</w:t>
      </w:r>
      <w:r>
        <w:rPr>
          <w:rFonts w:ascii="宋体" w:hAnsi="宋体" w:eastAsia="宋体"/>
          <w:color w:val="auto"/>
          <w:sz w:val="28"/>
          <w:szCs w:val="28"/>
        </w:rPr>
        <w:t>。</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4）检查隐患讨论</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反馈会前安排1-2个小时，专家组集中对本次安全诊断检查问题项逐项讨论，确保检查问题描述准确合规、整改建议精准可操。</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（3）反馈会</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每家企业安全诊断结束后，</w:t>
      </w:r>
      <w:bookmarkStart w:id="13" w:name="OLE_LINK7"/>
      <w:bookmarkStart w:id="14" w:name="OLE_LINK8"/>
      <w:r>
        <w:rPr>
          <w:rFonts w:hint="eastAsia" w:ascii="宋体" w:hAnsi="宋体" w:eastAsia="宋体"/>
          <w:color w:val="auto"/>
          <w:sz w:val="28"/>
          <w:szCs w:val="28"/>
        </w:rPr>
        <w:t>由专家组长主持召开末次交流会，主要内容为：各专业专家分别反馈检查中发现的问题，就检查中发现的主要问题进行讲评与剖析；针对企业有疑议、不清楚如何整改的问题，进一步沟通交流；应急部门陪检人员对诊断服务中在企业发现的问题整改提出要求；企业主要负责人就专家对本企业在诊断服务中发现的问题进行表态。</w:t>
      </w:r>
      <w:bookmarkEnd w:id="13"/>
      <w:bookmarkEnd w:id="14"/>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（4）隐患整改复查</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现场诊断结束后，在规定时间内企业将整改情况书面报告至诊断专家组复核，各专业专家确定诊断反馈问题清单中涉及安全生产条件核查的问题整改完成</w:t>
      </w:r>
      <w:r>
        <w:rPr>
          <w:rFonts w:hint="eastAsia" w:ascii="宋体" w:hAnsi="宋体" w:eastAsia="宋体"/>
          <w:color w:val="auto"/>
          <w:sz w:val="28"/>
          <w:szCs w:val="28"/>
          <w:lang w:eastAsia="zh-CN"/>
        </w:rPr>
        <w:t>。</w:t>
      </w:r>
      <w:r>
        <w:rPr>
          <w:rFonts w:hint="eastAsia" w:ascii="宋体" w:hAnsi="宋体" w:eastAsia="宋体"/>
          <w:color w:val="auto"/>
          <w:sz w:val="28"/>
          <w:szCs w:val="28"/>
        </w:rPr>
        <w:t>整改落实</w:t>
      </w:r>
      <w:r>
        <w:rPr>
          <w:rFonts w:hint="eastAsia" w:ascii="宋体" w:hAnsi="宋体" w:eastAsia="宋体"/>
          <w:color w:val="auto"/>
          <w:sz w:val="28"/>
          <w:szCs w:val="28"/>
          <w:lang w:eastAsia="zh-CN"/>
        </w:rPr>
        <w:t>情况由属地应急管理部门现场抽查复核，确保问题隐患闭环整改</w:t>
      </w:r>
      <w:r>
        <w:rPr>
          <w:rFonts w:hint="eastAsia" w:ascii="宋体" w:hAnsi="宋体" w:eastAsia="宋体"/>
          <w:color w:val="auto"/>
          <w:sz w:val="28"/>
          <w:szCs w:val="28"/>
        </w:rPr>
        <w:t>。</w:t>
      </w:r>
    </w:p>
    <w:p>
      <w:pPr>
        <w:ind w:firstLine="602" w:firstLineChars="200"/>
        <w:jc w:val="left"/>
        <w:outlineLvl w:val="1"/>
        <w:rPr>
          <w:rFonts w:hint="eastAsia" w:ascii="宋体" w:hAnsi="宋体" w:eastAsia="宋体"/>
          <w:b/>
          <w:bCs/>
          <w:color w:val="auto"/>
          <w:sz w:val="30"/>
          <w:szCs w:val="30"/>
        </w:rPr>
      </w:pPr>
      <w:bookmarkStart w:id="15" w:name="_Toc237556443"/>
      <w:r>
        <w:rPr>
          <w:rFonts w:hint="eastAsia" w:ascii="宋体" w:hAnsi="宋体" w:eastAsia="宋体"/>
          <w:b/>
          <w:bCs/>
          <w:color w:val="auto"/>
          <w:sz w:val="30"/>
          <w:szCs w:val="30"/>
        </w:rPr>
        <w:t>3.资料整理和诊断成果编制</w:t>
      </w:r>
      <w:bookmarkEnd w:id="15"/>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 xml:space="preserve">（1）资料编写 </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每一家企业现场检查工作结束后，各专家应完成本专业的检查表、问题汇总表的填写、问题照片的整理，并提交给工作秘书。</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检查表各项内容完整的记录是企业安全管理体系运行现状的体现，也是各专家主要工作之一。</w:t>
      </w:r>
      <w:bookmarkStart w:id="16" w:name="OLE_LINK82"/>
      <w:r>
        <w:rPr>
          <w:rFonts w:hint="eastAsia" w:ascii="宋体" w:hAnsi="宋体" w:eastAsia="宋体"/>
          <w:color w:val="auto"/>
          <w:sz w:val="28"/>
          <w:szCs w:val="28"/>
        </w:rPr>
        <w:t xml:space="preserve">填写检查表时应遵循以下原则： </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 xml:space="preserve">第一，按照检查内容逐项填写“检查情况”，避免缺项漏项； 第二，“检查情况”中应详细记录检查的车间、装置、设备位号、制度及操作规程名称、台帐时间、作业票编号等信息； </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第三，“检查问题”与“整改建议”中对应填写诊断服务中发现的隐患和整改建议。</w:t>
      </w:r>
      <w:bookmarkEnd w:id="16"/>
      <w:r>
        <w:rPr>
          <w:rFonts w:hint="eastAsia" w:ascii="宋体" w:hAnsi="宋体" w:eastAsia="宋体"/>
          <w:color w:val="auto"/>
          <w:sz w:val="28"/>
          <w:szCs w:val="28"/>
        </w:rPr>
        <w:t xml:space="preserve"> </w:t>
      </w:r>
    </w:p>
    <w:p>
      <w:pPr>
        <w:ind w:firstLine="560" w:firstLineChars="200"/>
        <w:jc w:val="left"/>
        <w:rPr>
          <w:rFonts w:hint="eastAsia" w:ascii="宋体" w:hAnsi="宋体" w:eastAsia="宋体" w:cs="Times New Roman"/>
          <w:color w:val="auto"/>
          <w:sz w:val="28"/>
          <w:szCs w:val="28"/>
        </w:rPr>
      </w:pPr>
      <w:r>
        <w:rPr>
          <w:rFonts w:hint="eastAsia" w:ascii="宋体" w:hAnsi="宋体" w:eastAsia="宋体"/>
          <w:color w:val="auto"/>
          <w:sz w:val="28"/>
          <w:szCs w:val="28"/>
        </w:rPr>
        <w:t>（2）</w:t>
      </w:r>
      <w:r>
        <w:rPr>
          <w:rFonts w:ascii="宋体" w:hAnsi="宋体" w:eastAsia="宋体" w:cs="Times New Roman"/>
          <w:color w:val="auto"/>
          <w:sz w:val="28"/>
          <w:szCs w:val="28"/>
        </w:rPr>
        <w:t>诊断成果编制</w:t>
      </w:r>
    </w:p>
    <w:p>
      <w:pPr>
        <w:ind w:firstLine="560" w:firstLineChars="200"/>
        <w:jc w:val="left"/>
        <w:rPr>
          <w:rFonts w:hint="eastAsia" w:ascii="宋体" w:hAnsi="宋体" w:eastAsia="宋体"/>
          <w:color w:val="auto"/>
          <w:sz w:val="28"/>
          <w:szCs w:val="28"/>
        </w:rPr>
      </w:pPr>
      <w:r>
        <w:rPr>
          <w:rFonts w:ascii="宋体" w:hAnsi="宋体" w:eastAsia="宋体" w:cs="Times New Roman"/>
          <w:color w:val="auto"/>
          <w:kern w:val="0"/>
          <w:sz w:val="28"/>
          <w:szCs w:val="28"/>
        </w:rPr>
        <w:t>专家组长负责、工作秘书协助编写诊断报告</w:t>
      </w:r>
      <w:r>
        <w:rPr>
          <w:rFonts w:hint="eastAsia" w:ascii="宋体" w:hAnsi="宋体" w:eastAsia="宋体" w:cs="Times New Roman"/>
          <w:color w:val="auto"/>
          <w:kern w:val="0"/>
          <w:sz w:val="28"/>
          <w:szCs w:val="28"/>
        </w:rPr>
        <w:t>（具体格式见附件6）</w:t>
      </w:r>
      <w:r>
        <w:rPr>
          <w:rFonts w:ascii="宋体" w:hAnsi="宋体" w:eastAsia="宋体" w:cs="Times New Roman"/>
          <w:color w:val="auto"/>
          <w:kern w:val="0"/>
          <w:sz w:val="28"/>
          <w:szCs w:val="28"/>
        </w:rPr>
        <w:t>，安全诊断结束一周内提交给工作组审核，10个工作日内将企业诊断报告报给省厅危化处。诊断报告应突出此次安全诊断的核心内容，体现企业安全生产管理现状、存在的突出问题和共性问题，从监管角度给出建议措施等。</w:t>
      </w:r>
    </w:p>
    <w:p>
      <w:pPr>
        <w:ind w:firstLine="602" w:firstLineChars="200"/>
        <w:jc w:val="left"/>
        <w:outlineLvl w:val="1"/>
        <w:rPr>
          <w:rFonts w:hint="eastAsia" w:ascii="宋体" w:hAnsi="宋体" w:eastAsia="宋体"/>
          <w:b/>
          <w:bCs/>
          <w:color w:val="auto"/>
          <w:sz w:val="30"/>
          <w:szCs w:val="30"/>
        </w:rPr>
      </w:pPr>
      <w:bookmarkStart w:id="17" w:name="_Toc237556444"/>
      <w:r>
        <w:rPr>
          <w:rFonts w:hint="eastAsia" w:ascii="宋体" w:hAnsi="宋体" w:eastAsia="宋体"/>
          <w:b/>
          <w:bCs/>
          <w:color w:val="auto"/>
          <w:sz w:val="30"/>
          <w:szCs w:val="30"/>
        </w:rPr>
        <w:t>4.</w:t>
      </w:r>
      <w:bookmarkStart w:id="18" w:name="OLE_LINK97"/>
      <w:r>
        <w:rPr>
          <w:rFonts w:hint="eastAsia" w:ascii="宋体" w:hAnsi="宋体" w:eastAsia="宋体"/>
          <w:b/>
          <w:bCs/>
          <w:color w:val="auto"/>
          <w:sz w:val="30"/>
          <w:szCs w:val="30"/>
        </w:rPr>
        <w:t>安全诊断分级</w:t>
      </w:r>
      <w:bookmarkStart w:id="19" w:name="OLE_LINK87"/>
      <w:r>
        <w:rPr>
          <w:rFonts w:hint="eastAsia" w:ascii="宋体" w:hAnsi="宋体" w:eastAsia="宋体"/>
          <w:b/>
          <w:bCs/>
          <w:color w:val="auto"/>
          <w:sz w:val="30"/>
          <w:szCs w:val="30"/>
        </w:rPr>
        <w:t>综合评分</w:t>
      </w:r>
      <w:bookmarkEnd w:id="18"/>
      <w:r>
        <w:rPr>
          <w:rFonts w:hint="eastAsia" w:ascii="宋体" w:hAnsi="宋体" w:eastAsia="宋体"/>
          <w:b/>
          <w:bCs/>
          <w:color w:val="auto"/>
          <w:sz w:val="30"/>
          <w:szCs w:val="30"/>
        </w:rPr>
        <w:t>体系</w:t>
      </w:r>
      <w:bookmarkEnd w:id="17"/>
      <w:bookmarkEnd w:id="19"/>
    </w:p>
    <w:p>
      <w:pPr>
        <w:ind w:firstLine="560" w:firstLineChars="200"/>
        <w:jc w:val="left"/>
        <w:rPr>
          <w:rFonts w:hint="eastAsia" w:ascii="宋体" w:hAnsi="宋体" w:eastAsia="宋体"/>
          <w:color w:val="auto"/>
          <w:sz w:val="28"/>
          <w:szCs w:val="28"/>
        </w:rPr>
      </w:pPr>
      <w:r>
        <w:rPr>
          <w:rFonts w:ascii="宋体" w:hAnsi="宋体" w:eastAsia="宋体"/>
          <w:color w:val="auto"/>
          <w:sz w:val="28"/>
          <w:szCs w:val="28"/>
        </w:rPr>
        <w:t>本次</w:t>
      </w:r>
      <w:r>
        <w:rPr>
          <w:rFonts w:hint="eastAsia" w:ascii="宋体" w:hAnsi="宋体" w:eastAsia="宋体"/>
          <w:color w:val="auto"/>
          <w:sz w:val="28"/>
          <w:szCs w:val="28"/>
        </w:rPr>
        <w:t>安全</w:t>
      </w:r>
      <w:r>
        <w:rPr>
          <w:rFonts w:ascii="宋体" w:hAnsi="宋体" w:eastAsia="宋体"/>
          <w:color w:val="auto"/>
          <w:sz w:val="28"/>
          <w:szCs w:val="28"/>
        </w:rPr>
        <w:t>诊断</w:t>
      </w:r>
      <w:r>
        <w:rPr>
          <w:rFonts w:hint="eastAsia" w:ascii="宋体" w:hAnsi="宋体" w:eastAsia="宋体"/>
          <w:color w:val="auto"/>
          <w:sz w:val="28"/>
          <w:szCs w:val="28"/>
        </w:rPr>
        <w:t>分级</w:t>
      </w:r>
      <w:r>
        <w:rPr>
          <w:rFonts w:ascii="宋体" w:hAnsi="宋体" w:eastAsia="宋体"/>
          <w:color w:val="auto"/>
          <w:sz w:val="28"/>
          <w:szCs w:val="28"/>
        </w:rPr>
        <w:t>综合评分体系</w:t>
      </w:r>
      <w:r>
        <w:rPr>
          <w:rFonts w:hint="eastAsia" w:ascii="宋体" w:hAnsi="宋体" w:eastAsia="宋体"/>
          <w:color w:val="auto"/>
          <w:sz w:val="28"/>
          <w:szCs w:val="28"/>
        </w:rPr>
        <w:t>（见附件2）基于四项内容：</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一是企业安全诊断基础表（见附件3），</w:t>
      </w:r>
      <w:r>
        <w:rPr>
          <w:rFonts w:ascii="宋体" w:hAnsi="宋体" w:eastAsia="宋体"/>
          <w:color w:val="auto"/>
          <w:sz w:val="28"/>
          <w:szCs w:val="28"/>
        </w:rPr>
        <w:t>从重大危险源、物质危险性、危险化工工艺及火灾爆炸危险性四方面诊断企业的固有风险</w:t>
      </w:r>
      <w:r>
        <w:rPr>
          <w:rFonts w:hint="eastAsia" w:ascii="宋体" w:hAnsi="宋体" w:eastAsia="宋体"/>
          <w:color w:val="auto"/>
          <w:sz w:val="28"/>
          <w:szCs w:val="28"/>
        </w:rPr>
        <w:t>，总分20分，</w:t>
      </w:r>
      <w:bookmarkStart w:id="20" w:name="OLE_LINK86"/>
      <w:r>
        <w:rPr>
          <w:rFonts w:hint="eastAsia" w:ascii="宋体" w:hAnsi="宋体" w:eastAsia="宋体"/>
          <w:color w:val="auto"/>
          <w:sz w:val="28"/>
          <w:szCs w:val="28"/>
        </w:rPr>
        <w:t>评分体系权重10</w:t>
      </w:r>
      <w:r>
        <w:rPr>
          <w:rFonts w:ascii="宋体" w:hAnsi="宋体" w:eastAsia="宋体"/>
          <w:color w:val="auto"/>
          <w:sz w:val="28"/>
          <w:szCs w:val="28"/>
        </w:rPr>
        <w:t>。</w:t>
      </w:r>
      <w:bookmarkEnd w:id="20"/>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二是企业安全诊断</w:t>
      </w:r>
      <w:r>
        <w:rPr>
          <w:rFonts w:ascii="宋体" w:hAnsi="宋体" w:eastAsia="宋体"/>
          <w:color w:val="auto"/>
          <w:sz w:val="28"/>
          <w:szCs w:val="28"/>
        </w:rPr>
        <w:t>专业检查表分</w:t>
      </w:r>
      <w:r>
        <w:rPr>
          <w:rFonts w:hint="eastAsia" w:ascii="宋体" w:hAnsi="宋体" w:eastAsia="宋体"/>
          <w:color w:val="auto"/>
          <w:sz w:val="28"/>
          <w:szCs w:val="28"/>
        </w:rPr>
        <w:t>5个专业、30个要素，诊断内容不符合等级分为A、B、C三级，A级主要为</w:t>
      </w:r>
      <w:r>
        <w:rPr>
          <w:rFonts w:ascii="宋体" w:hAnsi="宋体" w:eastAsia="宋体"/>
          <w:color w:val="auto"/>
          <w:sz w:val="28"/>
          <w:szCs w:val="28"/>
        </w:rPr>
        <w:t>AQ 3067-2026</w:t>
      </w:r>
      <w:r>
        <w:rPr>
          <w:rFonts w:hint="eastAsia" w:ascii="宋体" w:hAnsi="宋体" w:eastAsia="宋体"/>
          <w:color w:val="auto"/>
          <w:sz w:val="28"/>
          <w:szCs w:val="28"/>
        </w:rPr>
        <w:t>重大隐患涉及内容、危险化学品生产企业安全生产许可证申请条件，B级主要为重要安全管理和安全设施内容，C级为过程记录和现场检查。</w:t>
      </w:r>
    </w:p>
    <w:p>
      <w:pPr>
        <w:ind w:firstLine="560" w:firstLineChars="200"/>
        <w:jc w:val="left"/>
        <w:rPr>
          <w:rFonts w:hint="eastAsia" w:ascii="宋体" w:hAnsi="宋体" w:eastAsia="宋体"/>
          <w:color w:val="auto"/>
          <w:sz w:val="28"/>
          <w:szCs w:val="28"/>
        </w:rPr>
      </w:pPr>
      <w:r>
        <w:rPr>
          <w:rFonts w:ascii="宋体" w:hAnsi="宋体" w:eastAsia="宋体"/>
          <w:color w:val="auto"/>
          <w:sz w:val="28"/>
          <w:szCs w:val="28"/>
        </w:rPr>
        <w:t>诊断专业检查内容共</w:t>
      </w:r>
      <w:r>
        <w:rPr>
          <w:rFonts w:hint="eastAsia" w:ascii="宋体" w:hAnsi="宋体" w:eastAsia="宋体"/>
          <w:color w:val="auto"/>
          <w:sz w:val="28"/>
          <w:szCs w:val="28"/>
        </w:rPr>
        <w:t>204项，其中A级64项、B级34项、C级106项，A级8分/项、B级5分/项、C级3分/项，总分1000分，</w:t>
      </w:r>
      <w:r>
        <w:rPr>
          <w:rFonts w:ascii="宋体" w:hAnsi="宋体" w:eastAsia="宋体"/>
          <w:color w:val="auto"/>
          <w:sz w:val="28"/>
          <w:szCs w:val="28"/>
        </w:rPr>
        <w:t>评分体系权重</w:t>
      </w:r>
      <w:r>
        <w:rPr>
          <w:rFonts w:hint="eastAsia" w:ascii="宋体" w:hAnsi="宋体" w:eastAsia="宋体"/>
          <w:color w:val="auto"/>
          <w:sz w:val="28"/>
          <w:szCs w:val="28"/>
        </w:rPr>
        <w:t>6</w:t>
      </w:r>
      <w:r>
        <w:rPr>
          <w:rFonts w:ascii="宋体" w:hAnsi="宋体" w:eastAsia="宋体"/>
          <w:color w:val="auto"/>
          <w:sz w:val="28"/>
          <w:szCs w:val="28"/>
        </w:rPr>
        <w:t>0。</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三是企业安全诊断专项检查表，主要有精细化工企业、涉氯企业、合成氨企业、过氧化氢企业、多晶硅企业、有机硅企业、氟化工企业、焦化企业、黄磷企业及硝化企业十个专项检查表。检查表每项分值为3分，总分为</w:t>
      </w:r>
      <w:bookmarkStart w:id="21" w:name="OLE_LINK94"/>
      <w:r>
        <w:rPr>
          <w:rFonts w:hint="eastAsia" w:ascii="宋体" w:hAnsi="宋体" w:eastAsia="宋体"/>
          <w:color w:val="auto"/>
          <w:sz w:val="28"/>
          <w:szCs w:val="28"/>
        </w:rPr>
        <w:t>3分/项×项数</w:t>
      </w:r>
      <w:bookmarkEnd w:id="21"/>
      <w:r>
        <w:rPr>
          <w:rFonts w:hint="eastAsia" w:ascii="宋体" w:hAnsi="宋体" w:eastAsia="宋体"/>
          <w:color w:val="auto"/>
          <w:sz w:val="28"/>
          <w:szCs w:val="28"/>
        </w:rPr>
        <w:t>，</w:t>
      </w:r>
      <w:r>
        <w:rPr>
          <w:rFonts w:ascii="宋体" w:hAnsi="宋体" w:eastAsia="宋体"/>
          <w:color w:val="auto"/>
          <w:sz w:val="28"/>
          <w:szCs w:val="28"/>
        </w:rPr>
        <w:t>评分体系权重</w:t>
      </w:r>
      <w:r>
        <w:rPr>
          <w:rFonts w:hint="eastAsia" w:ascii="宋体" w:hAnsi="宋体" w:eastAsia="宋体"/>
          <w:color w:val="auto"/>
          <w:sz w:val="28"/>
          <w:szCs w:val="28"/>
        </w:rPr>
        <w:t>2</w:t>
      </w:r>
      <w:r>
        <w:rPr>
          <w:rFonts w:ascii="宋体" w:hAnsi="宋体" w:eastAsia="宋体"/>
          <w:color w:val="auto"/>
          <w:sz w:val="28"/>
          <w:szCs w:val="28"/>
        </w:rPr>
        <w:t>0。</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四是</w:t>
      </w:r>
      <w:r>
        <w:rPr>
          <w:rFonts w:ascii="宋体" w:hAnsi="宋体" w:eastAsia="宋体"/>
          <w:color w:val="auto"/>
          <w:sz w:val="28"/>
          <w:szCs w:val="28"/>
        </w:rPr>
        <w:t>安全事故情况</w:t>
      </w:r>
      <w:r>
        <w:rPr>
          <w:rFonts w:hint="eastAsia" w:ascii="宋体" w:hAnsi="宋体" w:eastAsia="宋体"/>
          <w:color w:val="auto"/>
          <w:sz w:val="28"/>
          <w:szCs w:val="28"/>
        </w:rPr>
        <w:t>，</w:t>
      </w:r>
      <w:r>
        <w:rPr>
          <w:rFonts w:ascii="宋体" w:hAnsi="宋体" w:eastAsia="宋体"/>
          <w:color w:val="auto"/>
          <w:sz w:val="28"/>
          <w:szCs w:val="28"/>
        </w:rPr>
        <w:t>评估三年内发生的安全生产事故情况，依据发生事故的类型在10分中直接扣分。</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采用百分制进行评分，每家企业</w:t>
      </w:r>
      <w:bookmarkStart w:id="22" w:name="OLE_LINK90"/>
      <w:r>
        <w:rPr>
          <w:rFonts w:hint="eastAsia" w:ascii="宋体" w:hAnsi="宋体" w:eastAsia="宋体"/>
          <w:color w:val="auto"/>
          <w:sz w:val="28"/>
          <w:szCs w:val="28"/>
        </w:rPr>
        <w:t>安全诊断分级</w:t>
      </w:r>
      <w:bookmarkEnd w:id="22"/>
      <w:r>
        <w:rPr>
          <w:rFonts w:hint="eastAsia" w:ascii="宋体" w:hAnsi="宋体" w:eastAsia="宋体"/>
          <w:color w:val="auto"/>
          <w:sz w:val="28"/>
          <w:szCs w:val="28"/>
        </w:rPr>
        <w:t xml:space="preserve">综合评分计算分值按如下公式计算： </w:t>
      </w:r>
    </w:p>
    <w:p>
      <w:pPr>
        <w:jc w:val="center"/>
        <w:rPr>
          <w:rFonts w:hint="eastAsia" w:ascii="宋体" w:hAnsi="宋体" w:eastAsia="宋体"/>
          <w:color w:val="auto"/>
          <w:sz w:val="28"/>
          <w:szCs w:val="28"/>
        </w:rPr>
      </w:pPr>
      <w:r>
        <w:rPr>
          <w:rFonts w:hint="eastAsia" w:ascii="宋体" w:hAnsi="宋体" w:eastAsia="宋体"/>
          <w:color w:val="auto"/>
          <w:sz w:val="28"/>
          <w:szCs w:val="28"/>
        </w:rPr>
        <w:t>综合</w:t>
      </w:r>
      <w:r>
        <w:rPr>
          <w:rFonts w:ascii="宋体" w:hAnsi="宋体" w:eastAsia="宋体"/>
          <w:color w:val="auto"/>
          <w:sz w:val="28"/>
          <w:szCs w:val="28"/>
        </w:rPr>
        <w:t>评分=</w:t>
      </w:r>
      <w:r>
        <w:rPr>
          <w:rFonts w:hint="eastAsia" w:ascii="宋体" w:hAnsi="宋体" w:eastAsia="宋体"/>
          <w:color w:val="auto"/>
          <w:sz w:val="28"/>
          <w:szCs w:val="28"/>
        </w:rPr>
        <w:t>F</w:t>
      </w:r>
      <w:r>
        <w:rPr>
          <w:rFonts w:hint="eastAsia" w:ascii="宋体" w:hAnsi="宋体" w:eastAsia="宋体"/>
          <w:color w:val="auto"/>
          <w:sz w:val="28"/>
          <w:szCs w:val="28"/>
          <w:vertAlign w:val="subscript"/>
        </w:rPr>
        <w:t>基础表</w:t>
      </w:r>
      <w:r>
        <w:rPr>
          <w:rFonts w:hint="eastAsia" w:ascii="宋体" w:hAnsi="宋体" w:eastAsia="宋体"/>
          <w:color w:val="auto"/>
          <w:sz w:val="28"/>
          <w:szCs w:val="28"/>
        </w:rPr>
        <w:t>/20</w:t>
      </w:r>
      <w:r>
        <w:rPr>
          <w:rFonts w:ascii="宋体" w:hAnsi="宋体" w:eastAsia="宋体"/>
          <w:color w:val="auto"/>
          <w:sz w:val="28"/>
          <w:szCs w:val="28"/>
        </w:rPr>
        <w:t>×10</w:t>
      </w:r>
      <w:r>
        <w:rPr>
          <w:rFonts w:hint="eastAsia" w:ascii="宋体" w:hAnsi="宋体" w:eastAsia="宋体"/>
          <w:color w:val="auto"/>
          <w:sz w:val="28"/>
          <w:szCs w:val="28"/>
        </w:rPr>
        <w:t>+F</w:t>
      </w:r>
      <w:r>
        <w:rPr>
          <w:rFonts w:hint="eastAsia" w:ascii="宋体" w:hAnsi="宋体" w:eastAsia="宋体"/>
          <w:color w:val="auto"/>
          <w:sz w:val="28"/>
          <w:szCs w:val="28"/>
          <w:vertAlign w:val="subscript"/>
        </w:rPr>
        <w:t>专业表</w:t>
      </w:r>
      <w:r>
        <w:rPr>
          <w:rFonts w:hint="eastAsia" w:ascii="宋体" w:hAnsi="宋体" w:eastAsia="宋体"/>
          <w:color w:val="auto"/>
          <w:sz w:val="28"/>
          <w:szCs w:val="28"/>
        </w:rPr>
        <w:t>/1000</w:t>
      </w:r>
      <w:r>
        <w:rPr>
          <w:rFonts w:ascii="宋体" w:hAnsi="宋体" w:eastAsia="宋体"/>
          <w:color w:val="auto"/>
          <w:sz w:val="28"/>
          <w:szCs w:val="28"/>
        </w:rPr>
        <w:t>×</w:t>
      </w:r>
      <w:r>
        <w:rPr>
          <w:rFonts w:hint="eastAsia" w:ascii="宋体" w:hAnsi="宋体" w:eastAsia="宋体"/>
          <w:color w:val="auto"/>
          <w:sz w:val="28"/>
          <w:szCs w:val="28"/>
        </w:rPr>
        <w:t>6</w:t>
      </w:r>
      <w:r>
        <w:rPr>
          <w:rFonts w:ascii="宋体" w:hAnsi="宋体" w:eastAsia="宋体"/>
          <w:color w:val="auto"/>
          <w:sz w:val="28"/>
          <w:szCs w:val="28"/>
        </w:rPr>
        <w:t>0</w:t>
      </w:r>
      <w:r>
        <w:rPr>
          <w:rFonts w:hint="eastAsia" w:ascii="宋体" w:hAnsi="宋体" w:eastAsia="宋体"/>
          <w:color w:val="auto"/>
          <w:sz w:val="28"/>
          <w:szCs w:val="28"/>
        </w:rPr>
        <w:t>+F</w:t>
      </w:r>
      <w:r>
        <w:rPr>
          <w:rFonts w:hint="eastAsia" w:ascii="宋体" w:hAnsi="宋体" w:eastAsia="宋体"/>
          <w:color w:val="auto"/>
          <w:sz w:val="28"/>
          <w:szCs w:val="28"/>
          <w:vertAlign w:val="subscript"/>
        </w:rPr>
        <w:t>专项表</w:t>
      </w:r>
      <w:r>
        <w:rPr>
          <w:rFonts w:hint="eastAsia" w:ascii="宋体" w:hAnsi="宋体" w:eastAsia="宋体"/>
          <w:color w:val="auto"/>
          <w:sz w:val="28"/>
          <w:szCs w:val="28"/>
        </w:rPr>
        <w:t>/F</w:t>
      </w:r>
      <w:r>
        <w:rPr>
          <w:rFonts w:hint="eastAsia" w:ascii="宋体" w:hAnsi="宋体" w:eastAsia="宋体"/>
          <w:color w:val="auto"/>
          <w:sz w:val="28"/>
          <w:szCs w:val="28"/>
          <w:vertAlign w:val="subscript"/>
        </w:rPr>
        <w:t>总</w:t>
      </w:r>
      <w:r>
        <w:rPr>
          <w:rFonts w:ascii="宋体" w:hAnsi="宋体" w:eastAsia="宋体"/>
          <w:color w:val="auto"/>
          <w:sz w:val="28"/>
          <w:szCs w:val="28"/>
        </w:rPr>
        <w:t>×</w:t>
      </w:r>
      <w:r>
        <w:rPr>
          <w:rFonts w:hint="eastAsia" w:ascii="宋体" w:hAnsi="宋体" w:eastAsia="宋体"/>
          <w:color w:val="auto"/>
          <w:sz w:val="28"/>
          <w:szCs w:val="28"/>
        </w:rPr>
        <w:t>20+F</w:t>
      </w:r>
      <w:r>
        <w:rPr>
          <w:rFonts w:hint="eastAsia" w:ascii="宋体" w:hAnsi="宋体" w:eastAsia="宋体"/>
          <w:color w:val="auto"/>
          <w:sz w:val="28"/>
          <w:szCs w:val="28"/>
          <w:vertAlign w:val="subscript"/>
        </w:rPr>
        <w:t>安全事故</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若诊断企业不涉及十个专项检查表的企业，将专项检查表评分体系权重20分</w:t>
      </w:r>
      <w:r>
        <w:rPr>
          <w:rFonts w:hint="eastAsia" w:ascii="宋体" w:hAnsi="宋体" w:eastAsia="宋体"/>
          <w:color w:val="auto"/>
          <w:sz w:val="28"/>
          <w:szCs w:val="28"/>
          <w:lang w:eastAsia="zh-CN"/>
        </w:rPr>
        <w:t>分</w:t>
      </w:r>
      <w:r>
        <w:rPr>
          <w:rFonts w:hint="eastAsia" w:ascii="宋体" w:hAnsi="宋体" w:eastAsia="宋体"/>
          <w:color w:val="auto"/>
          <w:sz w:val="28"/>
          <w:szCs w:val="28"/>
        </w:rPr>
        <w:t xml:space="preserve">配给专业检查表，安全诊断分级综合评分计算分值按如下公式计算： </w:t>
      </w:r>
    </w:p>
    <w:p>
      <w:pPr>
        <w:jc w:val="center"/>
        <w:rPr>
          <w:rFonts w:hint="eastAsia" w:ascii="宋体" w:hAnsi="宋体" w:eastAsia="宋体"/>
          <w:color w:val="auto"/>
          <w:sz w:val="28"/>
          <w:szCs w:val="28"/>
        </w:rPr>
      </w:pPr>
      <w:r>
        <w:rPr>
          <w:rFonts w:hint="eastAsia" w:ascii="宋体" w:hAnsi="宋体" w:eastAsia="宋体"/>
          <w:color w:val="auto"/>
          <w:sz w:val="28"/>
          <w:szCs w:val="28"/>
        </w:rPr>
        <w:t>综合</w:t>
      </w:r>
      <w:r>
        <w:rPr>
          <w:rFonts w:ascii="宋体" w:hAnsi="宋体" w:eastAsia="宋体"/>
          <w:color w:val="auto"/>
          <w:sz w:val="28"/>
          <w:szCs w:val="28"/>
        </w:rPr>
        <w:t>评分=</w:t>
      </w:r>
      <w:r>
        <w:rPr>
          <w:rFonts w:hint="eastAsia" w:ascii="宋体" w:hAnsi="宋体" w:eastAsia="宋体"/>
          <w:color w:val="auto"/>
          <w:sz w:val="28"/>
          <w:szCs w:val="28"/>
        </w:rPr>
        <w:t>F</w:t>
      </w:r>
      <w:r>
        <w:rPr>
          <w:rFonts w:hint="eastAsia" w:ascii="宋体" w:hAnsi="宋体" w:eastAsia="宋体"/>
          <w:color w:val="auto"/>
          <w:sz w:val="28"/>
          <w:szCs w:val="28"/>
          <w:vertAlign w:val="subscript"/>
        </w:rPr>
        <w:t>基础表</w:t>
      </w:r>
      <w:r>
        <w:rPr>
          <w:rFonts w:hint="eastAsia" w:ascii="宋体" w:hAnsi="宋体" w:eastAsia="宋体"/>
          <w:color w:val="auto"/>
          <w:sz w:val="28"/>
          <w:szCs w:val="28"/>
        </w:rPr>
        <w:t>/20</w:t>
      </w:r>
      <w:r>
        <w:rPr>
          <w:rFonts w:ascii="宋体" w:hAnsi="宋体" w:eastAsia="宋体"/>
          <w:color w:val="auto"/>
          <w:sz w:val="28"/>
          <w:szCs w:val="28"/>
        </w:rPr>
        <w:t>×10</w:t>
      </w:r>
      <w:r>
        <w:rPr>
          <w:rFonts w:hint="eastAsia" w:ascii="宋体" w:hAnsi="宋体" w:eastAsia="宋体"/>
          <w:color w:val="auto"/>
          <w:sz w:val="28"/>
          <w:szCs w:val="28"/>
        </w:rPr>
        <w:t>+F</w:t>
      </w:r>
      <w:r>
        <w:rPr>
          <w:rFonts w:hint="eastAsia" w:ascii="宋体" w:hAnsi="宋体" w:eastAsia="宋体"/>
          <w:color w:val="auto"/>
          <w:sz w:val="28"/>
          <w:szCs w:val="28"/>
          <w:vertAlign w:val="subscript"/>
        </w:rPr>
        <w:t>专业表</w:t>
      </w:r>
      <w:r>
        <w:rPr>
          <w:rFonts w:hint="eastAsia" w:ascii="宋体" w:hAnsi="宋体" w:eastAsia="宋体"/>
          <w:color w:val="auto"/>
          <w:sz w:val="28"/>
          <w:szCs w:val="28"/>
        </w:rPr>
        <w:t>/1000</w:t>
      </w:r>
      <w:r>
        <w:rPr>
          <w:rFonts w:ascii="宋体" w:hAnsi="宋体" w:eastAsia="宋体"/>
          <w:color w:val="auto"/>
          <w:sz w:val="28"/>
          <w:szCs w:val="28"/>
        </w:rPr>
        <w:t>×</w:t>
      </w:r>
      <w:r>
        <w:rPr>
          <w:rFonts w:hint="eastAsia" w:ascii="宋体" w:hAnsi="宋体" w:eastAsia="宋体"/>
          <w:color w:val="auto"/>
          <w:sz w:val="28"/>
          <w:szCs w:val="28"/>
        </w:rPr>
        <w:t>8</w:t>
      </w:r>
      <w:r>
        <w:rPr>
          <w:rFonts w:ascii="宋体" w:hAnsi="宋体" w:eastAsia="宋体"/>
          <w:color w:val="auto"/>
          <w:sz w:val="28"/>
          <w:szCs w:val="28"/>
        </w:rPr>
        <w:t>0</w:t>
      </w:r>
      <w:r>
        <w:rPr>
          <w:rFonts w:hint="eastAsia" w:ascii="宋体" w:hAnsi="宋体" w:eastAsia="宋体"/>
          <w:color w:val="auto"/>
          <w:sz w:val="28"/>
          <w:szCs w:val="28"/>
        </w:rPr>
        <w:t>+F</w:t>
      </w:r>
      <w:r>
        <w:rPr>
          <w:rFonts w:hint="eastAsia" w:ascii="宋体" w:hAnsi="宋体" w:eastAsia="宋体"/>
          <w:color w:val="auto"/>
          <w:sz w:val="28"/>
          <w:szCs w:val="28"/>
          <w:vertAlign w:val="subscript"/>
        </w:rPr>
        <w:t>安全事故</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诊断安全风险从高到低依次对应为红色、橙色、黄色、蓝色，诊断评分</w:t>
      </w:r>
      <w:r>
        <w:rPr>
          <w:rFonts w:ascii="宋体" w:hAnsi="宋体" w:eastAsia="宋体"/>
          <w:color w:val="auto"/>
          <w:sz w:val="28"/>
          <w:szCs w:val="28"/>
        </w:rPr>
        <w:t>在90分以上（含90分）的为蓝色；75分（含75分）至90分的为黄色；60分（含60分）至75分的为橙色；60分以下的为红色。</w:t>
      </w:r>
    </w:p>
    <w:p>
      <w:pPr>
        <w:ind w:firstLine="640" w:firstLineChars="200"/>
        <w:jc w:val="left"/>
        <w:outlineLvl w:val="0"/>
        <w:rPr>
          <w:rFonts w:hint="eastAsia" w:ascii="黑体" w:hAnsi="黑体" w:eastAsia="黑体"/>
          <w:color w:val="auto"/>
          <w:sz w:val="32"/>
          <w:szCs w:val="32"/>
        </w:rPr>
      </w:pPr>
      <w:bookmarkStart w:id="23" w:name="_Toc237556445"/>
      <w:bookmarkStart w:id="24" w:name="OLE_LINK13"/>
      <w:r>
        <w:rPr>
          <w:rFonts w:hint="eastAsia" w:ascii="黑体" w:hAnsi="黑体" w:eastAsia="黑体"/>
          <w:color w:val="auto"/>
          <w:sz w:val="32"/>
          <w:szCs w:val="32"/>
        </w:rPr>
        <w:t>四、诊断专业检查内容</w:t>
      </w:r>
      <w:bookmarkEnd w:id="23"/>
    </w:p>
    <w:bookmarkEnd w:id="24"/>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诊断专业</w:t>
      </w:r>
      <w:r>
        <w:rPr>
          <w:rFonts w:ascii="宋体" w:hAnsi="宋体" w:eastAsia="宋体"/>
          <w:color w:val="auto"/>
          <w:sz w:val="28"/>
          <w:szCs w:val="28"/>
        </w:rPr>
        <w:t>检查内容的基础是《危险化学品企业安全风险隐患排查治理导则》《危险化学品生产企业安全生产许可证实施办法》《化工和危险化学品生产经营企业重大生产安全事故隐患判定准则》，设置了</w:t>
      </w:r>
      <w:r>
        <w:rPr>
          <w:rFonts w:hint="eastAsia" w:ascii="宋体" w:hAnsi="宋体" w:eastAsia="宋体"/>
          <w:color w:val="auto"/>
          <w:sz w:val="28"/>
          <w:szCs w:val="28"/>
        </w:rPr>
        <w:t>5</w:t>
      </w:r>
      <w:r>
        <w:rPr>
          <w:rFonts w:ascii="宋体" w:hAnsi="宋体" w:eastAsia="宋体"/>
          <w:color w:val="auto"/>
          <w:sz w:val="28"/>
          <w:szCs w:val="28"/>
        </w:rPr>
        <w:t>个专业，分别为设计与总图、</w:t>
      </w:r>
      <w:bookmarkStart w:id="25" w:name="OLE_LINK11"/>
      <w:r>
        <w:rPr>
          <w:rFonts w:hint="eastAsia" w:ascii="宋体" w:hAnsi="宋体" w:eastAsia="宋体"/>
          <w:color w:val="auto"/>
          <w:sz w:val="28"/>
          <w:szCs w:val="28"/>
        </w:rPr>
        <w:t>工艺（</w:t>
      </w:r>
      <w:r>
        <w:rPr>
          <w:rFonts w:ascii="宋体" w:hAnsi="宋体" w:eastAsia="宋体"/>
          <w:color w:val="auto"/>
          <w:sz w:val="28"/>
          <w:szCs w:val="28"/>
        </w:rPr>
        <w:t>装置运行</w:t>
      </w:r>
      <w:r>
        <w:rPr>
          <w:rFonts w:hint="eastAsia" w:ascii="宋体" w:hAnsi="宋体" w:eastAsia="宋体"/>
          <w:color w:val="auto"/>
          <w:sz w:val="28"/>
          <w:szCs w:val="28"/>
        </w:rPr>
        <w:t>）</w:t>
      </w:r>
      <w:bookmarkEnd w:id="25"/>
      <w:r>
        <w:rPr>
          <w:rFonts w:hint="eastAsia" w:ascii="宋体" w:hAnsi="宋体" w:eastAsia="宋体"/>
          <w:color w:val="auto"/>
          <w:sz w:val="28"/>
          <w:szCs w:val="28"/>
        </w:rPr>
        <w:t>安全</w:t>
      </w:r>
      <w:r>
        <w:rPr>
          <w:rFonts w:ascii="宋体" w:hAnsi="宋体" w:eastAsia="宋体"/>
          <w:color w:val="auto"/>
          <w:sz w:val="28"/>
          <w:szCs w:val="28"/>
        </w:rPr>
        <w:t>、设备</w:t>
      </w:r>
      <w:r>
        <w:rPr>
          <w:rFonts w:hint="eastAsia" w:ascii="宋体" w:hAnsi="宋体" w:eastAsia="宋体"/>
          <w:color w:val="auto"/>
          <w:sz w:val="28"/>
          <w:szCs w:val="28"/>
        </w:rPr>
        <w:t>安全</w:t>
      </w:r>
      <w:r>
        <w:rPr>
          <w:rFonts w:ascii="宋体" w:hAnsi="宋体" w:eastAsia="宋体"/>
          <w:color w:val="auto"/>
          <w:sz w:val="28"/>
          <w:szCs w:val="28"/>
        </w:rPr>
        <w:t>、电气仪表</w:t>
      </w:r>
      <w:r>
        <w:rPr>
          <w:rFonts w:hint="eastAsia" w:ascii="宋体" w:hAnsi="宋体" w:eastAsia="宋体"/>
          <w:color w:val="auto"/>
          <w:sz w:val="28"/>
          <w:szCs w:val="28"/>
        </w:rPr>
        <w:t>安全</w:t>
      </w:r>
      <w:r>
        <w:rPr>
          <w:rFonts w:ascii="宋体" w:hAnsi="宋体" w:eastAsia="宋体"/>
          <w:color w:val="auto"/>
          <w:sz w:val="28"/>
          <w:szCs w:val="28"/>
        </w:rPr>
        <w:t>、安全基础管理，编制了各专业基础检查表。具体的</w:t>
      </w:r>
      <w:r>
        <w:rPr>
          <w:rFonts w:hint="eastAsia" w:ascii="宋体" w:hAnsi="宋体" w:eastAsia="宋体"/>
          <w:color w:val="auto"/>
          <w:sz w:val="28"/>
          <w:szCs w:val="28"/>
        </w:rPr>
        <w:t>诊断</w:t>
      </w:r>
      <w:r>
        <w:rPr>
          <w:rFonts w:ascii="宋体" w:hAnsi="宋体" w:eastAsia="宋体"/>
          <w:color w:val="auto"/>
          <w:sz w:val="28"/>
          <w:szCs w:val="28"/>
        </w:rPr>
        <w:t>专业检查表见附件</w:t>
      </w:r>
      <w:r>
        <w:rPr>
          <w:rFonts w:hint="eastAsia" w:ascii="宋体" w:hAnsi="宋体" w:eastAsia="宋体"/>
          <w:color w:val="auto"/>
          <w:sz w:val="28"/>
          <w:szCs w:val="28"/>
        </w:rPr>
        <w:t>4。</w:t>
      </w:r>
    </w:p>
    <w:p>
      <w:pPr>
        <w:ind w:firstLine="602" w:firstLineChars="200"/>
        <w:jc w:val="left"/>
        <w:outlineLvl w:val="1"/>
        <w:rPr>
          <w:rFonts w:hint="eastAsia" w:ascii="宋体" w:hAnsi="宋体" w:eastAsia="宋体"/>
          <w:b/>
          <w:bCs/>
          <w:color w:val="auto"/>
          <w:sz w:val="30"/>
          <w:szCs w:val="30"/>
        </w:rPr>
      </w:pPr>
      <w:bookmarkStart w:id="26" w:name="_Toc237556446"/>
      <w:bookmarkStart w:id="27" w:name="OLE_LINK10"/>
      <w:r>
        <w:rPr>
          <w:rFonts w:hint="eastAsia" w:ascii="宋体" w:hAnsi="宋体" w:eastAsia="宋体"/>
          <w:b/>
          <w:bCs/>
          <w:color w:val="auto"/>
          <w:sz w:val="30"/>
          <w:szCs w:val="30"/>
        </w:rPr>
        <w:t>（一）</w:t>
      </w:r>
      <w:r>
        <w:rPr>
          <w:rFonts w:ascii="宋体" w:hAnsi="宋体" w:eastAsia="宋体"/>
          <w:b/>
          <w:bCs/>
          <w:color w:val="auto"/>
          <w:sz w:val="30"/>
          <w:szCs w:val="30"/>
        </w:rPr>
        <w:t>设计与总图安全诊断专业检查表编制依据及基本内容</w:t>
      </w:r>
      <w:bookmarkEnd w:id="26"/>
      <w:r>
        <w:rPr>
          <w:rFonts w:ascii="宋体" w:hAnsi="宋体" w:eastAsia="宋体"/>
          <w:b/>
          <w:bCs/>
          <w:color w:val="auto"/>
          <w:sz w:val="30"/>
          <w:szCs w:val="30"/>
        </w:rPr>
        <w:t xml:space="preserve"> </w:t>
      </w:r>
    </w:p>
    <w:bookmarkEnd w:id="27"/>
    <w:p>
      <w:pPr>
        <w:ind w:firstLine="560" w:firstLineChars="200"/>
        <w:jc w:val="left"/>
        <w:rPr>
          <w:rFonts w:hint="eastAsia" w:ascii="宋体" w:hAnsi="宋体" w:eastAsia="宋体"/>
          <w:color w:val="auto"/>
          <w:sz w:val="28"/>
          <w:szCs w:val="28"/>
        </w:rPr>
      </w:pPr>
      <w:bookmarkStart w:id="28" w:name="OLE_LINK12"/>
      <w:r>
        <w:rPr>
          <w:rFonts w:ascii="宋体" w:hAnsi="宋体" w:eastAsia="宋体"/>
          <w:color w:val="auto"/>
          <w:sz w:val="28"/>
          <w:szCs w:val="28"/>
        </w:rPr>
        <w:t>设计与总图</w:t>
      </w:r>
      <w:r>
        <w:rPr>
          <w:rFonts w:hint="eastAsia" w:ascii="宋体" w:hAnsi="宋体" w:eastAsia="宋体"/>
          <w:color w:val="auto"/>
          <w:sz w:val="28"/>
          <w:szCs w:val="28"/>
        </w:rPr>
        <w:t>安全诊断</w:t>
      </w:r>
      <w:r>
        <w:rPr>
          <w:rFonts w:ascii="宋体" w:hAnsi="宋体" w:eastAsia="宋体"/>
          <w:color w:val="auto"/>
          <w:sz w:val="28"/>
          <w:szCs w:val="28"/>
        </w:rPr>
        <w:t>的检查表由设计管理</w:t>
      </w:r>
      <w:r>
        <w:rPr>
          <w:rFonts w:hint="eastAsia" w:ascii="宋体" w:hAnsi="宋体" w:eastAsia="宋体"/>
          <w:color w:val="auto"/>
          <w:sz w:val="28"/>
          <w:szCs w:val="28"/>
        </w:rPr>
        <w:t>、</w:t>
      </w:r>
      <w:r>
        <w:rPr>
          <w:rFonts w:ascii="宋体" w:hAnsi="宋体" w:eastAsia="宋体"/>
          <w:color w:val="auto"/>
          <w:sz w:val="28"/>
          <w:szCs w:val="28"/>
        </w:rPr>
        <w:t>总图布置</w:t>
      </w:r>
      <w:r>
        <w:rPr>
          <w:rFonts w:hint="eastAsia" w:ascii="宋体" w:hAnsi="宋体" w:eastAsia="宋体"/>
          <w:color w:val="auto"/>
          <w:sz w:val="28"/>
          <w:szCs w:val="28"/>
        </w:rPr>
        <w:t>和安全设施三</w:t>
      </w:r>
      <w:r>
        <w:rPr>
          <w:rFonts w:ascii="宋体" w:hAnsi="宋体" w:eastAsia="宋体"/>
          <w:color w:val="auto"/>
          <w:sz w:val="28"/>
          <w:szCs w:val="28"/>
        </w:rPr>
        <w:t>部分组成，检查条款涉及危化建设项目全生命周期设计合规、厂区布局、选址与外部防护距离、设备安全设施设计管控等方面。</w:t>
      </w:r>
    </w:p>
    <w:p>
      <w:pPr>
        <w:ind w:firstLine="560" w:firstLineChars="200"/>
        <w:jc w:val="left"/>
        <w:rPr>
          <w:rFonts w:hint="eastAsia" w:ascii="宋体" w:hAnsi="宋体" w:eastAsia="宋体"/>
          <w:color w:val="auto"/>
          <w:sz w:val="28"/>
          <w:szCs w:val="28"/>
        </w:rPr>
      </w:pPr>
      <w:r>
        <w:rPr>
          <w:rFonts w:ascii="宋体" w:hAnsi="宋体" w:eastAsia="宋体"/>
          <w:color w:val="auto"/>
          <w:sz w:val="28"/>
          <w:szCs w:val="28"/>
        </w:rPr>
        <w:t>在编制设计与总图专业检查表时，主要依据</w:t>
      </w:r>
      <w:bookmarkStart w:id="29" w:name="_Hlk235881256"/>
      <w:r>
        <w:rPr>
          <w:rFonts w:ascii="宋体" w:hAnsi="宋体" w:eastAsia="宋体"/>
          <w:color w:val="auto"/>
          <w:sz w:val="28"/>
          <w:szCs w:val="28"/>
        </w:rPr>
        <w:t>《关于进一步加强危险化学品建设项目安全设计管理的通知》（安监总管三〔2013〕76号）</w:t>
      </w:r>
      <w:r>
        <w:rPr>
          <w:rFonts w:hint="eastAsia" w:ascii="宋体" w:hAnsi="宋体" w:eastAsia="宋体"/>
          <w:color w:val="auto"/>
          <w:sz w:val="28"/>
          <w:szCs w:val="28"/>
        </w:rPr>
        <w:t>、</w:t>
      </w:r>
      <w:r>
        <w:rPr>
          <w:rFonts w:ascii="宋体" w:hAnsi="宋体" w:eastAsia="宋体"/>
          <w:color w:val="auto"/>
          <w:sz w:val="28"/>
          <w:szCs w:val="28"/>
        </w:rPr>
        <w:t>《危险化学品建设项目安全监督管理办法》（国家安全监管总局令第45号公布、第79号修正）</w:t>
      </w:r>
      <w:r>
        <w:rPr>
          <w:rFonts w:hint="eastAsia" w:ascii="宋体" w:hAnsi="宋体" w:eastAsia="宋体"/>
          <w:color w:val="auto"/>
          <w:sz w:val="28"/>
          <w:szCs w:val="28"/>
        </w:rPr>
        <w:t>、</w:t>
      </w:r>
      <w:r>
        <w:rPr>
          <w:rFonts w:ascii="宋体" w:hAnsi="宋体" w:eastAsia="宋体"/>
          <w:color w:val="auto"/>
          <w:sz w:val="28"/>
          <w:szCs w:val="28"/>
        </w:rPr>
        <w:t>《危险化学品生产建设项目安全风险防控指南（试行）》（应急〔2022〕52号）</w:t>
      </w:r>
      <w:r>
        <w:rPr>
          <w:rFonts w:hint="eastAsia" w:ascii="宋体" w:hAnsi="宋体" w:eastAsia="宋体"/>
          <w:color w:val="auto"/>
          <w:sz w:val="28"/>
          <w:szCs w:val="28"/>
        </w:rPr>
        <w:t>、</w:t>
      </w:r>
      <w:r>
        <w:rPr>
          <w:rFonts w:ascii="宋体" w:hAnsi="宋体" w:eastAsia="宋体"/>
          <w:color w:val="auto"/>
          <w:sz w:val="28"/>
          <w:szCs w:val="28"/>
        </w:rPr>
        <w:t>《工业企业总平面</w:t>
      </w:r>
      <w:r>
        <w:rPr>
          <w:rFonts w:hint="eastAsia" w:ascii="宋体" w:hAnsi="宋体" w:eastAsia="宋体"/>
          <w:color w:val="auto"/>
          <w:sz w:val="28"/>
          <w:szCs w:val="28"/>
        </w:rPr>
        <w:t>设计规范》（GB 50187-2012）、《化工企业总图运输设计规范》（GB 50489-2009）、《石油化工企业设计防火标准（2018年版）》（GB 50160-2008）、《建筑设计防火规范（2018年版）》（GB50016-2014）、《精细化工企业工程设计防火标准》（GB51283-2020）、《石油库设计规范》（GB 50074-2014）、《石油化工工厂布置设计规范》（GB 50984-2014）、《危险化学品生产装置和储存设施风险基准》（GB 36894-2018）、《危险化学品生产装置和储存设施外部安全防护距离》（GB/T 37243-2019）等。</w:t>
      </w:r>
    </w:p>
    <w:bookmarkEnd w:id="28"/>
    <w:bookmarkEnd w:id="29"/>
    <w:p>
      <w:pPr>
        <w:ind w:firstLine="560" w:firstLineChars="200"/>
        <w:jc w:val="left"/>
        <w:rPr>
          <w:rFonts w:hint="eastAsia" w:ascii="宋体" w:hAnsi="宋体" w:eastAsia="宋体" w:cs="Arial"/>
          <w:color w:val="auto"/>
          <w:sz w:val="28"/>
          <w:szCs w:val="28"/>
        </w:rPr>
      </w:pPr>
      <w:r>
        <w:rPr>
          <w:rFonts w:hint="eastAsia" w:ascii="宋体" w:hAnsi="宋体" w:eastAsia="宋体" w:cs="Arial"/>
          <w:color w:val="auto"/>
          <w:sz w:val="28"/>
          <w:szCs w:val="28"/>
        </w:rPr>
        <w:t>1.设计管理：项目设计合规资质；工艺技术资料完整性；建设项目审批手续；试生产与开车管控；竣工验收评价；特殊项目工艺风险分析；安全评价对策落实；安全评价机构管理。</w:t>
      </w:r>
    </w:p>
    <w:p>
      <w:pPr>
        <w:ind w:firstLine="560" w:firstLineChars="200"/>
        <w:jc w:val="left"/>
        <w:rPr>
          <w:rFonts w:hint="eastAsia" w:ascii="宋体" w:hAnsi="宋体" w:eastAsia="宋体" w:cs="Arial"/>
          <w:color w:val="auto"/>
          <w:sz w:val="28"/>
          <w:szCs w:val="28"/>
        </w:rPr>
      </w:pPr>
      <w:r>
        <w:rPr>
          <w:rFonts w:hint="eastAsia" w:ascii="宋体" w:hAnsi="宋体" w:eastAsia="宋体" w:cs="Arial"/>
          <w:color w:val="auto"/>
          <w:sz w:val="28"/>
          <w:szCs w:val="28"/>
        </w:rPr>
        <w:t>2.总图布置：从厂区选址、间距、设施布局、管线线路、人员场所设置开展现场布局合规性检查：外部安全防护距离；厂区总平面布局，</w:t>
      </w:r>
      <w:r>
        <w:rPr>
          <w:rFonts w:ascii="宋体" w:hAnsi="宋体" w:eastAsia="宋体" w:cs="Arial"/>
          <w:color w:val="auto"/>
          <w:sz w:val="28"/>
          <w:szCs w:val="28"/>
        </w:rPr>
        <w:t>消防道路、安全疏散</w:t>
      </w:r>
      <w:r>
        <w:rPr>
          <w:rFonts w:hint="eastAsia" w:ascii="宋体" w:hAnsi="宋体" w:eastAsia="宋体" w:cs="Arial"/>
          <w:color w:val="auto"/>
          <w:sz w:val="28"/>
          <w:szCs w:val="28"/>
        </w:rPr>
        <w:t>符合性；内外防火间距；储罐区设备布置情况；控制室/抗爆建筑设计符合情况；高危场所人员聚集管控；管线、电力线路穿越管控；剧毒、硫化氢管道不得穿越厂区外公共区域；甲乙类危险物料管线不穿越无关装置储罐；企业整体选址合规情况。</w:t>
      </w:r>
    </w:p>
    <w:p>
      <w:pPr>
        <w:ind w:firstLine="560" w:firstLineChars="200"/>
        <w:jc w:val="left"/>
        <w:rPr>
          <w:rFonts w:hint="eastAsia" w:ascii="宋体" w:hAnsi="宋体" w:eastAsia="宋体" w:cs="Arial"/>
          <w:color w:val="auto"/>
          <w:sz w:val="28"/>
          <w:szCs w:val="28"/>
        </w:rPr>
      </w:pPr>
      <w:r>
        <w:rPr>
          <w:rFonts w:hint="eastAsia" w:ascii="宋体" w:hAnsi="宋体" w:eastAsia="宋体" w:cs="Arial"/>
          <w:color w:val="auto"/>
          <w:sz w:val="28"/>
          <w:szCs w:val="28"/>
        </w:rPr>
        <w:t>3.安全设施：储罐安全设施配套情况；反应设备保护情况；排放与火炬系统；不同反应气体不得共用收集系统；机泵管道配件；高危介质配套密闭取样系统；装卸设施规范；甲</w:t>
      </w:r>
      <w:r>
        <w:rPr>
          <w:rFonts w:hint="eastAsia" w:ascii="宋体" w:hAnsi="宋体" w:eastAsia="宋体" w:cs="Arial"/>
          <w:color w:val="auto"/>
          <w:sz w:val="28"/>
          <w:szCs w:val="28"/>
          <w:vertAlign w:val="subscript"/>
        </w:rPr>
        <w:t>B</w:t>
      </w:r>
      <w:r>
        <w:rPr>
          <w:rFonts w:hint="eastAsia" w:ascii="宋体" w:hAnsi="宋体" w:eastAsia="宋体" w:cs="Arial"/>
          <w:color w:val="auto"/>
          <w:sz w:val="28"/>
          <w:szCs w:val="28"/>
        </w:rPr>
        <w:t>、乙、丙</w:t>
      </w:r>
      <w:r>
        <w:rPr>
          <w:rFonts w:hint="eastAsia" w:ascii="宋体" w:hAnsi="宋体" w:eastAsia="宋体" w:cs="Arial"/>
          <w:color w:val="auto"/>
          <w:sz w:val="28"/>
          <w:szCs w:val="28"/>
          <w:vertAlign w:val="subscript"/>
        </w:rPr>
        <w:t>A</w:t>
      </w:r>
      <w:r>
        <w:rPr>
          <w:rFonts w:hint="eastAsia" w:ascii="宋体" w:hAnsi="宋体" w:eastAsia="宋体" w:cs="Arial"/>
          <w:color w:val="auto"/>
          <w:sz w:val="28"/>
          <w:szCs w:val="28"/>
        </w:rPr>
        <w:t xml:space="preserve"> 类液体采用液下装车鹤管；防火防渗与排水；排水系统设置≥250mm高水封；液体仓库防流散、遇湿易燃库房防水浸；导热油炉系统；粉尘防爆设施；职业危害防护。</w:t>
      </w:r>
    </w:p>
    <w:p>
      <w:pPr>
        <w:ind w:firstLine="602" w:firstLineChars="200"/>
        <w:jc w:val="left"/>
        <w:outlineLvl w:val="1"/>
        <w:rPr>
          <w:rFonts w:hint="eastAsia" w:ascii="宋体" w:hAnsi="宋体" w:eastAsia="宋体"/>
          <w:b/>
          <w:bCs/>
          <w:color w:val="auto"/>
          <w:sz w:val="30"/>
          <w:szCs w:val="30"/>
        </w:rPr>
      </w:pPr>
      <w:bookmarkStart w:id="30" w:name="_Toc237556447"/>
      <w:r>
        <w:rPr>
          <w:rFonts w:hint="eastAsia" w:ascii="宋体" w:hAnsi="宋体" w:eastAsia="宋体"/>
          <w:b/>
          <w:bCs/>
          <w:color w:val="auto"/>
          <w:sz w:val="30"/>
          <w:szCs w:val="30"/>
        </w:rPr>
        <w:t>（二）工艺（</w:t>
      </w:r>
      <w:r>
        <w:rPr>
          <w:rFonts w:ascii="宋体" w:hAnsi="宋体" w:eastAsia="宋体"/>
          <w:b/>
          <w:bCs/>
          <w:color w:val="auto"/>
          <w:sz w:val="30"/>
          <w:szCs w:val="30"/>
        </w:rPr>
        <w:t>装置运行</w:t>
      </w:r>
      <w:r>
        <w:rPr>
          <w:rFonts w:hint="eastAsia" w:ascii="宋体" w:hAnsi="宋体" w:eastAsia="宋体"/>
          <w:b/>
          <w:bCs/>
          <w:color w:val="auto"/>
          <w:sz w:val="30"/>
          <w:szCs w:val="30"/>
        </w:rPr>
        <w:t>）</w:t>
      </w:r>
      <w:r>
        <w:rPr>
          <w:rFonts w:ascii="宋体" w:hAnsi="宋体" w:eastAsia="宋体"/>
          <w:b/>
          <w:bCs/>
          <w:color w:val="auto"/>
          <w:sz w:val="30"/>
          <w:szCs w:val="30"/>
        </w:rPr>
        <w:t>安全诊断专业检查表编制依据及基本内容</w:t>
      </w:r>
      <w:bookmarkEnd w:id="30"/>
    </w:p>
    <w:p>
      <w:pPr>
        <w:ind w:firstLine="560" w:firstLineChars="200"/>
        <w:jc w:val="left"/>
        <w:rPr>
          <w:rFonts w:hint="eastAsia" w:ascii="宋体" w:hAnsi="宋体" w:eastAsia="宋体" w:cs="Arial"/>
          <w:color w:val="auto"/>
          <w:sz w:val="28"/>
          <w:szCs w:val="28"/>
        </w:rPr>
      </w:pPr>
      <w:r>
        <w:rPr>
          <w:rFonts w:hint="eastAsia" w:ascii="宋体" w:hAnsi="宋体" w:eastAsia="宋体" w:cs="Arial"/>
          <w:color w:val="auto"/>
          <w:sz w:val="28"/>
          <w:szCs w:val="28"/>
        </w:rPr>
        <w:t>工艺（</w:t>
      </w:r>
      <w:r>
        <w:rPr>
          <w:rFonts w:ascii="宋体" w:hAnsi="宋体" w:eastAsia="宋体" w:cs="Arial"/>
          <w:color w:val="auto"/>
          <w:sz w:val="28"/>
          <w:szCs w:val="28"/>
        </w:rPr>
        <w:t>装置运行</w:t>
      </w:r>
      <w:r>
        <w:rPr>
          <w:rFonts w:hint="eastAsia" w:ascii="宋体" w:hAnsi="宋体" w:eastAsia="宋体" w:cs="Arial"/>
          <w:color w:val="auto"/>
          <w:sz w:val="28"/>
          <w:szCs w:val="28"/>
        </w:rPr>
        <w:t>）</w:t>
      </w:r>
      <w:r>
        <w:rPr>
          <w:rFonts w:ascii="宋体" w:hAnsi="宋体" w:eastAsia="宋体" w:cs="Arial"/>
          <w:color w:val="auto"/>
          <w:sz w:val="28"/>
          <w:szCs w:val="28"/>
        </w:rPr>
        <w:t>安全</w:t>
      </w:r>
      <w:r>
        <w:rPr>
          <w:rFonts w:hint="eastAsia" w:ascii="宋体" w:hAnsi="宋体" w:eastAsia="宋体" w:cs="Arial"/>
          <w:color w:val="auto"/>
          <w:sz w:val="28"/>
          <w:szCs w:val="28"/>
        </w:rPr>
        <w:t>诊断</w:t>
      </w:r>
      <w:r>
        <w:rPr>
          <w:rFonts w:ascii="宋体" w:hAnsi="宋体" w:eastAsia="宋体" w:cs="Arial"/>
          <w:color w:val="auto"/>
          <w:sz w:val="28"/>
          <w:szCs w:val="28"/>
        </w:rPr>
        <w:t>专业检查表包括</w:t>
      </w:r>
      <w:r>
        <w:rPr>
          <w:rFonts w:hint="eastAsia" w:ascii="宋体" w:hAnsi="宋体" w:eastAsia="宋体" w:cs="Arial"/>
          <w:color w:val="auto"/>
          <w:sz w:val="28"/>
          <w:szCs w:val="28"/>
        </w:rPr>
        <w:t>5</w:t>
      </w:r>
      <w:r>
        <w:rPr>
          <w:rFonts w:ascii="宋体" w:hAnsi="宋体" w:eastAsia="宋体" w:cs="Arial"/>
          <w:color w:val="auto"/>
          <w:sz w:val="28"/>
          <w:szCs w:val="28"/>
        </w:rPr>
        <w:t>个方面：工艺风险评估</w:t>
      </w:r>
      <w:r>
        <w:rPr>
          <w:rFonts w:hint="eastAsia" w:ascii="宋体" w:hAnsi="宋体" w:eastAsia="宋体" w:cs="Arial"/>
          <w:color w:val="auto"/>
          <w:sz w:val="28"/>
          <w:szCs w:val="28"/>
        </w:rPr>
        <w:t>和分析</w:t>
      </w:r>
      <w:r>
        <w:rPr>
          <w:rFonts w:ascii="宋体" w:hAnsi="宋体" w:eastAsia="宋体" w:cs="Arial"/>
          <w:color w:val="auto"/>
          <w:sz w:val="28"/>
          <w:szCs w:val="28"/>
        </w:rPr>
        <w:t>、操作规程与工艺卡片、工艺</w:t>
      </w:r>
      <w:r>
        <w:rPr>
          <w:rFonts w:hint="eastAsia" w:ascii="宋体" w:hAnsi="宋体" w:eastAsia="宋体" w:cs="Arial"/>
          <w:color w:val="auto"/>
          <w:sz w:val="28"/>
          <w:szCs w:val="28"/>
        </w:rPr>
        <w:t>安全控制与</w:t>
      </w:r>
      <w:r>
        <w:rPr>
          <w:rFonts w:ascii="宋体" w:hAnsi="宋体" w:eastAsia="宋体" w:cs="Arial"/>
          <w:color w:val="auto"/>
          <w:sz w:val="28"/>
          <w:szCs w:val="28"/>
        </w:rPr>
        <w:t>运行</w:t>
      </w:r>
      <w:r>
        <w:rPr>
          <w:rFonts w:hint="eastAsia" w:ascii="宋体" w:hAnsi="宋体" w:eastAsia="宋体" w:cs="Arial"/>
          <w:color w:val="auto"/>
          <w:sz w:val="28"/>
          <w:szCs w:val="28"/>
        </w:rPr>
        <w:t>管理</w:t>
      </w:r>
      <w:r>
        <w:rPr>
          <w:rFonts w:ascii="宋体" w:hAnsi="宋体" w:eastAsia="宋体" w:cs="Arial"/>
          <w:color w:val="auto"/>
          <w:sz w:val="28"/>
          <w:szCs w:val="28"/>
        </w:rPr>
        <w:t>、工艺报警及处置、开停车</w:t>
      </w:r>
      <w:r>
        <w:rPr>
          <w:rFonts w:hint="eastAsia" w:ascii="宋体" w:hAnsi="宋体" w:eastAsia="宋体" w:cs="Arial"/>
          <w:color w:val="auto"/>
          <w:sz w:val="28"/>
          <w:szCs w:val="28"/>
        </w:rPr>
        <w:t>安全</w:t>
      </w:r>
      <w:r>
        <w:rPr>
          <w:rFonts w:ascii="宋体" w:hAnsi="宋体" w:eastAsia="宋体" w:cs="Arial"/>
          <w:color w:val="auto"/>
          <w:sz w:val="28"/>
          <w:szCs w:val="28"/>
        </w:rPr>
        <w:t>。</w:t>
      </w:r>
    </w:p>
    <w:p>
      <w:pPr>
        <w:ind w:firstLine="560" w:firstLineChars="200"/>
        <w:jc w:val="left"/>
        <w:rPr>
          <w:rFonts w:hint="eastAsia" w:ascii="宋体" w:hAnsi="宋体" w:eastAsia="宋体" w:cs="Arial"/>
          <w:color w:val="auto"/>
          <w:sz w:val="28"/>
          <w:szCs w:val="28"/>
        </w:rPr>
      </w:pPr>
      <w:r>
        <w:rPr>
          <w:rFonts w:hint="eastAsia" w:ascii="宋体" w:hAnsi="宋体" w:eastAsia="宋体" w:cs="Arial"/>
          <w:color w:val="auto"/>
          <w:sz w:val="28"/>
          <w:szCs w:val="28"/>
        </w:rPr>
        <w:t>在编制工艺安全诊断检查表时，主要依据了《关于加强化工过程安全管理的指导意见》（安监总管三〔2013〕88号）、《关于开展提升危险化学品领域本质安全水平专项行动的通知》（安监总管三〔2012〕87号）、《首批重点监管的危险化工工艺目录》（安监总管三〔2009〕116号）、《第二批重点监管危险化工工艺目录和调整首批重点监管危险化工工艺中部分典型工艺的通知》（安监总管三〔2013〕</w:t>
      </w:r>
      <w:r>
        <w:rPr>
          <w:rFonts w:ascii="宋体" w:hAnsi="宋体" w:eastAsia="宋体" w:cs="Arial"/>
          <w:color w:val="auto"/>
          <w:sz w:val="28"/>
          <w:szCs w:val="28"/>
        </w:rPr>
        <w:t>3号）、《关于加强精细化工反应安全风险评估工作的指导意见》（安监总管三〔2017〕1号）、《石油化工企业设计防火标准（2018年版）》（GB 50160-2008）、《建筑设计防火规范（2018年版）》（GB 50016-2014）、《精细化工企业工程设计防火标准》（GB51283-2020）、《石油天然气工程设计防火规范》（GB 50183-2004）、《储罐区防火堤设计规范》（GB 50351-2014）、《石油化工可燃性气体排放系统设计规范》（SH 3009-2013）、《石油化工金属管道布置设计规范》（SH 3012-2011）等。</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1.</w:t>
      </w:r>
      <w:r>
        <w:rPr>
          <w:rFonts w:ascii="宋体" w:hAnsi="宋体" w:eastAsia="宋体" w:cs="Arial"/>
          <w:color w:val="auto"/>
          <w:sz w:val="28"/>
          <w:szCs w:val="28"/>
        </w:rPr>
        <w:t>工艺风险评估</w:t>
      </w:r>
      <w:r>
        <w:rPr>
          <w:rFonts w:hint="eastAsia" w:ascii="宋体" w:hAnsi="宋体" w:eastAsia="宋体" w:cs="Arial"/>
          <w:color w:val="auto"/>
          <w:sz w:val="28"/>
          <w:szCs w:val="28"/>
        </w:rPr>
        <w:t>和分析：</w:t>
      </w:r>
      <w:r>
        <w:rPr>
          <w:rFonts w:hint="eastAsia" w:ascii="宋体" w:hAnsi="宋体" w:eastAsia="宋体"/>
          <w:color w:val="auto"/>
          <w:sz w:val="28"/>
          <w:szCs w:val="28"/>
        </w:rPr>
        <w:t>新工艺合规管控；淘汰工艺排查；周期性风险分析；尾气系统安全论证。</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2.操作规程与工艺卡片：文件编制规范情况；规程内容完整性；储罐特殊管控；规程动态管理；工艺的人员培训与现场执行。</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3.工艺安全控制与运行管理：高危工艺自动化硬件配置；特殊工艺防超压管控；联锁与变更全流程管理；重大危险源专项管控。</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4.工艺报警及处置：报警闭环处置；报警体系规范化管理；气体检测报警管控；现场人员限流管控。</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5.开停车安全：开停车方案管理；开停车安全条件确认；检修前安全隔离置换情况。</w:t>
      </w:r>
    </w:p>
    <w:p>
      <w:pPr>
        <w:ind w:firstLine="602" w:firstLineChars="200"/>
        <w:jc w:val="left"/>
        <w:outlineLvl w:val="1"/>
        <w:rPr>
          <w:rFonts w:hint="eastAsia" w:ascii="宋体" w:hAnsi="宋体" w:eastAsia="宋体"/>
          <w:b/>
          <w:bCs/>
          <w:color w:val="auto"/>
          <w:sz w:val="30"/>
          <w:szCs w:val="30"/>
        </w:rPr>
      </w:pPr>
      <w:bookmarkStart w:id="31" w:name="_Toc237556448"/>
      <w:r>
        <w:rPr>
          <w:rFonts w:hint="eastAsia" w:ascii="宋体" w:hAnsi="宋体" w:eastAsia="宋体"/>
          <w:b/>
          <w:bCs/>
          <w:color w:val="auto"/>
          <w:sz w:val="30"/>
          <w:szCs w:val="30"/>
        </w:rPr>
        <w:t>（三）设备</w:t>
      </w:r>
      <w:r>
        <w:rPr>
          <w:rFonts w:ascii="宋体" w:hAnsi="宋体" w:eastAsia="宋体"/>
          <w:b/>
          <w:bCs/>
          <w:color w:val="auto"/>
          <w:sz w:val="30"/>
          <w:szCs w:val="30"/>
        </w:rPr>
        <w:t>安全诊断专业检查表编制依据及基本内容</w:t>
      </w:r>
      <w:bookmarkEnd w:id="31"/>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 xml:space="preserve">设备管理专业检查表包括4个方面：设备管理体系、设备预防性维修、静设备、安全附件。 </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在编制设备管理专业检查表时，主要依据了《国家安全监管总局关于加强化工企业泄漏管理的指导意见》（安监总管三〔2014〕94号）、《关于加强化工过程安全管理的指导意见》（安监总管三〔2013〕88号）、《国家安全监管总局关于进一步加强化学品罐区安全管理的</w:t>
      </w:r>
      <w:r>
        <w:rPr>
          <w:rFonts w:ascii="宋体" w:hAnsi="宋体" w:eastAsia="宋体"/>
          <w:color w:val="auto"/>
          <w:sz w:val="28"/>
          <w:szCs w:val="28"/>
        </w:rPr>
        <w:t>通知》(安监总管三〔2014〕68号)、《石油化工企业设计防火标准（2018年版）》（GB 50160-2008）、《固定式压力容器安全技术监察规程》(TSG 21-2016)、《安全阀安全技术监察规程》（TSG ZF001-2006）、《石油化工金属管道布置设计规范》（SH/T 3012-2011）、《化工企业安全卫生设计规范》（HG 20571-2014）等。</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1.设备管理体系（基础管理类）：制度建设；人员配置；台账档案；特种设备按TSG08-2026建立完整更新的安全节能技术档案；操作规程；设备变更管理；淘汰设备管控。</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2.设备预防性维修（运维管控类）：日常保养落实润滑、盘车、设备定期切换保养要求；制定全品类设备检修计划；重点检修项目编制专项方案；安全设施同步纳入检修，拆除后及时复原；易燃易爆、有毒介质排放口/采样口加装盲板、双阀等防泄漏设施；定期检测密封点泄漏并及时维修；腐蚀介质设备配套防腐措施，定期壁厚检测、评估防腐效果；关键设备监测，大机组、重点动设备实时监控振动、温度、压力、转速等运行参数；可燃气体压缩机、液化烃/可燃液体泵禁止皮带传动；爆炸区皮带传动必须使用防静电皮带；转动部位防护，传动轮、齿轮、转轴等安装防护装置；皮带输送机按规范设置间距≤10米的急停装置；储罐金属软管建立台账，定期检查并确定更换周期。</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3.静设备：定期全面检查储罐；有毒液体储罐分区隔离布置；设备配件完好性；特种设备合规；设备防腐保温完整，无严重锈蚀；管道支吊架、设备支座无变形、开裂、下沉倾斜；甲类、剧毒物料管道禁止使用卡具临时堵漏带病运行；高温、液化烃、高毒介质高危泵采用双端面/串级密封等合规密封形式；特殊介质管线材质限制，氢气阀门禁用铜合金；氧气管道严格执行脱脂、材质规范；管廊高度满足消防要求；储罐管道优先柔性抗震连接，高毒储罐禁用金属软管；液化烃、液氯/氨管道禁止软管连接；液化烃泵专项要求；采用双机械密封，配套轴温、振动在线监测；压力容器设备设计单位资质、许可范围合规。</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4.安全附件：台账记录；安装畅通要求；投用管控；定期校验，在有效期内使用；压力表选型情况。</w:t>
      </w:r>
    </w:p>
    <w:p>
      <w:pPr>
        <w:ind w:firstLine="602" w:firstLineChars="200"/>
        <w:jc w:val="left"/>
        <w:outlineLvl w:val="1"/>
        <w:rPr>
          <w:rFonts w:hint="eastAsia" w:ascii="宋体" w:hAnsi="宋体" w:eastAsia="宋体"/>
          <w:b/>
          <w:bCs/>
          <w:color w:val="auto"/>
          <w:sz w:val="30"/>
          <w:szCs w:val="30"/>
        </w:rPr>
      </w:pPr>
      <w:bookmarkStart w:id="32" w:name="_Toc237556449"/>
      <w:r>
        <w:rPr>
          <w:rFonts w:hint="eastAsia" w:ascii="宋体" w:hAnsi="宋体" w:eastAsia="宋体"/>
          <w:b/>
          <w:bCs/>
          <w:color w:val="auto"/>
          <w:sz w:val="30"/>
          <w:szCs w:val="30"/>
        </w:rPr>
        <w:t>（四）电仪</w:t>
      </w:r>
      <w:r>
        <w:rPr>
          <w:rFonts w:ascii="宋体" w:hAnsi="宋体" w:eastAsia="宋体"/>
          <w:b/>
          <w:bCs/>
          <w:color w:val="auto"/>
          <w:sz w:val="30"/>
          <w:szCs w:val="30"/>
        </w:rPr>
        <w:t>安全诊断专业检查表编制依据及基本内容</w:t>
      </w:r>
      <w:bookmarkEnd w:id="32"/>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仪表/电气安全管理专业检查表主要包括6个方面：电气安全、仪表管理、自动控制系统、安全仪表系统、仪表气源、</w:t>
      </w:r>
      <w:r>
        <w:rPr>
          <w:rFonts w:ascii="宋体" w:hAnsi="宋体" w:eastAsia="宋体"/>
          <w:color w:val="auto"/>
          <w:sz w:val="28"/>
          <w:szCs w:val="28"/>
        </w:rPr>
        <w:t>可燃气体和有毒气体检测报警系统</w:t>
      </w:r>
      <w:r>
        <w:rPr>
          <w:rFonts w:hint="eastAsia" w:ascii="宋体" w:hAnsi="宋体" w:eastAsia="宋体"/>
          <w:color w:val="auto"/>
          <w:sz w:val="28"/>
          <w:szCs w:val="28"/>
        </w:rPr>
        <w:t xml:space="preserve">等。 </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在编制电气/仪表安全诊断专业检查表时，主要依据了《国家安全监管总局关于加强化工安全仪表系统管理的指导意见》（安监总管三〔2014〕116号）、《关于加强化工过程安全管理的指导意见》（安监总管三〔2013〕88号）、《自动化仪表工程施工及质量验收规范》（GB 50093-2013）、《石油化工安全仪表系统设计规范》（GBT 50770-2013）、《仪表供气设计规范》（HG/T 20510-2014）、《石油化工自动化仪表选型设计规范》（SH/T 3005-2016）、《石油化工可燃气体和有</w:t>
      </w:r>
      <w:r>
        <w:rPr>
          <w:rFonts w:ascii="宋体" w:hAnsi="宋体" w:eastAsia="宋体"/>
          <w:color w:val="auto"/>
          <w:sz w:val="28"/>
          <w:szCs w:val="28"/>
        </w:rPr>
        <w:t>毒气体检测报警设计标准》（GBT 50493-2019）、《石油化工仪表供气设计规范》（SH 3020-2013）、《爆炸危险环境电力装置设计规范》（GB 50058-2014）、《供配电系统设计规范》（GB 50052-2009）、《电气装置安装工程接地装置施工及验收规范》（GB 50169-2016）、《石油化工静电接地设计规范》（SH/T 3097-2017）、《石油化工企业设计防火标准（2018年版）》（GB 50160-2008）等。</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1.电气安全：电气管理制度与作业许可；供电电源配置；防爆电气设备；现场电气设备完好性；防雷接地管理；静电接地设施；人体静电消除装置。</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2.仪表管理要求：仪表专项制度建设；仪表台账与联锁清单；联锁日常投用与变更管理；重大危险源/重点工艺联锁管控；联锁全流程审批管控。</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3.自动控制系统：重大危险源罐区紧急切断；SIL 安全仪表功能评估；仪表回路试验与定期调试。</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4.安全仪表系统 SIS：SIL定级验证整改；独立SIS配置要求；SIS取源部件独立；SIS周期性功能测试；急停按钮防护；故障安全型阀门配置；厂区进出物料切断阀。</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5.仪表气源：供气压力监测报警；备用供气保障；无自动切换功能时配套备用储气罐，满足停机供气缓冲需求。</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6.可燃有毒气体检测报警系统GDS：探测器设置与投用；探测器规范安装设置；系统独立设置符合性；定期校准检定；报警处置台账；建筑物通风口检测。</w:t>
      </w:r>
    </w:p>
    <w:p>
      <w:pPr>
        <w:ind w:firstLine="602" w:firstLineChars="200"/>
        <w:jc w:val="left"/>
        <w:outlineLvl w:val="1"/>
        <w:rPr>
          <w:rFonts w:hint="eastAsia" w:ascii="宋体" w:hAnsi="宋体" w:eastAsia="宋体"/>
          <w:b/>
          <w:bCs/>
          <w:color w:val="auto"/>
          <w:sz w:val="30"/>
          <w:szCs w:val="30"/>
        </w:rPr>
      </w:pPr>
      <w:bookmarkStart w:id="33" w:name="_Toc237556450"/>
      <w:r>
        <w:rPr>
          <w:rFonts w:hint="eastAsia" w:ascii="宋体" w:hAnsi="宋体" w:eastAsia="宋体"/>
          <w:b/>
          <w:bCs/>
          <w:color w:val="auto"/>
          <w:sz w:val="30"/>
          <w:szCs w:val="30"/>
        </w:rPr>
        <w:t>（五）安全基础管理</w:t>
      </w:r>
      <w:r>
        <w:rPr>
          <w:rFonts w:ascii="宋体" w:hAnsi="宋体" w:eastAsia="宋体"/>
          <w:b/>
          <w:bCs/>
          <w:color w:val="auto"/>
          <w:sz w:val="30"/>
          <w:szCs w:val="30"/>
        </w:rPr>
        <w:t>安全诊断专业检查表编制依据及基本内容</w:t>
      </w:r>
      <w:bookmarkEnd w:id="33"/>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安全基础管理专业检查表包括10个方面：安全文化与领导力、</w:t>
      </w:r>
      <w:bookmarkStart w:id="34" w:name="OLE_LINK96"/>
      <w:r>
        <w:rPr>
          <w:rFonts w:hint="eastAsia" w:ascii="宋体" w:hAnsi="宋体" w:eastAsia="宋体"/>
          <w:color w:val="auto"/>
          <w:sz w:val="28"/>
          <w:szCs w:val="28"/>
        </w:rPr>
        <w:t>信息收集与处理</w:t>
      </w:r>
      <w:bookmarkEnd w:id="34"/>
      <w:r>
        <w:rPr>
          <w:rFonts w:hint="eastAsia" w:ascii="宋体" w:hAnsi="宋体" w:eastAsia="宋体"/>
          <w:color w:val="auto"/>
          <w:sz w:val="28"/>
          <w:szCs w:val="28"/>
        </w:rPr>
        <w:t xml:space="preserve">、合法合规性、安全生产责任制、安全规章制度、教育培训管理、事故事件管理、双重预防机制、特殊作业、应急管理。 </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在编制安全基础管理专业检查表时，主要依据《中共中央国务院关于推进安全生产领域改革发展的意见》《全国安全生产专项整治三年行动计划》《危险化学品企业安全风险隐患排查治理导则》（应急〔2019〕78号）、《关于加强化工过程安全管理的指导意见》（安监总管三〔2013〕88号）、《国家安全监管总局关于印发危险化学品从业单位安全生产标准化评审标准的通知》（安监总管三〔2011〕93号）、《化工（危险化学品）企业安全检查重点指导目录》（安监总管三</w:t>
      </w:r>
      <w:r>
        <w:rPr>
          <w:rFonts w:ascii="宋体" w:hAnsi="宋体" w:eastAsia="宋体"/>
          <w:color w:val="auto"/>
          <w:sz w:val="28"/>
          <w:szCs w:val="28"/>
        </w:rPr>
        <w:t>〔2015〕113号）</w:t>
      </w:r>
      <w:r>
        <w:rPr>
          <w:rFonts w:hint="eastAsia" w:ascii="宋体" w:hAnsi="宋体" w:eastAsia="宋体"/>
          <w:color w:val="auto"/>
          <w:sz w:val="28"/>
          <w:szCs w:val="28"/>
        </w:rPr>
        <w:t>,</w:t>
      </w:r>
      <w:r>
        <w:rPr>
          <w:rFonts w:ascii="宋体" w:hAnsi="宋体" w:eastAsia="宋体"/>
          <w:color w:val="auto"/>
          <w:sz w:val="28"/>
          <w:szCs w:val="28"/>
        </w:rPr>
        <w:t>以及相关标准、应急管理部最新的法规文件要求及地方政府有关要求等。</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1.安全文化与安全领导力：主要负责人每日风险研判、安全承诺公告制度落实；安管机构、专职安全员、注册安全工程师人员配置达标；负责人月度安全计划、季度班组活动、应急演练、重大危险源包保履职；安全生产费用提取、预算、投入保障管理；领导干部现场带班值班制度及记录管理。</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2.</w:t>
      </w:r>
      <w:bookmarkStart w:id="35" w:name="OLE_LINK95"/>
      <w:r>
        <w:rPr>
          <w:rFonts w:ascii="宋体" w:hAnsi="宋体" w:eastAsia="宋体"/>
          <w:color w:val="auto"/>
          <w:sz w:val="28"/>
          <w:szCs w:val="28"/>
        </w:rPr>
        <w:t>信息收集与处理</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3.安全生产合法合规管理</w:t>
      </w:r>
      <w:bookmarkEnd w:id="35"/>
      <w:r>
        <w:rPr>
          <w:rFonts w:hint="eastAsia" w:ascii="宋体" w:hAnsi="宋体" w:eastAsia="宋体"/>
          <w:color w:val="auto"/>
          <w:sz w:val="28"/>
          <w:szCs w:val="28"/>
        </w:rPr>
        <w:t>：安全生产许可证有效、不超范围生产；不明危险性化学品鉴定分类；重大危险源备案、危化品登记、SDS 与安全标签合规；应急预案备案；安全监控、报警、防护设施不得关停、篡改数据。</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4.安全生产责任与制度体系：全覆盖全员安全生产责任制、隐患排查治理制度建立；配套考核奖惩机制；全员工伤保险足额缴纳；19类核心安全管理制度齐全并落地。</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5.安全规章制度</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6.安全教育培训管理：培训全流程制度、年度培训计划、完整培训档案台账；企业负责人、安全管理人员资质考核、专业学历职称达标；特种作业人员持证上岗；重大危险源岗位操作人员学历达标；新员工三级培训、新工艺新设备专项培训落实。</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7.事故事件管理：事故管理制度覆盖上报、调查、整改验证；事故台账统一管理承包商事故；未遂事件、涉险异常工况分析，落实“四不放过”，建立事件上报激励机制。</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8.双重预防机制：风险管理制度建立并有效运行；</w:t>
      </w:r>
      <w:r>
        <w:rPr>
          <w:rFonts w:ascii="宋体" w:hAnsi="宋体" w:eastAsia="宋体"/>
          <w:color w:val="auto"/>
          <w:sz w:val="28"/>
          <w:szCs w:val="28"/>
        </w:rPr>
        <w:t>风险管控措施</w:t>
      </w:r>
      <w:r>
        <w:rPr>
          <w:rFonts w:hint="eastAsia" w:ascii="宋体" w:hAnsi="宋体" w:eastAsia="宋体"/>
          <w:color w:val="auto"/>
          <w:sz w:val="28"/>
          <w:szCs w:val="28"/>
        </w:rPr>
        <w:t>可靠有效；隐患排查制度建立并有效运行；</w:t>
      </w:r>
      <w:r>
        <w:rPr>
          <w:rFonts w:ascii="宋体" w:hAnsi="宋体" w:eastAsia="宋体"/>
          <w:color w:val="auto"/>
          <w:sz w:val="28"/>
          <w:szCs w:val="28"/>
        </w:rPr>
        <w:t>隐患排查计划</w:t>
      </w:r>
      <w:r>
        <w:rPr>
          <w:rFonts w:hint="eastAsia" w:ascii="宋体" w:hAnsi="宋体" w:eastAsia="宋体"/>
          <w:color w:val="auto"/>
          <w:sz w:val="28"/>
          <w:szCs w:val="28"/>
        </w:rPr>
        <w:t>制定与实施；隐患整改执行闭环管理。</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9.特殊作业管理：作业票证流程规范；作业前风险分析、工艺隔离、介质处置；气体持续检测、特级动火全程视频监控；盲板编号、图纸、台账管理；持证专职监护人员配置；外来作业人员入厂培训、作业前安全交底、全程现场监管。</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10.应急管理：应急组织与队伍、预案体系管理、应急物资与设施及演练闭环管理。</w:t>
      </w:r>
    </w:p>
    <w:p>
      <w:pPr>
        <w:ind w:firstLine="640" w:firstLineChars="200"/>
        <w:jc w:val="left"/>
        <w:outlineLvl w:val="0"/>
        <w:rPr>
          <w:rFonts w:hint="eastAsia" w:ascii="黑体" w:hAnsi="黑体" w:eastAsia="黑体"/>
          <w:color w:val="auto"/>
          <w:sz w:val="32"/>
          <w:szCs w:val="32"/>
        </w:rPr>
      </w:pPr>
      <w:bookmarkStart w:id="36" w:name="_Toc237556451"/>
      <w:r>
        <w:rPr>
          <w:rFonts w:hint="eastAsia" w:ascii="黑体" w:hAnsi="黑体" w:eastAsia="黑体"/>
          <w:color w:val="auto"/>
          <w:sz w:val="32"/>
          <w:szCs w:val="32"/>
        </w:rPr>
        <w:t>五、诊断专项检查内容</w:t>
      </w:r>
      <w:bookmarkEnd w:id="36"/>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每个行业都有其生产特点，因此监管重点有所不同。对于一些风险性较大的化工行业，在安全管理上有很多特殊的要求。因此，</w:t>
      </w:r>
      <w:bookmarkStart w:id="37" w:name="OLE_LINK93"/>
      <w:r>
        <w:rPr>
          <w:rFonts w:hint="eastAsia" w:ascii="宋体" w:hAnsi="宋体" w:eastAsia="宋体"/>
          <w:color w:val="auto"/>
          <w:sz w:val="28"/>
          <w:szCs w:val="28"/>
        </w:rPr>
        <w:t>按照行业特点编制重点行业安全风险隐患排查表</w:t>
      </w:r>
      <w:bookmarkEnd w:id="37"/>
      <w:r>
        <w:rPr>
          <w:rFonts w:hint="eastAsia" w:ascii="宋体" w:hAnsi="宋体" w:eastAsia="宋体"/>
          <w:color w:val="auto"/>
          <w:sz w:val="28"/>
          <w:szCs w:val="28"/>
        </w:rPr>
        <w:t>。本次安全诊断将精细化工企业、涉氯企业、有机硅/多晶硅企业、硝化企业、氟化工企业、</w:t>
      </w:r>
      <w:bookmarkStart w:id="38" w:name="OLE_LINK4"/>
      <w:bookmarkStart w:id="39" w:name="OLE_LINK2"/>
      <w:r>
        <w:rPr>
          <w:rFonts w:hint="eastAsia" w:ascii="宋体" w:hAnsi="宋体" w:eastAsia="宋体"/>
          <w:color w:val="auto"/>
          <w:sz w:val="28"/>
          <w:szCs w:val="28"/>
        </w:rPr>
        <w:t>合成氨、过氧化氢</w:t>
      </w:r>
      <w:bookmarkEnd w:id="38"/>
      <w:bookmarkEnd w:id="39"/>
      <w:r>
        <w:rPr>
          <w:rFonts w:hint="eastAsia" w:ascii="宋体" w:hAnsi="宋体" w:eastAsia="宋体"/>
          <w:color w:val="auto"/>
          <w:sz w:val="28"/>
          <w:szCs w:val="28"/>
        </w:rPr>
        <w:t>、焦化企业及黄磷企业等</w:t>
      </w:r>
      <w:r>
        <w:rPr>
          <w:rFonts w:ascii="宋体" w:hAnsi="宋体" w:eastAsia="宋体"/>
          <w:color w:val="auto"/>
          <w:sz w:val="28"/>
          <w:szCs w:val="28"/>
        </w:rPr>
        <w:t>重点行业</w:t>
      </w:r>
      <w:r>
        <w:rPr>
          <w:rFonts w:hint="eastAsia" w:ascii="宋体" w:hAnsi="宋体" w:eastAsia="宋体"/>
          <w:color w:val="auto"/>
          <w:sz w:val="28"/>
          <w:szCs w:val="28"/>
        </w:rPr>
        <w:t>安全诊断纳入专项检查。具体诊断专项检查表见附件5。</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1.精细化工企业：物料种类繁杂，相容性与毒害爆炸风险叠加</w:t>
      </w:r>
      <w:r>
        <w:rPr>
          <w:rFonts w:ascii="宋体" w:hAnsi="宋体" w:eastAsia="宋体"/>
          <w:color w:val="auto"/>
          <w:sz w:val="28"/>
          <w:szCs w:val="28"/>
        </w:rPr>
        <w:t>；放热反应为主，热失控是核心工艺重大风险；分离、输送、过滤设备本质安全短板突出，泄漏爆炸风险高；现场桶装物料多、存量管控难，分散存储放大事故规模；厂区功能布局不合理，人员密集场所叠加爆炸中毒风险；共线多品种生产，工艺切换安全控制难度大。</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2.涉氯企业：涉氯企业安全风险具备介质剧毒腐蚀、爆炸风险隐蔽、全流程泄漏多发、工艺控制严苛、自动化安全依赖度高、事故次生扩散强、应急处置门槛高等特点。</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3.合成氨企业：介质兼具易燃爆炸、剧毒窒息多重危险性，中毒与燃爆风险叠加；全流程高温高压工况，物理爆炸、高压串低压风险突出；生产工段链条长，各单元独立风险</w:t>
      </w:r>
      <w:r>
        <w:rPr>
          <w:rFonts w:ascii="宋体" w:hAnsi="宋体" w:eastAsia="宋体"/>
          <w:color w:val="auto"/>
          <w:sz w:val="28"/>
          <w:szCs w:val="28"/>
        </w:rPr>
        <w:t>+上下游连锁传导风险；</w:t>
      </w:r>
      <w:r>
        <w:rPr>
          <w:rFonts w:hint="eastAsia" w:ascii="宋体" w:hAnsi="宋体" w:eastAsia="宋体"/>
          <w:color w:val="auto"/>
          <w:sz w:val="28"/>
          <w:szCs w:val="28"/>
        </w:rPr>
        <w:t>设备、联锁、安全仪表系统依赖性强，失效即诱发重大事故；淘汰落后工艺设备存量风险高，工艺本身先天安全缺陷；作业活动风险突出，带压、能量隔离不到位极易引发事故；重大危险源集中，事故多米诺效应显著。</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4.过氧化氢企业：生产过程涉及氢气、工作液燃爆及过氧化氢分解爆炸等风险，采取温度、压力报警、过氧化氢在线监测以及增加反应器、过滤器、储槽等设备的泄压、紧急泄放等措施，提高装置的本质安全水平，遏制重大风险。</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5.多晶硅企业：危险物料种类多，多重危险叠加，介质反应活性极强；工艺条件苛刻，高温高压全程存在，联锁管控依赖性极高；粉尘爆炸风险贯穿硅粉输送、冷氢化工序；自动化联锁、紧急切断设施是核心防控底线，失效即重大隐患；装卸、换热、检修等作业环节次生风险突出；风险连锁性强，单一缺陷易引发多米诺事故。</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6.有机硅企业：危险介质种类繁杂，多重危险叠加，遇水、遇碱易次生燃爆</w:t>
      </w:r>
      <w:r>
        <w:rPr>
          <w:rFonts w:ascii="宋体" w:hAnsi="宋体" w:eastAsia="宋体"/>
          <w:color w:val="auto"/>
          <w:sz w:val="28"/>
          <w:szCs w:val="28"/>
        </w:rPr>
        <w:t>；静电爆炸风险贯穿灌装、输送、储存全流程，管控要求严苛；副产物处置存在淘汰工艺风险，密闭失管易自燃；</w:t>
      </w:r>
      <w:r>
        <w:rPr>
          <w:rFonts w:hint="eastAsia" w:ascii="宋体" w:hAnsi="宋体" w:eastAsia="宋体"/>
          <w:color w:val="auto"/>
          <w:sz w:val="28"/>
          <w:szCs w:val="28"/>
        </w:rPr>
        <w:t>储存及罐区火灾联锁风险突出，流淌火防控难度大；</w:t>
      </w:r>
      <w:r>
        <w:rPr>
          <w:rFonts w:ascii="宋体" w:hAnsi="宋体" w:eastAsia="宋体"/>
          <w:color w:val="auto"/>
          <w:sz w:val="28"/>
          <w:szCs w:val="28"/>
        </w:rPr>
        <w:t>硅粉、废触体粉尘自燃爆炸风险突出，检维修作业风险高；真空、尾气、水洗系统隐蔽次生风险；全链</w:t>
      </w:r>
      <w:r>
        <w:rPr>
          <w:rFonts w:hint="eastAsia" w:ascii="宋体" w:hAnsi="宋体" w:eastAsia="宋体"/>
          <w:color w:val="auto"/>
          <w:sz w:val="28"/>
          <w:szCs w:val="28"/>
        </w:rPr>
        <w:t>条风险关联性强，，</w:t>
      </w:r>
      <w:r>
        <w:rPr>
          <w:rFonts w:ascii="宋体" w:hAnsi="宋体" w:eastAsia="宋体"/>
          <w:color w:val="auto"/>
          <w:sz w:val="28"/>
          <w:szCs w:val="28"/>
        </w:rPr>
        <w:t>工艺与安全设施依赖性强，惰化、报警、隔离设施缺一不可。</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 xml:space="preserve">7.氟化工企业：产品多，工艺复杂，涉及多种重点监管危险化工工艺，大多为放热反应，控制不当，存在超温超压引发设备爆炸的风险；生产过程中涉及多种重点监管危险化学品，多数氟化剂具有强腐蚀性、高毒，反应物料具有燃爆危险性；重大危险源数量多，在贮存、运输、使用等过程中，容易因泄漏、操作不当、误接触以及其他意外而造成危险。因此，工艺自动化控制、防无水氟化氢泄漏管理、无水氟化氢泄漏应急处置、含氟尾气处理等内容是检查重点。 </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8.焦化企业：</w:t>
      </w:r>
      <w:r>
        <w:rPr>
          <w:rFonts w:ascii="宋体" w:hAnsi="宋体" w:eastAsia="宋体"/>
          <w:color w:val="auto"/>
          <w:sz w:val="28"/>
          <w:szCs w:val="28"/>
        </w:rPr>
        <w:t>具</w:t>
      </w:r>
      <w:r>
        <w:rPr>
          <w:rFonts w:hint="eastAsia" w:ascii="宋体" w:hAnsi="宋体" w:eastAsia="宋体"/>
          <w:color w:val="auto"/>
          <w:sz w:val="28"/>
          <w:szCs w:val="28"/>
        </w:rPr>
        <w:t>有焦炉</w:t>
      </w:r>
      <w:r>
        <w:rPr>
          <w:rFonts w:ascii="宋体" w:hAnsi="宋体" w:eastAsia="宋体"/>
          <w:color w:val="auto"/>
          <w:sz w:val="28"/>
          <w:szCs w:val="28"/>
        </w:rPr>
        <w:t>高温生产与危险化学品生产双重高危特性，生产连续化运行，易燃易爆、有毒有害介质种类多；火灾爆炸、中毒窒息风险突出；大型移动设备多，人机交叉作业复杂；受限空间、地下密闭空间多，有毒气体易隐蔽积聚；设备受介质腐蚀易发生泄漏；开停工、检修及特殊作业事故高发；事故连锁性强，易引发次生灾害。</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9.黄磷企业：黄磷极易自燃，全程需水封保护，泄漏、裸露即起火；管线易凝固堵塞，泥磷残渣处置不当易自燃，产生有毒烟气；黄磷剧毒，可致化学灼伤、中毒；电炉尾气含一氧化碳、磷化氢，易引发中毒窒息；制磷电炉高温，易发生喷料喷渣；熔融炉渣、磷铁遇水可引发蒸汽爆炸；炉压波动易造成有毒介质外逸；尾气CO爆炸范围宽，负压进空气易回火爆炸；介质腐蚀性强，易造成管道阀门泄漏；黄磷易堵管，直接蒸汽吹扫易爆裂；贮磷设施多构成重大危险源，水封、液位失效风险突出；泄漏燃烧产生有毒烟气可波及厂外，消防处置不当易扩大流淌火及环境污染。</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10.硝化企业：</w:t>
      </w:r>
      <w:r>
        <w:rPr>
          <w:rFonts w:ascii="宋体" w:hAnsi="宋体" w:eastAsia="宋体"/>
          <w:color w:val="auto"/>
          <w:sz w:val="28"/>
          <w:szCs w:val="28"/>
        </w:rPr>
        <w:t>硝化工艺为重点监管危化工艺，核心风险为强放热、自催化、高敏感、易爆轰，全流程存在重大安全隐患，事故突发性强、破坏力大、容错率极低</w:t>
      </w:r>
      <w:r>
        <w:rPr>
          <w:rFonts w:hint="eastAsia" w:ascii="宋体" w:hAnsi="宋体" w:eastAsia="宋体"/>
          <w:color w:val="auto"/>
          <w:sz w:val="28"/>
          <w:szCs w:val="28"/>
        </w:rPr>
        <w:t>。</w:t>
      </w:r>
      <w:r>
        <w:rPr>
          <w:rFonts w:ascii="宋体" w:hAnsi="宋体" w:eastAsia="宋体"/>
          <w:color w:val="auto"/>
          <w:sz w:val="28"/>
          <w:szCs w:val="28"/>
        </w:rPr>
        <w:t>物料危险性极高</w:t>
      </w:r>
      <w:r>
        <w:rPr>
          <w:rFonts w:hint="eastAsia" w:ascii="宋体" w:hAnsi="宋体" w:eastAsia="宋体"/>
          <w:color w:val="auto"/>
          <w:sz w:val="28"/>
          <w:szCs w:val="28"/>
        </w:rPr>
        <w:t>，</w:t>
      </w:r>
      <w:r>
        <w:rPr>
          <w:rFonts w:ascii="宋体" w:hAnsi="宋体" w:eastAsia="宋体"/>
          <w:color w:val="auto"/>
          <w:sz w:val="28"/>
          <w:szCs w:val="28"/>
        </w:rPr>
        <w:t>硝化反应放热量大、速率对温度极度敏感，冷却失效、搅拌中断、投料过快、低温物料累积，都会快速形成放热恶性循环，短时间内触发超温分解、爆炸</w:t>
      </w:r>
      <w:r>
        <w:rPr>
          <w:rFonts w:hint="eastAsia" w:ascii="宋体" w:hAnsi="宋体" w:eastAsia="宋体"/>
          <w:color w:val="auto"/>
          <w:sz w:val="28"/>
          <w:szCs w:val="28"/>
        </w:rPr>
        <w:t>；</w:t>
      </w:r>
      <w:r>
        <w:rPr>
          <w:rFonts w:ascii="宋体" w:hAnsi="宋体" w:eastAsia="宋体"/>
          <w:color w:val="auto"/>
          <w:sz w:val="28"/>
          <w:szCs w:val="28"/>
        </w:rPr>
        <w:t>全流程全域风险分布</w:t>
      </w:r>
      <w:r>
        <w:rPr>
          <w:rFonts w:hint="eastAsia" w:ascii="宋体" w:hAnsi="宋体" w:eastAsia="宋体"/>
          <w:color w:val="auto"/>
          <w:sz w:val="28"/>
          <w:szCs w:val="28"/>
        </w:rPr>
        <w:t>，</w:t>
      </w:r>
      <w:r>
        <w:rPr>
          <w:rFonts w:ascii="宋体" w:hAnsi="宋体" w:eastAsia="宋体"/>
          <w:color w:val="auto"/>
          <w:sz w:val="28"/>
          <w:szCs w:val="28"/>
        </w:rPr>
        <w:t>硝化物爆轰威力大，易造成设备损毁、厂房坍塌，引发多米诺连锁事故，造成群死群伤</w:t>
      </w:r>
      <w:r>
        <w:rPr>
          <w:rFonts w:hint="eastAsia" w:ascii="宋体" w:hAnsi="宋体" w:eastAsia="宋体"/>
          <w:color w:val="auto"/>
          <w:sz w:val="28"/>
          <w:szCs w:val="28"/>
        </w:rPr>
        <w:t>；</w:t>
      </w:r>
      <w:r>
        <w:rPr>
          <w:rFonts w:ascii="宋体" w:hAnsi="宋体" w:eastAsia="宋体"/>
          <w:color w:val="auto"/>
          <w:sz w:val="28"/>
          <w:szCs w:val="28"/>
        </w:rPr>
        <w:t>生产高度依赖自动化联锁、温度压力精准管控，参数小幅波动、设备联锁失效、人员误操作、违规超产，均可直接诱发重大事故，对工艺管控、设备运维、人员操作能力要求极高。</w:t>
      </w:r>
    </w:p>
    <w:p>
      <w:pPr>
        <w:ind w:firstLine="640" w:firstLineChars="200"/>
        <w:jc w:val="left"/>
        <w:outlineLvl w:val="0"/>
        <w:rPr>
          <w:rFonts w:hint="eastAsia" w:ascii="黑体" w:hAnsi="黑体" w:eastAsia="黑体"/>
          <w:color w:val="auto"/>
          <w:sz w:val="32"/>
          <w:szCs w:val="32"/>
        </w:rPr>
      </w:pPr>
      <w:bookmarkStart w:id="40" w:name="_Toc237556452"/>
      <w:r>
        <w:rPr>
          <w:rFonts w:hint="eastAsia" w:ascii="黑体" w:hAnsi="黑体" w:eastAsia="黑体"/>
          <w:color w:val="auto"/>
          <w:sz w:val="32"/>
          <w:szCs w:val="32"/>
        </w:rPr>
        <w:t>六、诊断报告</w:t>
      </w:r>
      <w:bookmarkEnd w:id="40"/>
    </w:p>
    <w:p>
      <w:pPr>
        <w:ind w:firstLine="560" w:firstLineChars="200"/>
        <w:jc w:val="left"/>
        <w:rPr>
          <w:rFonts w:hint="eastAsia" w:ascii="宋体" w:hAnsi="宋体" w:eastAsia="宋体"/>
          <w:color w:val="auto"/>
          <w:sz w:val="28"/>
          <w:szCs w:val="28"/>
        </w:rPr>
      </w:pPr>
      <w:r>
        <w:rPr>
          <w:rFonts w:ascii="宋体" w:hAnsi="宋体" w:eastAsia="宋体"/>
          <w:color w:val="auto"/>
          <w:sz w:val="28"/>
          <w:szCs w:val="28"/>
        </w:rPr>
        <w:t>每家企业的安全诊断报告由编制说明、编制依据、企业基本情况（主要是</w:t>
      </w:r>
      <w:r>
        <w:rPr>
          <w:rFonts w:hint="eastAsia" w:ascii="宋体" w:hAnsi="宋体" w:eastAsia="宋体"/>
          <w:color w:val="auto"/>
          <w:sz w:val="28"/>
          <w:szCs w:val="28"/>
        </w:rPr>
        <w:t>建厂时间，主要装置、原料、产品、中间产品等，涉及的危险化学品、其中重点监管的危险化学品，重点监管危险工艺，重大危险源情况）、诊断情况（分专业描述企业现状、检查情况，各专业诊断小结）、结论。具体报告格式见附件6。</w:t>
      </w:r>
    </w:p>
    <w:p>
      <w:pPr>
        <w:ind w:firstLine="640" w:firstLineChars="200"/>
        <w:jc w:val="left"/>
        <w:outlineLvl w:val="0"/>
        <w:rPr>
          <w:rFonts w:hint="eastAsia" w:ascii="黑体" w:hAnsi="黑体" w:eastAsia="黑体"/>
          <w:color w:val="auto"/>
          <w:sz w:val="32"/>
          <w:szCs w:val="32"/>
        </w:rPr>
      </w:pPr>
      <w:bookmarkStart w:id="41" w:name="_Toc237556453"/>
      <w:r>
        <w:rPr>
          <w:rFonts w:hint="eastAsia" w:ascii="黑体" w:hAnsi="黑体" w:eastAsia="黑体"/>
          <w:color w:val="auto"/>
          <w:sz w:val="32"/>
          <w:szCs w:val="32"/>
        </w:rPr>
        <w:t>七、附件</w:t>
      </w:r>
      <w:bookmarkEnd w:id="41"/>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附件1：危险化学品企业基本信息统计表</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附件2：</w:t>
      </w:r>
      <w:r>
        <w:rPr>
          <w:rFonts w:ascii="宋体" w:hAnsi="宋体" w:eastAsia="宋体"/>
          <w:color w:val="auto"/>
          <w:sz w:val="28"/>
          <w:szCs w:val="28"/>
        </w:rPr>
        <w:t>危险化学品生产企业安全诊断分级综合评分体系（试行）</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附件3：</w:t>
      </w:r>
      <w:r>
        <w:rPr>
          <w:rFonts w:ascii="宋体" w:hAnsi="宋体" w:eastAsia="宋体"/>
          <w:color w:val="auto"/>
          <w:sz w:val="28"/>
          <w:szCs w:val="28"/>
        </w:rPr>
        <w:t>危险化学品生产企业安全诊断基础表</w:t>
      </w:r>
    </w:p>
    <w:p>
      <w:pPr>
        <w:ind w:firstLine="560" w:firstLineChars="200"/>
        <w:jc w:val="left"/>
        <w:rPr>
          <w:rFonts w:hint="eastAsia" w:ascii="宋体" w:hAnsi="宋体" w:eastAsia="宋体"/>
          <w:color w:val="auto"/>
          <w:sz w:val="28"/>
          <w:szCs w:val="28"/>
        </w:rPr>
      </w:pPr>
      <w:bookmarkStart w:id="42" w:name="OLE_LINK28"/>
      <w:r>
        <w:rPr>
          <w:rFonts w:hint="eastAsia" w:ascii="宋体" w:hAnsi="宋体" w:eastAsia="宋体"/>
          <w:color w:val="auto"/>
          <w:sz w:val="28"/>
          <w:szCs w:val="28"/>
        </w:rPr>
        <w:t>附件4：各专业诊断检查表</w:t>
      </w:r>
      <w:bookmarkEnd w:id="42"/>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附件5：各专项诊断检查表</w:t>
      </w:r>
    </w:p>
    <w:p>
      <w:pPr>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附件6：安全诊断报告</w:t>
      </w:r>
    </w:p>
    <w:p>
      <w:pPr>
        <w:widowControl/>
        <w:jc w:val="left"/>
        <w:rPr>
          <w:rFonts w:hint="eastAsia" w:ascii="宋体" w:hAnsi="宋体" w:eastAsia="宋体"/>
          <w:color w:val="auto"/>
          <w:sz w:val="28"/>
          <w:szCs w:val="28"/>
        </w:rPr>
      </w:pPr>
      <w:r>
        <w:rPr>
          <w:rFonts w:ascii="宋体" w:hAnsi="宋体" w:eastAsia="宋体"/>
          <w:color w:val="auto"/>
          <w:sz w:val="28"/>
          <w:szCs w:val="28"/>
        </w:rPr>
        <w:br w:type="page"/>
      </w:r>
    </w:p>
    <w:p>
      <w:pPr>
        <w:jc w:val="left"/>
        <w:outlineLvl w:val="1"/>
        <w:rPr>
          <w:rFonts w:hint="eastAsia" w:ascii="宋体" w:hAnsi="宋体" w:eastAsia="宋体"/>
          <w:b/>
          <w:bCs/>
          <w:color w:val="auto"/>
          <w:sz w:val="30"/>
          <w:szCs w:val="30"/>
        </w:rPr>
      </w:pPr>
      <w:bookmarkStart w:id="43" w:name="_Toc237556454"/>
      <w:r>
        <w:rPr>
          <w:rFonts w:ascii="宋体" w:hAnsi="宋体" w:eastAsia="宋体"/>
          <w:b/>
          <w:bCs/>
          <w:color w:val="auto"/>
          <w:sz w:val="30"/>
          <w:szCs w:val="30"/>
        </w:rPr>
        <w:t>附件</w:t>
      </w:r>
      <w:r>
        <w:rPr>
          <w:rFonts w:hint="eastAsia" w:ascii="宋体" w:hAnsi="宋体" w:eastAsia="宋体"/>
          <w:b/>
          <w:bCs/>
          <w:color w:val="auto"/>
          <w:sz w:val="30"/>
          <w:szCs w:val="30"/>
        </w:rPr>
        <w:t>1危险化学品企业基本信息统计表</w:t>
      </w:r>
      <w:bookmarkEnd w:id="43"/>
    </w:p>
    <w:p>
      <w:pPr>
        <w:widowControl/>
        <w:kinsoku w:val="0"/>
        <w:autoSpaceDE w:val="0"/>
        <w:autoSpaceDN w:val="0"/>
        <w:adjustRightInd w:val="0"/>
        <w:snapToGrid w:val="0"/>
        <w:spacing w:before="287" w:line="199" w:lineRule="auto"/>
        <w:jc w:val="center"/>
        <w:textAlignment w:val="baseline"/>
        <w:rPr>
          <w:rFonts w:hint="eastAsia" w:ascii="宋体" w:hAnsi="宋体" w:eastAsia="宋体"/>
          <w:b/>
          <w:color w:val="auto"/>
          <w:sz w:val="30"/>
          <w:szCs w:val="30"/>
        </w:rPr>
      </w:pPr>
    </w:p>
    <w:p>
      <w:pPr>
        <w:widowControl/>
        <w:kinsoku w:val="0"/>
        <w:autoSpaceDE w:val="0"/>
        <w:autoSpaceDN w:val="0"/>
        <w:adjustRightInd w:val="0"/>
        <w:snapToGrid w:val="0"/>
        <w:spacing w:line="62" w:lineRule="exact"/>
        <w:jc w:val="left"/>
        <w:textAlignment w:val="baseline"/>
        <w:rPr>
          <w:rFonts w:ascii="Arial" w:hAnsi="Arial" w:eastAsia="Arial" w:cs="Arial"/>
          <w:snapToGrid w:val="0"/>
          <w:color w:val="auto"/>
          <w:kern w:val="0"/>
          <w:szCs w:val="21"/>
        </w:rPr>
      </w:pPr>
    </w:p>
    <w:tbl>
      <w:tblPr>
        <w:tblStyle w:val="49"/>
        <w:tblW w:w="9061" w:type="dxa"/>
        <w:tblInd w:w="1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514"/>
        <w:gridCol w:w="798"/>
        <w:gridCol w:w="1929"/>
        <w:gridCol w:w="738"/>
        <w:gridCol w:w="10"/>
        <w:gridCol w:w="1230"/>
        <w:gridCol w:w="184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2514" w:type="dxa"/>
          </w:tcPr>
          <w:p>
            <w:pPr>
              <w:widowControl/>
              <w:kinsoku w:val="0"/>
              <w:autoSpaceDE w:val="0"/>
              <w:autoSpaceDN w:val="0"/>
              <w:adjustRightInd w:val="0"/>
              <w:snapToGrid w:val="0"/>
              <w:spacing w:before="94" w:line="218" w:lineRule="auto"/>
              <w:ind w:left="122"/>
              <w:jc w:val="left"/>
              <w:textAlignment w:val="baseline"/>
              <w:rPr>
                <w:rFonts w:hint="eastAsia" w:ascii="宋体" w:hAnsi="宋体" w:eastAsia="宋体" w:cs="仿宋"/>
                <w:snapToGrid w:val="0"/>
                <w:color w:val="auto"/>
                <w:kern w:val="0"/>
                <w:sz w:val="24"/>
                <w:szCs w:val="24"/>
                <w:lang w:eastAsia="en-US"/>
              </w:rPr>
            </w:pPr>
            <w:r>
              <w:rPr>
                <w:rFonts w:ascii="宋体" w:hAnsi="宋体" w:eastAsia="宋体" w:cs="仿宋"/>
                <w:snapToGrid w:val="0"/>
                <w:color w:val="auto"/>
                <w:spacing w:val="-3"/>
                <w:kern w:val="0"/>
                <w:sz w:val="24"/>
                <w:szCs w:val="24"/>
                <w:lang w:eastAsia="en-US"/>
              </w:rPr>
              <w:t>企业名称</w:t>
            </w:r>
          </w:p>
        </w:tc>
        <w:tc>
          <w:tcPr>
            <w:tcW w:w="3465" w:type="dxa"/>
            <w:gridSpan w:val="3"/>
            <w:tcBorders>
              <w:right w:val="single" w:color="auto" w:sz="4" w:space="0"/>
            </w:tcBorders>
          </w:tcPr>
          <w:p>
            <w:pPr>
              <w:widowControl/>
              <w:kinsoku w:val="0"/>
              <w:autoSpaceDE w:val="0"/>
              <w:autoSpaceDN w:val="0"/>
              <w:adjustRightInd w:val="0"/>
              <w:snapToGrid w:val="0"/>
              <w:jc w:val="left"/>
              <w:textAlignment w:val="baseline"/>
              <w:rPr>
                <w:rFonts w:hint="eastAsia" w:ascii="宋体" w:hAnsi="宋体" w:eastAsia="宋体" w:cs="Arial"/>
                <w:snapToGrid w:val="0"/>
                <w:color w:val="auto"/>
                <w:kern w:val="0"/>
                <w:sz w:val="24"/>
                <w:szCs w:val="24"/>
                <w:lang w:eastAsia="en-US"/>
              </w:rPr>
            </w:pPr>
          </w:p>
        </w:tc>
        <w:tc>
          <w:tcPr>
            <w:tcW w:w="1240" w:type="dxa"/>
            <w:gridSpan w:val="2"/>
            <w:tcBorders>
              <w:left w:val="single" w:color="auto" w:sz="4" w:space="0"/>
            </w:tcBorders>
          </w:tcPr>
          <w:p>
            <w:pPr>
              <w:widowControl/>
              <w:kinsoku w:val="0"/>
              <w:autoSpaceDE w:val="0"/>
              <w:autoSpaceDN w:val="0"/>
              <w:adjustRightInd w:val="0"/>
              <w:snapToGrid w:val="0"/>
              <w:spacing w:before="94" w:line="218" w:lineRule="auto"/>
              <w:ind w:left="122"/>
              <w:jc w:val="left"/>
              <w:textAlignment w:val="baseline"/>
              <w:rPr>
                <w:rFonts w:hint="eastAsia" w:ascii="宋体" w:hAnsi="宋体" w:eastAsia="宋体" w:cs="Arial"/>
                <w:snapToGrid w:val="0"/>
                <w:color w:val="auto"/>
                <w:kern w:val="0"/>
                <w:sz w:val="24"/>
                <w:szCs w:val="24"/>
                <w:lang w:eastAsia="en-US"/>
              </w:rPr>
            </w:pPr>
            <w:r>
              <w:rPr>
                <w:rFonts w:ascii="宋体" w:hAnsi="宋体" w:eastAsia="宋体" w:cs="仿宋"/>
                <w:snapToGrid w:val="0"/>
                <w:color w:val="auto"/>
                <w:spacing w:val="-3"/>
                <w:kern w:val="0"/>
                <w:sz w:val="24"/>
                <w:szCs w:val="24"/>
                <w:lang w:eastAsia="en-US"/>
              </w:rPr>
              <w:t>建厂时间</w:t>
            </w:r>
          </w:p>
        </w:tc>
        <w:tc>
          <w:tcPr>
            <w:tcW w:w="1842" w:type="dxa"/>
            <w:tcBorders>
              <w:left w:val="single" w:color="auto" w:sz="4" w:space="0"/>
            </w:tcBorders>
          </w:tcPr>
          <w:p>
            <w:pPr>
              <w:widowControl/>
              <w:kinsoku w:val="0"/>
              <w:autoSpaceDE w:val="0"/>
              <w:autoSpaceDN w:val="0"/>
              <w:adjustRightInd w:val="0"/>
              <w:snapToGrid w:val="0"/>
              <w:jc w:val="left"/>
              <w:textAlignment w:val="baseline"/>
              <w:rPr>
                <w:rFonts w:hint="eastAsia" w:ascii="宋体" w:hAnsi="宋体" w:eastAsia="宋体" w:cs="Arial"/>
                <w:snapToGrid w:val="0"/>
                <w:color w:val="auto"/>
                <w:kern w:val="0"/>
                <w:sz w:val="24"/>
                <w:szCs w:val="24"/>
                <w:lang w:eastAsia="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3" w:hRule="atLeast"/>
        </w:trPr>
        <w:tc>
          <w:tcPr>
            <w:tcW w:w="2514" w:type="dxa"/>
          </w:tcPr>
          <w:p>
            <w:pPr>
              <w:widowControl/>
              <w:kinsoku w:val="0"/>
              <w:autoSpaceDE w:val="0"/>
              <w:autoSpaceDN w:val="0"/>
              <w:adjustRightInd w:val="0"/>
              <w:snapToGrid w:val="0"/>
              <w:spacing w:before="89" w:line="229" w:lineRule="auto"/>
              <w:ind w:left="122"/>
              <w:jc w:val="left"/>
              <w:textAlignment w:val="baseline"/>
              <w:rPr>
                <w:rFonts w:hint="eastAsia" w:ascii="宋体" w:hAnsi="宋体" w:eastAsia="宋体" w:cs="仿宋"/>
                <w:snapToGrid w:val="0"/>
                <w:color w:val="auto"/>
                <w:kern w:val="0"/>
                <w:sz w:val="24"/>
                <w:szCs w:val="24"/>
                <w:lang w:eastAsia="en-US"/>
              </w:rPr>
            </w:pPr>
            <w:r>
              <w:rPr>
                <w:rFonts w:ascii="宋体" w:hAnsi="宋体" w:eastAsia="宋体" w:cs="仿宋"/>
                <w:snapToGrid w:val="0"/>
                <w:color w:val="auto"/>
                <w:spacing w:val="-3"/>
                <w:kern w:val="0"/>
                <w:sz w:val="24"/>
                <w:szCs w:val="24"/>
                <w:lang w:eastAsia="en-US"/>
              </w:rPr>
              <w:t>企业地址</w:t>
            </w:r>
          </w:p>
        </w:tc>
        <w:tc>
          <w:tcPr>
            <w:tcW w:w="3475" w:type="dxa"/>
            <w:gridSpan w:val="4"/>
            <w:tcBorders>
              <w:right w:val="single" w:color="auto" w:sz="4" w:space="0"/>
            </w:tcBorders>
          </w:tcPr>
          <w:p>
            <w:pPr>
              <w:widowControl/>
              <w:kinsoku w:val="0"/>
              <w:autoSpaceDE w:val="0"/>
              <w:autoSpaceDN w:val="0"/>
              <w:adjustRightInd w:val="0"/>
              <w:snapToGrid w:val="0"/>
              <w:jc w:val="left"/>
              <w:textAlignment w:val="baseline"/>
              <w:rPr>
                <w:rFonts w:hint="eastAsia" w:ascii="宋体" w:hAnsi="宋体" w:eastAsia="宋体" w:cs="Arial"/>
                <w:snapToGrid w:val="0"/>
                <w:color w:val="auto"/>
                <w:kern w:val="0"/>
                <w:sz w:val="24"/>
                <w:szCs w:val="24"/>
                <w:lang w:eastAsia="en-US"/>
              </w:rPr>
            </w:pPr>
          </w:p>
        </w:tc>
        <w:tc>
          <w:tcPr>
            <w:tcW w:w="1230" w:type="dxa"/>
            <w:tcBorders>
              <w:left w:val="single" w:color="auto" w:sz="4" w:space="0"/>
              <w:right w:val="single" w:color="auto" w:sz="4" w:space="0"/>
            </w:tcBorders>
          </w:tcPr>
          <w:p>
            <w:pPr>
              <w:widowControl/>
              <w:kinsoku w:val="0"/>
              <w:autoSpaceDE w:val="0"/>
              <w:autoSpaceDN w:val="0"/>
              <w:adjustRightInd w:val="0"/>
              <w:snapToGrid w:val="0"/>
              <w:spacing w:before="89" w:line="220" w:lineRule="auto"/>
              <w:ind w:left="142"/>
              <w:jc w:val="left"/>
              <w:textAlignment w:val="baseline"/>
              <w:rPr>
                <w:rFonts w:hint="eastAsia" w:ascii="宋体" w:hAnsi="宋体" w:eastAsia="宋体" w:cs="仿宋"/>
                <w:snapToGrid w:val="0"/>
                <w:color w:val="auto"/>
                <w:kern w:val="0"/>
                <w:sz w:val="24"/>
                <w:szCs w:val="24"/>
                <w:lang w:eastAsia="en-US"/>
              </w:rPr>
            </w:pPr>
            <w:r>
              <w:rPr>
                <w:rFonts w:ascii="宋体" w:hAnsi="宋体" w:eastAsia="宋体" w:cs="仿宋"/>
                <w:snapToGrid w:val="0"/>
                <w:color w:val="auto"/>
                <w:spacing w:val="-9"/>
                <w:kern w:val="0"/>
                <w:sz w:val="24"/>
                <w:szCs w:val="24"/>
                <w:lang w:eastAsia="en-US"/>
              </w:rPr>
              <w:t>电话</w:t>
            </w:r>
          </w:p>
        </w:tc>
        <w:tc>
          <w:tcPr>
            <w:tcW w:w="1842" w:type="dxa"/>
            <w:tcBorders>
              <w:left w:val="single" w:color="auto" w:sz="4" w:space="0"/>
            </w:tcBorders>
          </w:tcPr>
          <w:p>
            <w:pPr>
              <w:widowControl/>
              <w:kinsoku w:val="0"/>
              <w:autoSpaceDE w:val="0"/>
              <w:autoSpaceDN w:val="0"/>
              <w:adjustRightInd w:val="0"/>
              <w:snapToGrid w:val="0"/>
              <w:jc w:val="left"/>
              <w:textAlignment w:val="baseline"/>
              <w:rPr>
                <w:rFonts w:hint="eastAsia" w:ascii="宋体" w:hAnsi="宋体" w:eastAsia="宋体" w:cs="Arial"/>
                <w:snapToGrid w:val="0"/>
                <w:color w:val="auto"/>
                <w:kern w:val="0"/>
                <w:sz w:val="24"/>
                <w:szCs w:val="24"/>
                <w:lang w:eastAsia="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6" w:hRule="atLeast"/>
        </w:trPr>
        <w:tc>
          <w:tcPr>
            <w:tcW w:w="2514" w:type="dxa"/>
          </w:tcPr>
          <w:p>
            <w:pPr>
              <w:widowControl/>
              <w:kinsoku w:val="0"/>
              <w:autoSpaceDE w:val="0"/>
              <w:autoSpaceDN w:val="0"/>
              <w:adjustRightInd w:val="0"/>
              <w:snapToGrid w:val="0"/>
              <w:spacing w:before="85" w:line="220" w:lineRule="auto"/>
              <w:ind w:left="122"/>
              <w:jc w:val="left"/>
              <w:textAlignment w:val="baseline"/>
              <w:rPr>
                <w:rFonts w:hint="eastAsia" w:ascii="宋体" w:hAnsi="宋体" w:eastAsia="宋体" w:cs="仿宋"/>
                <w:snapToGrid w:val="0"/>
                <w:color w:val="auto"/>
                <w:kern w:val="0"/>
                <w:sz w:val="24"/>
                <w:szCs w:val="24"/>
                <w:lang w:eastAsia="en-US"/>
              </w:rPr>
            </w:pPr>
            <w:r>
              <w:rPr>
                <w:rFonts w:ascii="宋体" w:hAnsi="宋体" w:eastAsia="宋体" w:cs="仿宋"/>
                <w:snapToGrid w:val="0"/>
                <w:color w:val="auto"/>
                <w:spacing w:val="-2"/>
                <w:kern w:val="0"/>
                <w:sz w:val="24"/>
                <w:szCs w:val="24"/>
                <w:lang w:eastAsia="en-US"/>
              </w:rPr>
              <w:t>企业职工总人数</w:t>
            </w:r>
          </w:p>
        </w:tc>
        <w:tc>
          <w:tcPr>
            <w:tcW w:w="798" w:type="dxa"/>
          </w:tcPr>
          <w:p>
            <w:pPr>
              <w:widowControl/>
              <w:kinsoku w:val="0"/>
              <w:autoSpaceDE w:val="0"/>
              <w:autoSpaceDN w:val="0"/>
              <w:adjustRightInd w:val="0"/>
              <w:snapToGrid w:val="0"/>
              <w:jc w:val="left"/>
              <w:textAlignment w:val="baseline"/>
              <w:rPr>
                <w:rFonts w:hint="eastAsia" w:ascii="宋体" w:hAnsi="宋体" w:eastAsia="宋体" w:cs="Arial"/>
                <w:snapToGrid w:val="0"/>
                <w:color w:val="auto"/>
                <w:kern w:val="0"/>
                <w:sz w:val="24"/>
                <w:szCs w:val="24"/>
                <w:lang w:eastAsia="en-US"/>
              </w:rPr>
            </w:pPr>
          </w:p>
        </w:tc>
        <w:tc>
          <w:tcPr>
            <w:tcW w:w="1929" w:type="dxa"/>
          </w:tcPr>
          <w:p>
            <w:pPr>
              <w:widowControl/>
              <w:kinsoku w:val="0"/>
              <w:autoSpaceDE w:val="0"/>
              <w:autoSpaceDN w:val="0"/>
              <w:adjustRightInd w:val="0"/>
              <w:snapToGrid w:val="0"/>
              <w:spacing w:before="85" w:line="220" w:lineRule="auto"/>
              <w:ind w:left="122"/>
              <w:jc w:val="left"/>
              <w:textAlignment w:val="baseline"/>
              <w:rPr>
                <w:rFonts w:hint="eastAsia" w:ascii="宋体" w:hAnsi="宋体" w:eastAsia="宋体" w:cs="仿宋"/>
                <w:snapToGrid w:val="0"/>
                <w:color w:val="auto"/>
                <w:kern w:val="0"/>
                <w:sz w:val="24"/>
                <w:szCs w:val="24"/>
                <w:lang w:eastAsia="en-US"/>
              </w:rPr>
            </w:pPr>
            <w:r>
              <w:rPr>
                <w:rFonts w:ascii="宋体" w:hAnsi="宋体" w:eastAsia="宋体" w:cs="仿宋"/>
                <w:snapToGrid w:val="0"/>
                <w:color w:val="auto"/>
                <w:spacing w:val="-2"/>
                <w:kern w:val="0"/>
                <w:sz w:val="24"/>
                <w:szCs w:val="24"/>
                <w:lang w:eastAsia="en-US"/>
              </w:rPr>
              <w:t>安全管理人员人数</w:t>
            </w:r>
          </w:p>
        </w:tc>
        <w:tc>
          <w:tcPr>
            <w:tcW w:w="748" w:type="dxa"/>
            <w:gridSpan w:val="2"/>
          </w:tcPr>
          <w:p>
            <w:pPr>
              <w:widowControl/>
              <w:kinsoku w:val="0"/>
              <w:autoSpaceDE w:val="0"/>
              <w:autoSpaceDN w:val="0"/>
              <w:adjustRightInd w:val="0"/>
              <w:snapToGrid w:val="0"/>
              <w:jc w:val="left"/>
              <w:textAlignment w:val="baseline"/>
              <w:rPr>
                <w:rFonts w:hint="eastAsia" w:ascii="宋体" w:hAnsi="宋体" w:eastAsia="宋体" w:cs="Arial"/>
                <w:snapToGrid w:val="0"/>
                <w:color w:val="auto"/>
                <w:kern w:val="0"/>
                <w:sz w:val="24"/>
                <w:szCs w:val="24"/>
                <w:lang w:eastAsia="en-US"/>
              </w:rPr>
            </w:pPr>
          </w:p>
        </w:tc>
        <w:tc>
          <w:tcPr>
            <w:tcW w:w="1230" w:type="dxa"/>
          </w:tcPr>
          <w:p>
            <w:pPr>
              <w:widowControl/>
              <w:kinsoku w:val="0"/>
              <w:autoSpaceDE w:val="0"/>
              <w:autoSpaceDN w:val="0"/>
              <w:adjustRightInd w:val="0"/>
              <w:snapToGrid w:val="0"/>
              <w:spacing w:before="85" w:line="217" w:lineRule="auto"/>
              <w:ind w:left="120"/>
              <w:jc w:val="left"/>
              <w:textAlignment w:val="baseline"/>
              <w:rPr>
                <w:rFonts w:hint="eastAsia" w:ascii="宋体" w:hAnsi="宋体" w:eastAsia="宋体" w:cs="仿宋"/>
                <w:snapToGrid w:val="0"/>
                <w:color w:val="auto"/>
                <w:kern w:val="0"/>
                <w:sz w:val="24"/>
                <w:szCs w:val="24"/>
                <w:lang w:eastAsia="en-US"/>
              </w:rPr>
            </w:pPr>
            <w:r>
              <w:rPr>
                <w:rFonts w:ascii="宋体" w:hAnsi="宋体" w:eastAsia="宋体" w:cs="仿宋"/>
                <w:snapToGrid w:val="0"/>
                <w:color w:val="auto"/>
                <w:spacing w:val="-3"/>
                <w:kern w:val="0"/>
                <w:sz w:val="24"/>
                <w:szCs w:val="24"/>
                <w:lang w:eastAsia="en-US"/>
              </w:rPr>
              <w:t>企业性质</w:t>
            </w:r>
          </w:p>
        </w:tc>
        <w:tc>
          <w:tcPr>
            <w:tcW w:w="1842" w:type="dxa"/>
          </w:tcPr>
          <w:p>
            <w:pPr>
              <w:widowControl/>
              <w:kinsoku w:val="0"/>
              <w:autoSpaceDE w:val="0"/>
              <w:autoSpaceDN w:val="0"/>
              <w:adjustRightInd w:val="0"/>
              <w:snapToGrid w:val="0"/>
              <w:jc w:val="left"/>
              <w:textAlignment w:val="baseline"/>
              <w:rPr>
                <w:rFonts w:hint="eastAsia" w:ascii="宋体" w:hAnsi="宋体" w:eastAsia="宋体" w:cs="Arial"/>
                <w:snapToGrid w:val="0"/>
                <w:color w:val="auto"/>
                <w:kern w:val="0"/>
                <w:sz w:val="24"/>
                <w:szCs w:val="24"/>
                <w:lang w:eastAsia="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3" w:hRule="atLeast"/>
        </w:trPr>
        <w:tc>
          <w:tcPr>
            <w:tcW w:w="2514" w:type="dxa"/>
          </w:tcPr>
          <w:p>
            <w:pPr>
              <w:widowControl/>
              <w:kinsoku w:val="0"/>
              <w:autoSpaceDE w:val="0"/>
              <w:autoSpaceDN w:val="0"/>
              <w:adjustRightInd w:val="0"/>
              <w:snapToGrid w:val="0"/>
              <w:spacing w:before="303" w:line="221" w:lineRule="auto"/>
              <w:ind w:left="122"/>
              <w:jc w:val="left"/>
              <w:textAlignment w:val="baseline"/>
              <w:rPr>
                <w:rFonts w:hint="eastAsia" w:ascii="宋体" w:hAnsi="宋体" w:eastAsia="宋体" w:cs="仿宋"/>
                <w:snapToGrid w:val="0"/>
                <w:color w:val="auto"/>
                <w:kern w:val="0"/>
                <w:sz w:val="24"/>
                <w:szCs w:val="24"/>
                <w:lang w:eastAsia="en-US"/>
              </w:rPr>
            </w:pPr>
            <w:r>
              <w:rPr>
                <w:rFonts w:ascii="宋体" w:hAnsi="宋体" w:eastAsia="宋体" w:cs="仿宋"/>
                <w:snapToGrid w:val="0"/>
                <w:color w:val="auto"/>
                <w:spacing w:val="-2"/>
                <w:kern w:val="0"/>
                <w:sz w:val="24"/>
                <w:szCs w:val="24"/>
                <w:lang w:eastAsia="en-US"/>
              </w:rPr>
              <w:t>企业主要负责人</w:t>
            </w:r>
          </w:p>
        </w:tc>
        <w:tc>
          <w:tcPr>
            <w:tcW w:w="798" w:type="dxa"/>
          </w:tcPr>
          <w:p>
            <w:pPr>
              <w:widowControl/>
              <w:kinsoku w:val="0"/>
              <w:autoSpaceDE w:val="0"/>
              <w:autoSpaceDN w:val="0"/>
              <w:adjustRightInd w:val="0"/>
              <w:snapToGrid w:val="0"/>
              <w:jc w:val="left"/>
              <w:textAlignment w:val="baseline"/>
              <w:rPr>
                <w:rFonts w:hint="eastAsia" w:ascii="宋体" w:hAnsi="宋体" w:eastAsia="宋体" w:cs="Arial"/>
                <w:snapToGrid w:val="0"/>
                <w:color w:val="auto"/>
                <w:kern w:val="0"/>
                <w:sz w:val="24"/>
                <w:szCs w:val="24"/>
                <w:lang w:eastAsia="en-US"/>
              </w:rPr>
            </w:pPr>
          </w:p>
        </w:tc>
        <w:tc>
          <w:tcPr>
            <w:tcW w:w="1929" w:type="dxa"/>
          </w:tcPr>
          <w:p>
            <w:pPr>
              <w:widowControl/>
              <w:kinsoku w:val="0"/>
              <w:autoSpaceDE w:val="0"/>
              <w:autoSpaceDN w:val="0"/>
              <w:adjustRightInd w:val="0"/>
              <w:snapToGrid w:val="0"/>
              <w:spacing w:before="303" w:line="221" w:lineRule="auto"/>
              <w:ind w:left="122"/>
              <w:jc w:val="left"/>
              <w:textAlignment w:val="baseline"/>
              <w:rPr>
                <w:rFonts w:hint="eastAsia" w:ascii="宋体" w:hAnsi="宋体" w:eastAsia="宋体" w:cs="仿宋"/>
                <w:snapToGrid w:val="0"/>
                <w:color w:val="auto"/>
                <w:kern w:val="0"/>
                <w:sz w:val="24"/>
                <w:szCs w:val="24"/>
                <w:lang w:eastAsia="en-US"/>
              </w:rPr>
            </w:pPr>
            <w:r>
              <w:rPr>
                <w:rFonts w:ascii="宋体" w:hAnsi="宋体" w:eastAsia="宋体" w:cs="仿宋"/>
                <w:snapToGrid w:val="0"/>
                <w:color w:val="auto"/>
                <w:spacing w:val="-2"/>
                <w:kern w:val="0"/>
                <w:sz w:val="24"/>
                <w:szCs w:val="24"/>
                <w:lang w:eastAsia="en-US"/>
              </w:rPr>
              <w:t>分管安全负责人</w:t>
            </w:r>
          </w:p>
        </w:tc>
        <w:tc>
          <w:tcPr>
            <w:tcW w:w="748" w:type="dxa"/>
            <w:gridSpan w:val="2"/>
          </w:tcPr>
          <w:p>
            <w:pPr>
              <w:widowControl/>
              <w:kinsoku w:val="0"/>
              <w:autoSpaceDE w:val="0"/>
              <w:autoSpaceDN w:val="0"/>
              <w:adjustRightInd w:val="0"/>
              <w:snapToGrid w:val="0"/>
              <w:jc w:val="left"/>
              <w:textAlignment w:val="baseline"/>
              <w:rPr>
                <w:rFonts w:hint="eastAsia" w:ascii="宋体" w:hAnsi="宋体" w:eastAsia="宋体" w:cs="Arial"/>
                <w:snapToGrid w:val="0"/>
                <w:color w:val="auto"/>
                <w:kern w:val="0"/>
                <w:sz w:val="24"/>
                <w:szCs w:val="24"/>
                <w:lang w:eastAsia="en-US"/>
              </w:rPr>
            </w:pPr>
          </w:p>
        </w:tc>
        <w:tc>
          <w:tcPr>
            <w:tcW w:w="1230" w:type="dxa"/>
          </w:tcPr>
          <w:p>
            <w:pPr>
              <w:widowControl/>
              <w:kinsoku w:val="0"/>
              <w:autoSpaceDE w:val="0"/>
              <w:autoSpaceDN w:val="0"/>
              <w:adjustRightInd w:val="0"/>
              <w:snapToGrid w:val="0"/>
              <w:spacing w:before="29" w:line="221" w:lineRule="auto"/>
              <w:ind w:left="121"/>
              <w:jc w:val="left"/>
              <w:textAlignment w:val="baseline"/>
              <w:rPr>
                <w:rFonts w:hint="eastAsia" w:ascii="宋体" w:hAnsi="宋体" w:eastAsia="宋体" w:cs="仿宋"/>
                <w:snapToGrid w:val="0"/>
                <w:color w:val="auto"/>
                <w:kern w:val="0"/>
                <w:sz w:val="24"/>
                <w:szCs w:val="24"/>
                <w:lang w:eastAsia="en-US"/>
              </w:rPr>
            </w:pPr>
            <w:r>
              <w:rPr>
                <w:rFonts w:ascii="宋体" w:hAnsi="宋体" w:eastAsia="宋体" w:cs="仿宋"/>
                <w:snapToGrid w:val="0"/>
                <w:color w:val="auto"/>
                <w:spacing w:val="42"/>
                <w:kern w:val="0"/>
                <w:sz w:val="24"/>
                <w:szCs w:val="24"/>
                <w:lang w:eastAsia="en-US"/>
              </w:rPr>
              <w:t>安全管理</w:t>
            </w:r>
            <w:r>
              <w:rPr>
                <w:rFonts w:ascii="宋体" w:hAnsi="宋体" w:eastAsia="宋体" w:cs="仿宋"/>
                <w:snapToGrid w:val="0"/>
                <w:color w:val="auto"/>
                <w:spacing w:val="38"/>
                <w:kern w:val="0"/>
                <w:sz w:val="24"/>
                <w:szCs w:val="24"/>
                <w:lang w:eastAsia="en-US"/>
              </w:rPr>
              <w:t>部门负责</w:t>
            </w:r>
            <w:r>
              <w:rPr>
                <w:rFonts w:ascii="宋体" w:hAnsi="宋体" w:eastAsia="宋体" w:cs="仿宋"/>
                <w:snapToGrid w:val="0"/>
                <w:color w:val="auto"/>
                <w:kern w:val="0"/>
                <w:sz w:val="24"/>
                <w:szCs w:val="24"/>
                <w:lang w:eastAsia="en-US"/>
              </w:rPr>
              <w:t>人</w:t>
            </w:r>
          </w:p>
        </w:tc>
        <w:tc>
          <w:tcPr>
            <w:tcW w:w="1842" w:type="dxa"/>
          </w:tcPr>
          <w:p>
            <w:pPr>
              <w:widowControl/>
              <w:kinsoku w:val="0"/>
              <w:autoSpaceDE w:val="0"/>
              <w:autoSpaceDN w:val="0"/>
              <w:adjustRightInd w:val="0"/>
              <w:snapToGrid w:val="0"/>
              <w:jc w:val="left"/>
              <w:textAlignment w:val="baseline"/>
              <w:rPr>
                <w:rFonts w:hint="eastAsia" w:ascii="宋体" w:hAnsi="宋体" w:eastAsia="宋体" w:cs="Arial"/>
                <w:snapToGrid w:val="0"/>
                <w:color w:val="auto"/>
                <w:kern w:val="0"/>
                <w:sz w:val="24"/>
                <w:szCs w:val="24"/>
                <w:lang w:eastAsia="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3" w:hRule="atLeast"/>
        </w:trPr>
        <w:tc>
          <w:tcPr>
            <w:tcW w:w="2514" w:type="dxa"/>
            <w:vMerge w:val="restart"/>
            <w:tcBorders>
              <w:bottom w:val="nil"/>
            </w:tcBorders>
          </w:tcPr>
          <w:p>
            <w:pPr>
              <w:widowControl/>
              <w:kinsoku w:val="0"/>
              <w:autoSpaceDE w:val="0"/>
              <w:autoSpaceDN w:val="0"/>
              <w:adjustRightInd w:val="0"/>
              <w:snapToGrid w:val="0"/>
              <w:spacing w:before="254" w:line="221" w:lineRule="auto"/>
              <w:ind w:left="119"/>
              <w:jc w:val="left"/>
              <w:textAlignment w:val="baseline"/>
              <w:rPr>
                <w:rFonts w:hint="eastAsia" w:ascii="宋体" w:hAnsi="宋体" w:eastAsia="宋体" w:cs="仿宋"/>
                <w:snapToGrid w:val="0"/>
                <w:color w:val="auto"/>
                <w:kern w:val="0"/>
                <w:sz w:val="24"/>
                <w:szCs w:val="24"/>
                <w:lang w:eastAsia="en-US"/>
              </w:rPr>
            </w:pPr>
            <w:r>
              <w:rPr>
                <w:rFonts w:ascii="宋体" w:hAnsi="宋体" w:eastAsia="宋体" w:cs="仿宋"/>
                <w:snapToGrid w:val="0"/>
                <w:color w:val="auto"/>
                <w:spacing w:val="-2"/>
                <w:kern w:val="0"/>
                <w:sz w:val="24"/>
                <w:szCs w:val="24"/>
                <w:lang w:eastAsia="en-US"/>
              </w:rPr>
              <w:t>联系人</w:t>
            </w:r>
          </w:p>
        </w:tc>
        <w:tc>
          <w:tcPr>
            <w:tcW w:w="798" w:type="dxa"/>
          </w:tcPr>
          <w:p>
            <w:pPr>
              <w:widowControl/>
              <w:kinsoku w:val="0"/>
              <w:autoSpaceDE w:val="0"/>
              <w:autoSpaceDN w:val="0"/>
              <w:adjustRightInd w:val="0"/>
              <w:snapToGrid w:val="0"/>
              <w:spacing w:before="74" w:line="221" w:lineRule="auto"/>
              <w:ind w:left="116"/>
              <w:jc w:val="left"/>
              <w:textAlignment w:val="baseline"/>
              <w:rPr>
                <w:rFonts w:hint="eastAsia" w:ascii="宋体" w:hAnsi="宋体" w:eastAsia="宋体" w:cs="仿宋"/>
                <w:snapToGrid w:val="0"/>
                <w:color w:val="auto"/>
                <w:kern w:val="0"/>
                <w:sz w:val="24"/>
                <w:szCs w:val="24"/>
                <w:lang w:eastAsia="en-US"/>
              </w:rPr>
            </w:pPr>
            <w:r>
              <w:rPr>
                <w:rFonts w:ascii="宋体" w:hAnsi="宋体" w:eastAsia="宋体" w:cs="仿宋"/>
                <w:snapToGrid w:val="0"/>
                <w:color w:val="auto"/>
                <w:spacing w:val="-3"/>
                <w:kern w:val="0"/>
                <w:sz w:val="24"/>
                <w:szCs w:val="24"/>
                <w:lang w:eastAsia="en-US"/>
              </w:rPr>
              <w:t>姓名</w:t>
            </w:r>
          </w:p>
        </w:tc>
        <w:tc>
          <w:tcPr>
            <w:tcW w:w="1929" w:type="dxa"/>
          </w:tcPr>
          <w:p>
            <w:pPr>
              <w:widowControl/>
              <w:kinsoku w:val="0"/>
              <w:autoSpaceDE w:val="0"/>
              <w:autoSpaceDN w:val="0"/>
              <w:adjustRightInd w:val="0"/>
              <w:snapToGrid w:val="0"/>
              <w:jc w:val="left"/>
              <w:textAlignment w:val="baseline"/>
              <w:rPr>
                <w:rFonts w:hint="eastAsia" w:ascii="宋体" w:hAnsi="宋体" w:eastAsia="宋体" w:cs="Arial"/>
                <w:snapToGrid w:val="0"/>
                <w:color w:val="auto"/>
                <w:kern w:val="0"/>
                <w:sz w:val="24"/>
                <w:szCs w:val="24"/>
                <w:lang w:eastAsia="en-US"/>
              </w:rPr>
            </w:pPr>
          </w:p>
        </w:tc>
        <w:tc>
          <w:tcPr>
            <w:tcW w:w="748" w:type="dxa"/>
            <w:gridSpan w:val="2"/>
          </w:tcPr>
          <w:p>
            <w:pPr>
              <w:widowControl/>
              <w:kinsoku w:val="0"/>
              <w:autoSpaceDE w:val="0"/>
              <w:autoSpaceDN w:val="0"/>
              <w:adjustRightInd w:val="0"/>
              <w:snapToGrid w:val="0"/>
              <w:spacing w:before="74" w:line="220" w:lineRule="auto"/>
              <w:ind w:left="120"/>
              <w:jc w:val="left"/>
              <w:textAlignment w:val="baseline"/>
              <w:rPr>
                <w:rFonts w:hint="eastAsia" w:ascii="宋体" w:hAnsi="宋体" w:eastAsia="宋体" w:cs="仿宋"/>
                <w:snapToGrid w:val="0"/>
                <w:color w:val="auto"/>
                <w:kern w:val="0"/>
                <w:sz w:val="24"/>
                <w:szCs w:val="24"/>
                <w:lang w:eastAsia="en-US"/>
              </w:rPr>
            </w:pPr>
            <w:r>
              <w:rPr>
                <w:rFonts w:ascii="宋体" w:hAnsi="宋体" w:eastAsia="宋体" w:cs="仿宋"/>
                <w:snapToGrid w:val="0"/>
                <w:color w:val="auto"/>
                <w:spacing w:val="-3"/>
                <w:kern w:val="0"/>
                <w:sz w:val="24"/>
                <w:szCs w:val="24"/>
                <w:lang w:eastAsia="en-US"/>
              </w:rPr>
              <w:t>职务</w:t>
            </w:r>
          </w:p>
        </w:tc>
        <w:tc>
          <w:tcPr>
            <w:tcW w:w="3072" w:type="dxa"/>
            <w:gridSpan w:val="2"/>
          </w:tcPr>
          <w:p>
            <w:pPr>
              <w:widowControl/>
              <w:kinsoku w:val="0"/>
              <w:autoSpaceDE w:val="0"/>
              <w:autoSpaceDN w:val="0"/>
              <w:adjustRightInd w:val="0"/>
              <w:snapToGrid w:val="0"/>
              <w:jc w:val="left"/>
              <w:textAlignment w:val="baseline"/>
              <w:rPr>
                <w:rFonts w:hint="eastAsia" w:ascii="宋体" w:hAnsi="宋体" w:eastAsia="宋体" w:cs="Arial"/>
                <w:snapToGrid w:val="0"/>
                <w:color w:val="auto"/>
                <w:kern w:val="0"/>
                <w:sz w:val="24"/>
                <w:szCs w:val="24"/>
                <w:lang w:eastAsia="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7" w:hRule="atLeast"/>
        </w:trPr>
        <w:tc>
          <w:tcPr>
            <w:tcW w:w="2514" w:type="dxa"/>
            <w:vMerge w:val="continue"/>
            <w:tcBorders>
              <w:top w:val="nil"/>
            </w:tcBorders>
          </w:tcPr>
          <w:p>
            <w:pPr>
              <w:widowControl/>
              <w:kinsoku w:val="0"/>
              <w:autoSpaceDE w:val="0"/>
              <w:autoSpaceDN w:val="0"/>
              <w:adjustRightInd w:val="0"/>
              <w:snapToGrid w:val="0"/>
              <w:jc w:val="left"/>
              <w:textAlignment w:val="baseline"/>
              <w:rPr>
                <w:rFonts w:hint="eastAsia" w:ascii="宋体" w:hAnsi="宋体" w:eastAsia="宋体" w:cs="Arial"/>
                <w:snapToGrid w:val="0"/>
                <w:color w:val="auto"/>
                <w:kern w:val="0"/>
                <w:sz w:val="24"/>
                <w:szCs w:val="24"/>
                <w:lang w:eastAsia="en-US"/>
              </w:rPr>
            </w:pPr>
          </w:p>
        </w:tc>
        <w:tc>
          <w:tcPr>
            <w:tcW w:w="798" w:type="dxa"/>
          </w:tcPr>
          <w:p>
            <w:pPr>
              <w:widowControl/>
              <w:kinsoku w:val="0"/>
              <w:autoSpaceDE w:val="0"/>
              <w:autoSpaceDN w:val="0"/>
              <w:adjustRightInd w:val="0"/>
              <w:snapToGrid w:val="0"/>
              <w:spacing w:before="71" w:line="219" w:lineRule="auto"/>
              <w:ind w:left="118"/>
              <w:jc w:val="left"/>
              <w:textAlignment w:val="baseline"/>
              <w:rPr>
                <w:rFonts w:hint="eastAsia" w:ascii="宋体" w:hAnsi="宋体" w:eastAsia="宋体" w:cs="仿宋"/>
                <w:snapToGrid w:val="0"/>
                <w:color w:val="auto"/>
                <w:kern w:val="0"/>
                <w:sz w:val="24"/>
                <w:szCs w:val="24"/>
                <w:lang w:eastAsia="en-US"/>
              </w:rPr>
            </w:pPr>
            <w:r>
              <w:rPr>
                <w:rFonts w:ascii="宋体" w:hAnsi="宋体" w:eastAsia="宋体" w:cs="仿宋"/>
                <w:snapToGrid w:val="0"/>
                <w:color w:val="auto"/>
                <w:spacing w:val="-4"/>
                <w:kern w:val="0"/>
                <w:sz w:val="24"/>
                <w:szCs w:val="24"/>
                <w:lang w:eastAsia="en-US"/>
              </w:rPr>
              <w:t>手机</w:t>
            </w:r>
          </w:p>
        </w:tc>
        <w:tc>
          <w:tcPr>
            <w:tcW w:w="1929" w:type="dxa"/>
          </w:tcPr>
          <w:p>
            <w:pPr>
              <w:widowControl/>
              <w:kinsoku w:val="0"/>
              <w:autoSpaceDE w:val="0"/>
              <w:autoSpaceDN w:val="0"/>
              <w:adjustRightInd w:val="0"/>
              <w:snapToGrid w:val="0"/>
              <w:jc w:val="left"/>
              <w:textAlignment w:val="baseline"/>
              <w:rPr>
                <w:rFonts w:hint="eastAsia" w:ascii="宋体" w:hAnsi="宋体" w:eastAsia="宋体" w:cs="Arial"/>
                <w:snapToGrid w:val="0"/>
                <w:color w:val="auto"/>
                <w:kern w:val="0"/>
                <w:sz w:val="24"/>
                <w:szCs w:val="24"/>
                <w:lang w:eastAsia="en-US"/>
              </w:rPr>
            </w:pPr>
          </w:p>
        </w:tc>
        <w:tc>
          <w:tcPr>
            <w:tcW w:w="748" w:type="dxa"/>
            <w:gridSpan w:val="2"/>
          </w:tcPr>
          <w:p>
            <w:pPr>
              <w:widowControl/>
              <w:kinsoku w:val="0"/>
              <w:autoSpaceDE w:val="0"/>
              <w:autoSpaceDN w:val="0"/>
              <w:adjustRightInd w:val="0"/>
              <w:snapToGrid w:val="0"/>
              <w:spacing w:before="70" w:line="218" w:lineRule="auto"/>
              <w:ind w:left="136"/>
              <w:jc w:val="left"/>
              <w:textAlignment w:val="baseline"/>
              <w:rPr>
                <w:rFonts w:hint="eastAsia" w:ascii="宋体" w:hAnsi="宋体" w:eastAsia="宋体" w:cs="仿宋"/>
                <w:snapToGrid w:val="0"/>
                <w:color w:val="auto"/>
                <w:kern w:val="0"/>
                <w:sz w:val="24"/>
                <w:szCs w:val="24"/>
                <w:lang w:eastAsia="en-US"/>
              </w:rPr>
            </w:pPr>
            <w:r>
              <w:rPr>
                <w:rFonts w:ascii="宋体" w:hAnsi="宋体" w:eastAsia="宋体" w:cs="仿宋"/>
                <w:snapToGrid w:val="0"/>
                <w:color w:val="auto"/>
                <w:spacing w:val="-7"/>
                <w:kern w:val="0"/>
                <w:sz w:val="24"/>
                <w:szCs w:val="24"/>
                <w:lang w:eastAsia="en-US"/>
              </w:rPr>
              <w:t>邮箱</w:t>
            </w:r>
          </w:p>
        </w:tc>
        <w:tc>
          <w:tcPr>
            <w:tcW w:w="3072" w:type="dxa"/>
            <w:gridSpan w:val="2"/>
          </w:tcPr>
          <w:p>
            <w:pPr>
              <w:widowControl/>
              <w:kinsoku w:val="0"/>
              <w:autoSpaceDE w:val="0"/>
              <w:autoSpaceDN w:val="0"/>
              <w:adjustRightInd w:val="0"/>
              <w:snapToGrid w:val="0"/>
              <w:jc w:val="left"/>
              <w:textAlignment w:val="baseline"/>
              <w:rPr>
                <w:rFonts w:hint="eastAsia" w:ascii="宋体" w:hAnsi="宋体" w:eastAsia="宋体" w:cs="Arial"/>
                <w:snapToGrid w:val="0"/>
                <w:color w:val="auto"/>
                <w:kern w:val="0"/>
                <w:sz w:val="24"/>
                <w:szCs w:val="24"/>
                <w:lang w:eastAsia="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2514" w:type="dxa"/>
          </w:tcPr>
          <w:p>
            <w:pPr>
              <w:widowControl/>
              <w:kinsoku w:val="0"/>
              <w:autoSpaceDE w:val="0"/>
              <w:autoSpaceDN w:val="0"/>
              <w:adjustRightInd w:val="0"/>
              <w:snapToGrid w:val="0"/>
              <w:spacing w:before="31" w:line="223" w:lineRule="auto"/>
              <w:ind w:left="125" w:right="298" w:firstLine="2"/>
              <w:jc w:val="left"/>
              <w:textAlignment w:val="baseline"/>
              <w:rPr>
                <w:rFonts w:hint="eastAsia" w:ascii="宋体" w:hAnsi="宋体" w:eastAsia="宋体" w:cs="仿宋"/>
                <w:snapToGrid w:val="0"/>
                <w:color w:val="auto"/>
                <w:kern w:val="0"/>
                <w:sz w:val="24"/>
                <w:szCs w:val="24"/>
              </w:rPr>
            </w:pPr>
            <w:r>
              <w:rPr>
                <w:rFonts w:ascii="宋体" w:hAnsi="宋体" w:eastAsia="宋体" w:cs="仿宋"/>
                <w:snapToGrid w:val="0"/>
                <w:color w:val="auto"/>
                <w:spacing w:val="-2"/>
                <w:kern w:val="0"/>
                <w:sz w:val="24"/>
                <w:szCs w:val="24"/>
              </w:rPr>
              <w:t>主要生产装置、生产能</w:t>
            </w:r>
            <w:r>
              <w:rPr>
                <w:rFonts w:ascii="宋体" w:hAnsi="宋体" w:eastAsia="宋体" w:cs="仿宋"/>
                <w:snapToGrid w:val="0"/>
                <w:color w:val="auto"/>
                <w:kern w:val="0"/>
                <w:sz w:val="24"/>
                <w:szCs w:val="24"/>
              </w:rPr>
              <w:t>力</w:t>
            </w:r>
          </w:p>
        </w:tc>
        <w:tc>
          <w:tcPr>
            <w:tcW w:w="6547" w:type="dxa"/>
            <w:gridSpan w:val="6"/>
          </w:tcPr>
          <w:p>
            <w:pPr>
              <w:widowControl/>
              <w:kinsoku w:val="0"/>
              <w:autoSpaceDE w:val="0"/>
              <w:autoSpaceDN w:val="0"/>
              <w:adjustRightInd w:val="0"/>
              <w:snapToGrid w:val="0"/>
              <w:jc w:val="left"/>
              <w:textAlignment w:val="baseline"/>
              <w:rPr>
                <w:rFonts w:hint="eastAsia" w:ascii="宋体" w:hAnsi="宋体" w:eastAsia="宋体" w:cs="Arial"/>
                <w:snapToGrid w:val="0"/>
                <w:color w:val="auto"/>
                <w:ker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2" w:hRule="atLeast"/>
        </w:trPr>
        <w:tc>
          <w:tcPr>
            <w:tcW w:w="2514" w:type="dxa"/>
          </w:tcPr>
          <w:p>
            <w:pPr>
              <w:widowControl/>
              <w:kinsoku w:val="0"/>
              <w:autoSpaceDE w:val="0"/>
              <w:autoSpaceDN w:val="0"/>
              <w:adjustRightInd w:val="0"/>
              <w:snapToGrid w:val="0"/>
              <w:spacing w:before="138" w:line="221" w:lineRule="auto"/>
              <w:ind w:left="127"/>
              <w:jc w:val="left"/>
              <w:textAlignment w:val="baseline"/>
              <w:rPr>
                <w:rFonts w:hint="eastAsia" w:ascii="宋体" w:hAnsi="宋体" w:eastAsia="宋体" w:cs="仿宋"/>
                <w:snapToGrid w:val="0"/>
                <w:color w:val="auto"/>
                <w:kern w:val="0"/>
                <w:sz w:val="24"/>
                <w:szCs w:val="24"/>
                <w:lang w:eastAsia="en-US"/>
              </w:rPr>
            </w:pPr>
            <w:r>
              <w:rPr>
                <w:rFonts w:ascii="宋体" w:hAnsi="宋体" w:eastAsia="宋体" w:cs="仿宋"/>
                <w:snapToGrid w:val="0"/>
                <w:color w:val="auto"/>
                <w:spacing w:val="-3"/>
                <w:kern w:val="0"/>
                <w:sz w:val="24"/>
                <w:szCs w:val="24"/>
                <w:lang w:eastAsia="en-US"/>
              </w:rPr>
              <w:t>主要产品及副产品</w:t>
            </w:r>
          </w:p>
        </w:tc>
        <w:tc>
          <w:tcPr>
            <w:tcW w:w="6547" w:type="dxa"/>
            <w:gridSpan w:val="6"/>
          </w:tcPr>
          <w:p>
            <w:pPr>
              <w:widowControl/>
              <w:kinsoku w:val="0"/>
              <w:autoSpaceDE w:val="0"/>
              <w:autoSpaceDN w:val="0"/>
              <w:adjustRightInd w:val="0"/>
              <w:snapToGrid w:val="0"/>
              <w:jc w:val="left"/>
              <w:textAlignment w:val="baseline"/>
              <w:rPr>
                <w:rFonts w:hint="eastAsia" w:ascii="宋体" w:hAnsi="宋体" w:eastAsia="宋体" w:cs="Arial"/>
                <w:snapToGrid w:val="0"/>
                <w:color w:val="auto"/>
                <w:kern w:val="0"/>
                <w:sz w:val="24"/>
                <w:szCs w:val="24"/>
                <w:lang w:eastAsia="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2" w:hRule="atLeast"/>
        </w:trPr>
        <w:tc>
          <w:tcPr>
            <w:tcW w:w="2514" w:type="dxa"/>
          </w:tcPr>
          <w:p>
            <w:pPr>
              <w:widowControl/>
              <w:kinsoku w:val="0"/>
              <w:autoSpaceDE w:val="0"/>
              <w:autoSpaceDN w:val="0"/>
              <w:adjustRightInd w:val="0"/>
              <w:snapToGrid w:val="0"/>
              <w:spacing w:before="112"/>
              <w:ind w:left="131" w:right="298" w:hanging="7"/>
              <w:jc w:val="left"/>
              <w:textAlignment w:val="baseline"/>
              <w:rPr>
                <w:rFonts w:hint="eastAsia" w:ascii="宋体" w:hAnsi="宋体" w:eastAsia="宋体" w:cs="仿宋"/>
                <w:snapToGrid w:val="0"/>
                <w:color w:val="auto"/>
                <w:kern w:val="0"/>
                <w:sz w:val="24"/>
                <w:szCs w:val="24"/>
              </w:rPr>
            </w:pPr>
            <w:r>
              <w:rPr>
                <w:rFonts w:ascii="宋体" w:hAnsi="宋体" w:eastAsia="宋体" w:cs="仿宋"/>
                <w:snapToGrid w:val="0"/>
                <w:color w:val="auto"/>
                <w:spacing w:val="-2"/>
                <w:kern w:val="0"/>
                <w:sz w:val="24"/>
                <w:szCs w:val="24"/>
              </w:rPr>
              <w:t>涉及何种重点监管的危</w:t>
            </w:r>
            <w:r>
              <w:rPr>
                <w:rFonts w:ascii="宋体" w:hAnsi="宋体" w:eastAsia="宋体" w:cs="仿宋"/>
                <w:snapToGrid w:val="0"/>
                <w:color w:val="auto"/>
                <w:spacing w:val="-5"/>
                <w:kern w:val="0"/>
                <w:sz w:val="24"/>
                <w:szCs w:val="24"/>
              </w:rPr>
              <w:t>险化工工艺</w:t>
            </w:r>
          </w:p>
        </w:tc>
        <w:tc>
          <w:tcPr>
            <w:tcW w:w="6547" w:type="dxa"/>
            <w:gridSpan w:val="6"/>
          </w:tcPr>
          <w:p>
            <w:pPr>
              <w:widowControl/>
              <w:kinsoku w:val="0"/>
              <w:autoSpaceDE w:val="0"/>
              <w:autoSpaceDN w:val="0"/>
              <w:adjustRightInd w:val="0"/>
              <w:snapToGrid w:val="0"/>
              <w:jc w:val="left"/>
              <w:textAlignment w:val="baseline"/>
              <w:rPr>
                <w:rFonts w:hint="eastAsia" w:ascii="宋体" w:hAnsi="宋体" w:eastAsia="宋体" w:cs="Arial"/>
                <w:snapToGrid w:val="0"/>
                <w:color w:val="auto"/>
                <w:ker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2514" w:type="dxa"/>
          </w:tcPr>
          <w:p>
            <w:pPr>
              <w:widowControl/>
              <w:kinsoku w:val="0"/>
              <w:autoSpaceDE w:val="0"/>
              <w:autoSpaceDN w:val="0"/>
              <w:adjustRightInd w:val="0"/>
              <w:snapToGrid w:val="0"/>
              <w:spacing w:before="113"/>
              <w:ind w:left="131" w:right="298" w:hanging="7"/>
              <w:jc w:val="left"/>
              <w:textAlignment w:val="baseline"/>
              <w:rPr>
                <w:rFonts w:hint="eastAsia" w:ascii="宋体" w:hAnsi="宋体" w:eastAsia="宋体" w:cs="仿宋"/>
                <w:snapToGrid w:val="0"/>
                <w:color w:val="auto"/>
                <w:kern w:val="0"/>
                <w:sz w:val="24"/>
                <w:szCs w:val="24"/>
              </w:rPr>
            </w:pPr>
            <w:r>
              <w:rPr>
                <w:rFonts w:ascii="宋体" w:hAnsi="宋体" w:eastAsia="宋体" w:cs="仿宋"/>
                <w:snapToGrid w:val="0"/>
                <w:color w:val="auto"/>
                <w:spacing w:val="-2"/>
                <w:kern w:val="0"/>
                <w:sz w:val="24"/>
                <w:szCs w:val="24"/>
              </w:rPr>
              <w:t>涉及何种重点监管的危</w:t>
            </w:r>
            <w:r>
              <w:rPr>
                <w:rFonts w:ascii="宋体" w:hAnsi="宋体" w:eastAsia="宋体" w:cs="仿宋"/>
                <w:snapToGrid w:val="0"/>
                <w:color w:val="auto"/>
                <w:spacing w:val="-6"/>
                <w:kern w:val="0"/>
                <w:sz w:val="24"/>
                <w:szCs w:val="24"/>
              </w:rPr>
              <w:t>险化学品</w:t>
            </w:r>
          </w:p>
        </w:tc>
        <w:tc>
          <w:tcPr>
            <w:tcW w:w="6547" w:type="dxa"/>
            <w:gridSpan w:val="6"/>
          </w:tcPr>
          <w:p>
            <w:pPr>
              <w:widowControl/>
              <w:kinsoku w:val="0"/>
              <w:autoSpaceDE w:val="0"/>
              <w:autoSpaceDN w:val="0"/>
              <w:adjustRightInd w:val="0"/>
              <w:snapToGrid w:val="0"/>
              <w:jc w:val="left"/>
              <w:textAlignment w:val="baseline"/>
              <w:rPr>
                <w:rFonts w:hint="eastAsia" w:ascii="宋体" w:hAnsi="宋体" w:eastAsia="宋体" w:cs="Arial"/>
                <w:snapToGrid w:val="0"/>
                <w:color w:val="auto"/>
                <w:ker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2" w:hRule="atLeast"/>
        </w:trPr>
        <w:tc>
          <w:tcPr>
            <w:tcW w:w="2514" w:type="dxa"/>
          </w:tcPr>
          <w:p>
            <w:pPr>
              <w:widowControl/>
              <w:kinsoku w:val="0"/>
              <w:autoSpaceDE w:val="0"/>
              <w:autoSpaceDN w:val="0"/>
              <w:adjustRightInd w:val="0"/>
              <w:snapToGrid w:val="0"/>
              <w:spacing w:before="113" w:line="242" w:lineRule="auto"/>
              <w:ind w:left="124" w:right="522" w:firstLine="4"/>
              <w:jc w:val="left"/>
              <w:textAlignment w:val="baseline"/>
              <w:rPr>
                <w:rFonts w:hint="eastAsia" w:ascii="宋体" w:hAnsi="宋体" w:eastAsia="宋体" w:cs="仿宋"/>
                <w:snapToGrid w:val="0"/>
                <w:color w:val="auto"/>
                <w:kern w:val="0"/>
                <w:sz w:val="24"/>
                <w:szCs w:val="24"/>
              </w:rPr>
            </w:pPr>
            <w:r>
              <w:rPr>
                <w:rFonts w:ascii="宋体" w:hAnsi="宋体" w:eastAsia="宋体" w:cs="仿宋"/>
                <w:snapToGrid w:val="0"/>
                <w:color w:val="auto"/>
                <w:spacing w:val="-4"/>
                <w:kern w:val="0"/>
                <w:sz w:val="24"/>
                <w:szCs w:val="24"/>
              </w:rPr>
              <w:t>重大危险源描述（级</w:t>
            </w:r>
            <w:r>
              <w:rPr>
                <w:rFonts w:ascii="宋体" w:hAnsi="宋体" w:eastAsia="宋体" w:cs="仿宋"/>
                <w:snapToGrid w:val="0"/>
                <w:color w:val="auto"/>
                <w:spacing w:val="-3"/>
                <w:kern w:val="0"/>
                <w:sz w:val="24"/>
                <w:szCs w:val="24"/>
              </w:rPr>
              <w:t>别、备案情况）</w:t>
            </w:r>
          </w:p>
        </w:tc>
        <w:tc>
          <w:tcPr>
            <w:tcW w:w="6547" w:type="dxa"/>
            <w:gridSpan w:val="6"/>
          </w:tcPr>
          <w:p>
            <w:pPr>
              <w:widowControl/>
              <w:kinsoku w:val="0"/>
              <w:autoSpaceDE w:val="0"/>
              <w:autoSpaceDN w:val="0"/>
              <w:adjustRightInd w:val="0"/>
              <w:snapToGrid w:val="0"/>
              <w:jc w:val="left"/>
              <w:textAlignment w:val="baseline"/>
              <w:rPr>
                <w:rFonts w:hint="eastAsia" w:ascii="宋体" w:hAnsi="宋体" w:eastAsia="宋体" w:cs="Arial"/>
                <w:snapToGrid w:val="0"/>
                <w:color w:val="auto"/>
                <w:ker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4" w:hRule="atLeast"/>
        </w:trPr>
        <w:tc>
          <w:tcPr>
            <w:tcW w:w="2514" w:type="dxa"/>
          </w:tcPr>
          <w:p>
            <w:pPr>
              <w:widowControl/>
              <w:kinsoku w:val="0"/>
              <w:autoSpaceDE w:val="0"/>
              <w:autoSpaceDN w:val="0"/>
              <w:adjustRightInd w:val="0"/>
              <w:snapToGrid w:val="0"/>
              <w:spacing w:before="32" w:line="231" w:lineRule="auto"/>
              <w:ind w:left="121" w:right="298" w:firstLine="5"/>
              <w:textAlignment w:val="baseline"/>
              <w:rPr>
                <w:rFonts w:hint="eastAsia" w:ascii="宋体" w:hAnsi="宋体" w:eastAsia="宋体" w:cs="仿宋"/>
                <w:snapToGrid w:val="0"/>
                <w:color w:val="auto"/>
                <w:kern w:val="0"/>
                <w:sz w:val="24"/>
                <w:szCs w:val="24"/>
                <w:lang w:eastAsia="en-US"/>
              </w:rPr>
            </w:pPr>
            <w:r>
              <w:rPr>
                <w:rFonts w:ascii="宋体" w:hAnsi="宋体" w:eastAsia="宋体" w:cs="仿宋"/>
                <w:snapToGrid w:val="0"/>
                <w:color w:val="auto"/>
                <w:spacing w:val="-2"/>
                <w:kern w:val="0"/>
                <w:sz w:val="24"/>
                <w:szCs w:val="24"/>
              </w:rPr>
              <w:t>主要生产装置工艺简介（包括工艺流程简述及流程简图，多套装置逐</w:t>
            </w:r>
            <w:r>
              <w:rPr>
                <w:rFonts w:ascii="宋体" w:hAnsi="宋体" w:eastAsia="宋体" w:cs="仿宋"/>
                <w:snapToGrid w:val="0"/>
                <w:color w:val="auto"/>
                <w:spacing w:val="-15"/>
                <w:kern w:val="0"/>
                <w:sz w:val="24"/>
                <w:szCs w:val="24"/>
              </w:rPr>
              <w:t>个叙述。</w:t>
            </w:r>
            <w:r>
              <w:rPr>
                <w:rFonts w:ascii="宋体" w:hAnsi="宋体" w:eastAsia="宋体" w:cs="仿宋"/>
                <w:snapToGrid w:val="0"/>
                <w:color w:val="auto"/>
                <w:spacing w:val="-15"/>
                <w:kern w:val="0"/>
                <w:sz w:val="24"/>
                <w:szCs w:val="24"/>
                <w:lang w:eastAsia="en-US"/>
              </w:rPr>
              <w:t>可附图。）</w:t>
            </w:r>
          </w:p>
        </w:tc>
        <w:tc>
          <w:tcPr>
            <w:tcW w:w="6547" w:type="dxa"/>
            <w:gridSpan w:val="6"/>
          </w:tcPr>
          <w:p>
            <w:pPr>
              <w:widowControl/>
              <w:kinsoku w:val="0"/>
              <w:autoSpaceDE w:val="0"/>
              <w:autoSpaceDN w:val="0"/>
              <w:adjustRightInd w:val="0"/>
              <w:snapToGrid w:val="0"/>
              <w:jc w:val="left"/>
              <w:textAlignment w:val="baseline"/>
              <w:rPr>
                <w:rFonts w:hint="eastAsia" w:ascii="宋体" w:hAnsi="宋体" w:eastAsia="宋体" w:cs="Arial"/>
                <w:snapToGrid w:val="0"/>
                <w:color w:val="auto"/>
                <w:kern w:val="0"/>
                <w:sz w:val="24"/>
                <w:szCs w:val="24"/>
                <w:lang w:eastAsia="en-US"/>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trPr>
        <w:tc>
          <w:tcPr>
            <w:tcW w:w="2514" w:type="dxa"/>
          </w:tcPr>
          <w:p>
            <w:pPr>
              <w:widowControl/>
              <w:kinsoku w:val="0"/>
              <w:autoSpaceDE w:val="0"/>
              <w:autoSpaceDN w:val="0"/>
              <w:adjustRightInd w:val="0"/>
              <w:snapToGrid w:val="0"/>
              <w:spacing w:before="94" w:line="243" w:lineRule="auto"/>
              <w:ind w:left="124" w:right="298" w:firstLine="9"/>
              <w:jc w:val="left"/>
              <w:textAlignment w:val="baseline"/>
              <w:rPr>
                <w:rFonts w:hint="eastAsia" w:ascii="宋体" w:hAnsi="宋体" w:eastAsia="宋体" w:cs="仿宋"/>
                <w:snapToGrid w:val="0"/>
                <w:color w:val="auto"/>
                <w:kern w:val="0"/>
                <w:sz w:val="24"/>
                <w:szCs w:val="24"/>
              </w:rPr>
            </w:pPr>
            <w:r>
              <w:rPr>
                <w:rFonts w:ascii="宋体" w:hAnsi="宋体" w:eastAsia="宋体" w:cs="仿宋"/>
                <w:snapToGrid w:val="0"/>
                <w:color w:val="auto"/>
                <w:spacing w:val="-3"/>
                <w:kern w:val="0"/>
                <w:sz w:val="24"/>
                <w:szCs w:val="24"/>
              </w:rPr>
              <w:t>生产过程控制方式（手</w:t>
            </w:r>
            <w:r>
              <w:rPr>
                <w:rFonts w:ascii="宋体" w:hAnsi="宋体" w:eastAsia="宋体" w:cs="仿宋"/>
                <w:snapToGrid w:val="0"/>
                <w:color w:val="auto"/>
                <w:spacing w:val="-4"/>
                <w:kern w:val="0"/>
                <w:sz w:val="24"/>
                <w:szCs w:val="24"/>
              </w:rPr>
              <w:t>动、DCS</w:t>
            </w:r>
            <w:r>
              <w:rPr>
                <w:rFonts w:ascii="宋体" w:hAnsi="宋体" w:eastAsia="宋体" w:cs="仿宋"/>
                <w:snapToGrid w:val="0"/>
                <w:color w:val="auto"/>
                <w:spacing w:val="-30"/>
                <w:kern w:val="0"/>
                <w:sz w:val="24"/>
                <w:szCs w:val="24"/>
              </w:rPr>
              <w:t xml:space="preserve"> </w:t>
            </w:r>
            <w:r>
              <w:rPr>
                <w:rFonts w:ascii="宋体" w:hAnsi="宋体" w:eastAsia="宋体" w:cs="仿宋"/>
                <w:snapToGrid w:val="0"/>
                <w:color w:val="auto"/>
                <w:spacing w:val="-4"/>
                <w:kern w:val="0"/>
                <w:sz w:val="24"/>
                <w:szCs w:val="24"/>
              </w:rPr>
              <w:t>或</w:t>
            </w:r>
            <w:r>
              <w:rPr>
                <w:rFonts w:ascii="宋体" w:hAnsi="宋体" w:eastAsia="宋体" w:cs="仿宋"/>
                <w:snapToGrid w:val="0"/>
                <w:color w:val="auto"/>
                <w:spacing w:val="-50"/>
                <w:kern w:val="0"/>
                <w:sz w:val="24"/>
                <w:szCs w:val="24"/>
              </w:rPr>
              <w:t xml:space="preserve"> </w:t>
            </w:r>
            <w:r>
              <w:rPr>
                <w:rFonts w:ascii="宋体" w:hAnsi="宋体" w:eastAsia="宋体" w:cs="仿宋"/>
                <w:snapToGrid w:val="0"/>
                <w:color w:val="auto"/>
                <w:spacing w:val="-4"/>
                <w:kern w:val="0"/>
                <w:sz w:val="24"/>
                <w:szCs w:val="24"/>
              </w:rPr>
              <w:t>PLC）</w:t>
            </w:r>
          </w:p>
        </w:tc>
        <w:tc>
          <w:tcPr>
            <w:tcW w:w="6547" w:type="dxa"/>
            <w:gridSpan w:val="6"/>
          </w:tcPr>
          <w:p>
            <w:pPr>
              <w:widowControl/>
              <w:kinsoku w:val="0"/>
              <w:autoSpaceDE w:val="0"/>
              <w:autoSpaceDN w:val="0"/>
              <w:adjustRightInd w:val="0"/>
              <w:snapToGrid w:val="0"/>
              <w:jc w:val="left"/>
              <w:textAlignment w:val="baseline"/>
              <w:rPr>
                <w:rFonts w:hint="eastAsia" w:ascii="宋体" w:hAnsi="宋体" w:eastAsia="宋体" w:cs="Arial"/>
                <w:snapToGrid w:val="0"/>
                <w:color w:val="auto"/>
                <w:ker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3" w:hRule="atLeast"/>
        </w:trPr>
        <w:tc>
          <w:tcPr>
            <w:tcW w:w="2514" w:type="dxa"/>
          </w:tcPr>
          <w:p>
            <w:pPr>
              <w:widowControl/>
              <w:kinsoku w:val="0"/>
              <w:autoSpaceDE w:val="0"/>
              <w:autoSpaceDN w:val="0"/>
              <w:adjustRightInd w:val="0"/>
              <w:snapToGrid w:val="0"/>
              <w:spacing w:before="44" w:line="231" w:lineRule="auto"/>
              <w:ind w:left="122" w:right="325" w:firstLine="1"/>
              <w:jc w:val="left"/>
              <w:textAlignment w:val="baseline"/>
              <w:rPr>
                <w:rFonts w:hint="eastAsia" w:ascii="宋体" w:hAnsi="宋体" w:eastAsia="宋体" w:cs="仿宋"/>
                <w:snapToGrid w:val="0"/>
                <w:color w:val="auto"/>
                <w:kern w:val="0"/>
                <w:sz w:val="24"/>
                <w:szCs w:val="24"/>
              </w:rPr>
            </w:pPr>
            <w:r>
              <w:rPr>
                <w:rFonts w:ascii="宋体" w:hAnsi="宋体" w:eastAsia="宋体" w:cs="仿宋"/>
                <w:snapToGrid w:val="0"/>
                <w:color w:val="auto"/>
                <w:spacing w:val="-2"/>
                <w:kern w:val="0"/>
                <w:sz w:val="24"/>
                <w:szCs w:val="24"/>
              </w:rPr>
              <w:t>安全标准化达标情况</w:t>
            </w:r>
            <w:r>
              <w:rPr>
                <w:rFonts w:ascii="宋体" w:hAnsi="宋体" w:eastAsia="宋体" w:cs="仿宋"/>
                <w:snapToGrid w:val="0"/>
                <w:color w:val="auto"/>
                <w:spacing w:val="-4"/>
                <w:kern w:val="0"/>
                <w:sz w:val="24"/>
                <w:szCs w:val="24"/>
              </w:rPr>
              <w:t>（通过验收时间、级别</w:t>
            </w:r>
            <w:r>
              <w:rPr>
                <w:rFonts w:ascii="宋体" w:hAnsi="宋体" w:eastAsia="宋体" w:cs="仿宋"/>
                <w:snapToGrid w:val="0"/>
                <w:color w:val="auto"/>
                <w:spacing w:val="-2"/>
                <w:kern w:val="0"/>
                <w:sz w:val="24"/>
                <w:szCs w:val="24"/>
              </w:rPr>
              <w:t>或建立情况）</w:t>
            </w:r>
          </w:p>
        </w:tc>
        <w:tc>
          <w:tcPr>
            <w:tcW w:w="6547" w:type="dxa"/>
            <w:gridSpan w:val="6"/>
          </w:tcPr>
          <w:p>
            <w:pPr>
              <w:widowControl/>
              <w:kinsoku w:val="0"/>
              <w:autoSpaceDE w:val="0"/>
              <w:autoSpaceDN w:val="0"/>
              <w:adjustRightInd w:val="0"/>
              <w:snapToGrid w:val="0"/>
              <w:jc w:val="left"/>
              <w:textAlignment w:val="baseline"/>
              <w:rPr>
                <w:rFonts w:hint="eastAsia" w:ascii="宋体" w:hAnsi="宋体" w:eastAsia="宋体" w:cs="Arial"/>
                <w:snapToGrid w:val="0"/>
                <w:color w:val="auto"/>
                <w:ker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3" w:hRule="atLeast"/>
        </w:trPr>
        <w:tc>
          <w:tcPr>
            <w:tcW w:w="2514" w:type="dxa"/>
          </w:tcPr>
          <w:p>
            <w:pPr>
              <w:widowControl/>
              <w:kinsoku w:val="0"/>
              <w:autoSpaceDE w:val="0"/>
              <w:autoSpaceDN w:val="0"/>
              <w:adjustRightInd w:val="0"/>
              <w:snapToGrid w:val="0"/>
              <w:spacing w:before="31" w:line="229" w:lineRule="auto"/>
              <w:ind w:left="122" w:right="320" w:firstLine="1"/>
              <w:jc w:val="left"/>
              <w:textAlignment w:val="baseline"/>
              <w:rPr>
                <w:rFonts w:hint="eastAsia" w:ascii="宋体" w:hAnsi="宋体" w:eastAsia="宋体" w:cs="仿宋"/>
                <w:snapToGrid w:val="0"/>
                <w:color w:val="auto"/>
                <w:kern w:val="0"/>
                <w:sz w:val="24"/>
                <w:szCs w:val="24"/>
              </w:rPr>
            </w:pPr>
            <w:r>
              <w:rPr>
                <w:rFonts w:ascii="宋体" w:hAnsi="宋体" w:eastAsia="宋体" w:cs="仿宋"/>
                <w:snapToGrid w:val="0"/>
                <w:color w:val="auto"/>
                <w:spacing w:val="-2"/>
                <w:kern w:val="0"/>
                <w:sz w:val="24"/>
                <w:szCs w:val="24"/>
              </w:rPr>
              <w:t>安全生产许可证信息</w:t>
            </w:r>
            <w:r>
              <w:rPr>
                <w:rFonts w:ascii="宋体" w:hAnsi="宋体" w:eastAsia="宋体" w:cs="仿宋"/>
                <w:snapToGrid w:val="0"/>
                <w:color w:val="auto"/>
                <w:spacing w:val="-4"/>
                <w:kern w:val="0"/>
                <w:sz w:val="24"/>
                <w:szCs w:val="24"/>
              </w:rPr>
              <w:t>（主要负责人、许可范</w:t>
            </w:r>
            <w:r>
              <w:rPr>
                <w:rFonts w:ascii="宋体" w:hAnsi="宋体" w:eastAsia="宋体" w:cs="仿宋"/>
                <w:snapToGrid w:val="0"/>
                <w:color w:val="auto"/>
                <w:spacing w:val="-2"/>
                <w:kern w:val="0"/>
                <w:sz w:val="24"/>
                <w:szCs w:val="24"/>
              </w:rPr>
              <w:t>围、有效期）</w:t>
            </w:r>
          </w:p>
        </w:tc>
        <w:tc>
          <w:tcPr>
            <w:tcW w:w="6547" w:type="dxa"/>
            <w:gridSpan w:val="6"/>
          </w:tcPr>
          <w:p>
            <w:pPr>
              <w:widowControl/>
              <w:kinsoku w:val="0"/>
              <w:autoSpaceDE w:val="0"/>
              <w:autoSpaceDN w:val="0"/>
              <w:adjustRightInd w:val="0"/>
              <w:snapToGrid w:val="0"/>
              <w:jc w:val="left"/>
              <w:textAlignment w:val="baseline"/>
              <w:rPr>
                <w:rFonts w:hint="eastAsia" w:ascii="宋体" w:hAnsi="宋体" w:eastAsia="宋体" w:cs="Arial"/>
                <w:snapToGrid w:val="0"/>
                <w:color w:val="auto"/>
                <w:ker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0" w:hRule="atLeast"/>
        </w:trPr>
        <w:tc>
          <w:tcPr>
            <w:tcW w:w="2514" w:type="dxa"/>
          </w:tcPr>
          <w:p>
            <w:pPr>
              <w:widowControl/>
              <w:kinsoku w:val="0"/>
              <w:autoSpaceDE w:val="0"/>
              <w:autoSpaceDN w:val="0"/>
              <w:adjustRightInd w:val="0"/>
              <w:snapToGrid w:val="0"/>
              <w:spacing w:before="33" w:line="219" w:lineRule="auto"/>
              <w:ind w:left="126"/>
              <w:jc w:val="left"/>
              <w:textAlignment w:val="baseline"/>
              <w:rPr>
                <w:rFonts w:hint="eastAsia" w:ascii="宋体" w:hAnsi="宋体" w:eastAsia="宋体" w:cs="仿宋"/>
                <w:snapToGrid w:val="0"/>
                <w:color w:val="auto"/>
                <w:kern w:val="0"/>
                <w:sz w:val="24"/>
                <w:szCs w:val="24"/>
              </w:rPr>
            </w:pPr>
            <w:r>
              <w:rPr>
                <w:rFonts w:ascii="宋体" w:hAnsi="宋体" w:eastAsia="宋体" w:cs="仿宋"/>
                <w:snapToGrid w:val="0"/>
                <w:color w:val="auto"/>
                <w:spacing w:val="-2"/>
                <w:kern w:val="0"/>
                <w:sz w:val="24"/>
                <w:szCs w:val="24"/>
              </w:rPr>
              <w:t>危险化学品登记情况</w:t>
            </w:r>
          </w:p>
          <w:p>
            <w:pPr>
              <w:widowControl/>
              <w:kinsoku w:val="0"/>
              <w:autoSpaceDE w:val="0"/>
              <w:autoSpaceDN w:val="0"/>
              <w:adjustRightInd w:val="0"/>
              <w:snapToGrid w:val="0"/>
              <w:spacing w:before="22" w:line="222" w:lineRule="auto"/>
              <w:ind w:left="121" w:right="311"/>
              <w:jc w:val="left"/>
              <w:textAlignment w:val="baseline"/>
              <w:rPr>
                <w:rFonts w:hint="eastAsia" w:ascii="宋体" w:hAnsi="宋体" w:eastAsia="宋体" w:cs="仿宋"/>
                <w:snapToGrid w:val="0"/>
                <w:color w:val="auto"/>
                <w:kern w:val="0"/>
                <w:sz w:val="24"/>
                <w:szCs w:val="24"/>
              </w:rPr>
            </w:pPr>
            <w:r>
              <w:rPr>
                <w:rFonts w:ascii="宋体" w:hAnsi="宋体" w:eastAsia="宋体" w:cs="仿宋"/>
                <w:snapToGrid w:val="0"/>
                <w:color w:val="auto"/>
                <w:spacing w:val="-3"/>
                <w:kern w:val="0"/>
                <w:sz w:val="24"/>
                <w:szCs w:val="24"/>
              </w:rPr>
              <w:t>（登记品种、登记有效</w:t>
            </w:r>
            <w:r>
              <w:rPr>
                <w:rFonts w:ascii="宋体" w:hAnsi="宋体" w:eastAsia="宋体" w:cs="仿宋"/>
                <w:snapToGrid w:val="0"/>
                <w:color w:val="auto"/>
                <w:spacing w:val="-7"/>
                <w:kern w:val="0"/>
                <w:sz w:val="24"/>
                <w:szCs w:val="24"/>
              </w:rPr>
              <w:t>期）</w:t>
            </w:r>
          </w:p>
        </w:tc>
        <w:tc>
          <w:tcPr>
            <w:tcW w:w="6547" w:type="dxa"/>
            <w:gridSpan w:val="6"/>
          </w:tcPr>
          <w:p>
            <w:pPr>
              <w:widowControl/>
              <w:kinsoku w:val="0"/>
              <w:autoSpaceDE w:val="0"/>
              <w:autoSpaceDN w:val="0"/>
              <w:adjustRightInd w:val="0"/>
              <w:snapToGrid w:val="0"/>
              <w:jc w:val="left"/>
              <w:textAlignment w:val="baseline"/>
              <w:rPr>
                <w:rFonts w:hint="eastAsia" w:ascii="宋体" w:hAnsi="宋体" w:eastAsia="宋体" w:cs="Arial"/>
                <w:snapToGrid w:val="0"/>
                <w:color w:val="auto"/>
                <w:ker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2514" w:type="dxa"/>
          </w:tcPr>
          <w:p>
            <w:pPr>
              <w:widowControl/>
              <w:kinsoku w:val="0"/>
              <w:autoSpaceDE w:val="0"/>
              <w:autoSpaceDN w:val="0"/>
              <w:adjustRightInd w:val="0"/>
              <w:snapToGrid w:val="0"/>
              <w:spacing w:before="33" w:line="222" w:lineRule="auto"/>
              <w:ind w:left="123" w:right="298" w:firstLine="4"/>
              <w:jc w:val="left"/>
              <w:textAlignment w:val="baseline"/>
              <w:rPr>
                <w:rFonts w:hint="eastAsia" w:ascii="宋体" w:hAnsi="宋体" w:eastAsia="宋体" w:cs="仿宋"/>
                <w:snapToGrid w:val="0"/>
                <w:color w:val="auto"/>
                <w:kern w:val="0"/>
                <w:sz w:val="24"/>
                <w:szCs w:val="24"/>
              </w:rPr>
            </w:pPr>
            <w:r>
              <w:rPr>
                <w:rFonts w:ascii="宋体" w:hAnsi="宋体" w:eastAsia="宋体" w:cs="仿宋"/>
                <w:snapToGrid w:val="0"/>
                <w:color w:val="auto"/>
                <w:spacing w:val="-5"/>
                <w:kern w:val="0"/>
                <w:sz w:val="24"/>
                <w:szCs w:val="24"/>
              </w:rPr>
              <w:t>最近</w:t>
            </w:r>
            <w:r>
              <w:rPr>
                <w:rFonts w:ascii="宋体" w:hAnsi="宋体" w:eastAsia="宋体" w:cs="仿宋"/>
                <w:snapToGrid w:val="0"/>
                <w:color w:val="auto"/>
                <w:spacing w:val="-37"/>
                <w:kern w:val="0"/>
                <w:sz w:val="24"/>
                <w:szCs w:val="24"/>
              </w:rPr>
              <w:t xml:space="preserve"> </w:t>
            </w:r>
            <w:r>
              <w:rPr>
                <w:rFonts w:ascii="宋体" w:hAnsi="宋体" w:eastAsia="宋体" w:cs="仿宋"/>
                <w:snapToGrid w:val="0"/>
                <w:color w:val="auto"/>
                <w:spacing w:val="-5"/>
                <w:kern w:val="0"/>
                <w:sz w:val="24"/>
                <w:szCs w:val="24"/>
              </w:rPr>
              <w:t>5</w:t>
            </w:r>
            <w:r>
              <w:rPr>
                <w:rFonts w:ascii="宋体" w:hAnsi="宋体" w:eastAsia="宋体" w:cs="仿宋"/>
                <w:snapToGrid w:val="0"/>
                <w:color w:val="auto"/>
                <w:spacing w:val="-37"/>
                <w:kern w:val="0"/>
                <w:sz w:val="24"/>
                <w:szCs w:val="24"/>
              </w:rPr>
              <w:t xml:space="preserve"> </w:t>
            </w:r>
            <w:r>
              <w:rPr>
                <w:rFonts w:ascii="宋体" w:hAnsi="宋体" w:eastAsia="宋体" w:cs="仿宋"/>
                <w:snapToGrid w:val="0"/>
                <w:color w:val="auto"/>
                <w:spacing w:val="-5"/>
                <w:kern w:val="0"/>
                <w:sz w:val="24"/>
                <w:szCs w:val="24"/>
              </w:rPr>
              <w:t>年事故及重大生</w:t>
            </w:r>
            <w:r>
              <w:rPr>
                <w:rFonts w:ascii="宋体" w:hAnsi="宋体" w:eastAsia="宋体" w:cs="仿宋"/>
                <w:snapToGrid w:val="0"/>
                <w:color w:val="auto"/>
                <w:spacing w:val="-2"/>
                <w:kern w:val="0"/>
                <w:sz w:val="24"/>
                <w:szCs w:val="24"/>
              </w:rPr>
              <w:t>产安全事件描述</w:t>
            </w:r>
          </w:p>
        </w:tc>
        <w:tc>
          <w:tcPr>
            <w:tcW w:w="6547" w:type="dxa"/>
            <w:gridSpan w:val="6"/>
          </w:tcPr>
          <w:p>
            <w:pPr>
              <w:widowControl/>
              <w:kinsoku w:val="0"/>
              <w:autoSpaceDE w:val="0"/>
              <w:autoSpaceDN w:val="0"/>
              <w:adjustRightInd w:val="0"/>
              <w:snapToGrid w:val="0"/>
              <w:jc w:val="left"/>
              <w:textAlignment w:val="baseline"/>
              <w:rPr>
                <w:rFonts w:hint="eastAsia" w:ascii="宋体" w:hAnsi="宋体" w:eastAsia="宋体" w:cs="Arial"/>
                <w:snapToGrid w:val="0"/>
                <w:color w:val="auto"/>
                <w:ker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6" w:hRule="atLeast"/>
        </w:trPr>
        <w:tc>
          <w:tcPr>
            <w:tcW w:w="2514" w:type="dxa"/>
          </w:tcPr>
          <w:p>
            <w:pPr>
              <w:widowControl/>
              <w:kinsoku w:val="0"/>
              <w:autoSpaceDE w:val="0"/>
              <w:autoSpaceDN w:val="0"/>
              <w:adjustRightInd w:val="0"/>
              <w:snapToGrid w:val="0"/>
              <w:spacing w:before="111" w:line="221" w:lineRule="auto"/>
              <w:ind w:left="1006"/>
              <w:jc w:val="left"/>
              <w:textAlignment w:val="baseline"/>
              <w:rPr>
                <w:rFonts w:hint="eastAsia" w:ascii="宋体" w:hAnsi="宋体" w:eastAsia="宋体" w:cs="仿宋"/>
                <w:snapToGrid w:val="0"/>
                <w:color w:val="auto"/>
                <w:kern w:val="0"/>
                <w:sz w:val="24"/>
                <w:szCs w:val="24"/>
                <w:lang w:eastAsia="en-US"/>
              </w:rPr>
            </w:pPr>
            <w:r>
              <w:rPr>
                <w:rFonts w:ascii="宋体" w:hAnsi="宋体" w:eastAsia="宋体" w:cs="仿宋"/>
                <w:snapToGrid w:val="0"/>
                <w:color w:val="auto"/>
                <w:spacing w:val="-8"/>
                <w:kern w:val="0"/>
                <w:sz w:val="24"/>
                <w:szCs w:val="24"/>
                <w:lang w:eastAsia="en-US"/>
              </w:rPr>
              <w:t>备</w:t>
            </w:r>
            <w:r>
              <w:rPr>
                <w:rFonts w:ascii="宋体" w:hAnsi="宋体" w:eastAsia="宋体" w:cs="仿宋"/>
                <w:snapToGrid w:val="0"/>
                <w:color w:val="auto"/>
                <w:spacing w:val="21"/>
                <w:kern w:val="0"/>
                <w:sz w:val="24"/>
                <w:szCs w:val="24"/>
                <w:lang w:eastAsia="en-US"/>
              </w:rPr>
              <w:t xml:space="preserve"> </w:t>
            </w:r>
            <w:r>
              <w:rPr>
                <w:rFonts w:ascii="宋体" w:hAnsi="宋体" w:eastAsia="宋体" w:cs="仿宋"/>
                <w:snapToGrid w:val="0"/>
                <w:color w:val="auto"/>
                <w:spacing w:val="-8"/>
                <w:kern w:val="0"/>
                <w:sz w:val="24"/>
                <w:szCs w:val="24"/>
                <w:lang w:eastAsia="en-US"/>
              </w:rPr>
              <w:t>注</w:t>
            </w:r>
          </w:p>
        </w:tc>
        <w:tc>
          <w:tcPr>
            <w:tcW w:w="6547" w:type="dxa"/>
            <w:gridSpan w:val="6"/>
          </w:tcPr>
          <w:p>
            <w:pPr>
              <w:widowControl/>
              <w:kinsoku w:val="0"/>
              <w:autoSpaceDE w:val="0"/>
              <w:autoSpaceDN w:val="0"/>
              <w:adjustRightInd w:val="0"/>
              <w:snapToGrid w:val="0"/>
              <w:spacing w:before="110" w:line="217" w:lineRule="auto"/>
              <w:ind w:left="117"/>
              <w:jc w:val="left"/>
              <w:textAlignment w:val="baseline"/>
              <w:rPr>
                <w:rFonts w:hint="eastAsia" w:ascii="宋体" w:hAnsi="宋体" w:eastAsia="宋体" w:cs="仿宋"/>
                <w:snapToGrid w:val="0"/>
                <w:color w:val="auto"/>
                <w:kern w:val="0"/>
                <w:sz w:val="24"/>
                <w:szCs w:val="24"/>
              </w:rPr>
            </w:pPr>
            <w:r>
              <w:rPr>
                <w:rFonts w:ascii="宋体" w:hAnsi="宋体" w:eastAsia="宋体" w:cs="仿宋"/>
                <w:snapToGrid w:val="0"/>
                <w:color w:val="auto"/>
                <w:spacing w:val="-1"/>
                <w:kern w:val="0"/>
                <w:sz w:val="24"/>
                <w:szCs w:val="24"/>
              </w:rPr>
              <w:t>企业提供厂区平面布置总图电子版</w:t>
            </w:r>
          </w:p>
        </w:tc>
      </w:tr>
    </w:tbl>
    <w:p>
      <w:pPr>
        <w:widowControl/>
        <w:jc w:val="left"/>
        <w:rPr>
          <w:rFonts w:hint="eastAsia" w:ascii="宋体" w:hAnsi="宋体" w:eastAsia="宋体"/>
          <w:color w:val="auto"/>
          <w:sz w:val="28"/>
          <w:szCs w:val="28"/>
        </w:rPr>
      </w:pPr>
      <w:r>
        <w:rPr>
          <w:rFonts w:ascii="宋体" w:hAnsi="宋体" w:eastAsia="宋体"/>
          <w:color w:val="auto"/>
          <w:sz w:val="28"/>
          <w:szCs w:val="28"/>
        </w:rPr>
        <w:br w:type="page"/>
      </w:r>
    </w:p>
    <w:p>
      <w:pPr>
        <w:jc w:val="left"/>
        <w:outlineLvl w:val="1"/>
        <w:rPr>
          <w:rFonts w:hint="eastAsia" w:ascii="宋体" w:hAnsi="宋体" w:eastAsia="宋体"/>
          <w:b/>
          <w:bCs/>
          <w:color w:val="auto"/>
          <w:sz w:val="30"/>
          <w:szCs w:val="30"/>
        </w:rPr>
      </w:pPr>
      <w:bookmarkStart w:id="44" w:name="_Toc237556455"/>
      <w:r>
        <w:rPr>
          <w:rFonts w:ascii="宋体" w:hAnsi="宋体" w:eastAsia="宋体"/>
          <w:b/>
          <w:bCs/>
          <w:color w:val="auto"/>
          <w:sz w:val="30"/>
          <w:szCs w:val="30"/>
        </w:rPr>
        <w:t>附件2</w:t>
      </w:r>
      <w:bookmarkStart w:id="45" w:name="OLE_LINK92"/>
      <w:r>
        <w:rPr>
          <w:rFonts w:ascii="宋体" w:hAnsi="宋体" w:eastAsia="宋体"/>
          <w:b/>
          <w:bCs/>
          <w:color w:val="auto"/>
          <w:sz w:val="30"/>
          <w:szCs w:val="30"/>
        </w:rPr>
        <w:t>危险化学品生产企业安全诊断分级综合评分体系（试行）</w:t>
      </w:r>
      <w:bookmarkEnd w:id="44"/>
      <w:bookmarkEnd w:id="45"/>
    </w:p>
    <w:p>
      <w:pPr>
        <w:jc w:val="center"/>
        <w:rPr>
          <w:rFonts w:hint="eastAsia" w:ascii="等线" w:hAnsi="等线" w:eastAsia="等线" w:cs="Times New Roman"/>
          <w:color w:val="auto"/>
          <w:sz w:val="32"/>
          <w:szCs w:val="32"/>
        </w:rPr>
      </w:pPr>
    </w:p>
    <w:tbl>
      <w:tblPr>
        <w:tblStyle w:val="61"/>
        <w:tblpPr w:leftFromText="180" w:rightFromText="180" w:vertAnchor="text" w:horzAnchor="margin" w:tblpY="-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8"/>
        <w:gridCol w:w="1030"/>
        <w:gridCol w:w="2751"/>
        <w:gridCol w:w="1086"/>
        <w:gridCol w:w="1383"/>
        <w:gridCol w:w="2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vAlign w:val="center"/>
          </w:tcPr>
          <w:p>
            <w:pPr>
              <w:spacing w:line="400" w:lineRule="exact"/>
              <w:jc w:val="center"/>
              <w:rPr>
                <w:rFonts w:hint="eastAsia" w:ascii="宋体" w:hAnsi="宋体" w:eastAsia="宋体" w:cs="Times New Roman"/>
                <w:b/>
                <w:bCs/>
                <w:color w:val="auto"/>
                <w:sz w:val="28"/>
                <w:szCs w:val="28"/>
              </w:rPr>
            </w:pPr>
            <w:r>
              <w:rPr>
                <w:rFonts w:ascii="宋体" w:hAnsi="宋体" w:eastAsia="宋体" w:cs="Times New Roman"/>
                <w:b/>
                <w:bCs/>
                <w:color w:val="auto"/>
                <w:sz w:val="28"/>
                <w:szCs w:val="28"/>
              </w:rPr>
              <w:t>序号</w:t>
            </w:r>
          </w:p>
        </w:tc>
        <w:tc>
          <w:tcPr>
            <w:tcW w:w="1030" w:type="dxa"/>
            <w:vAlign w:val="center"/>
          </w:tcPr>
          <w:p>
            <w:pPr>
              <w:spacing w:line="400" w:lineRule="exact"/>
              <w:jc w:val="center"/>
              <w:rPr>
                <w:rFonts w:hint="eastAsia" w:ascii="等线" w:hAnsi="等线" w:eastAsia="等线" w:cs="Times New Roman"/>
                <w:b/>
                <w:bCs/>
                <w:color w:val="auto"/>
                <w:sz w:val="28"/>
                <w:szCs w:val="28"/>
              </w:rPr>
            </w:pPr>
            <w:r>
              <w:rPr>
                <w:rFonts w:ascii="等线" w:hAnsi="等线" w:eastAsia="等线" w:cs="Times New Roman"/>
                <w:b/>
                <w:bCs/>
                <w:color w:val="auto"/>
                <w:sz w:val="28"/>
                <w:szCs w:val="28"/>
              </w:rPr>
              <w:t>项目</w:t>
            </w:r>
          </w:p>
        </w:tc>
        <w:tc>
          <w:tcPr>
            <w:tcW w:w="2751" w:type="dxa"/>
            <w:vAlign w:val="center"/>
          </w:tcPr>
          <w:p>
            <w:pPr>
              <w:spacing w:line="400" w:lineRule="exact"/>
              <w:jc w:val="center"/>
              <w:rPr>
                <w:rFonts w:hint="eastAsia" w:ascii="等线" w:hAnsi="等线" w:eastAsia="等线" w:cs="Times New Roman"/>
                <w:b/>
                <w:bCs/>
                <w:color w:val="auto"/>
                <w:sz w:val="28"/>
                <w:szCs w:val="28"/>
              </w:rPr>
            </w:pPr>
            <w:r>
              <w:rPr>
                <w:rFonts w:ascii="等线" w:hAnsi="等线" w:eastAsia="等线" w:cs="Times New Roman"/>
                <w:b/>
                <w:bCs/>
                <w:color w:val="auto"/>
                <w:sz w:val="28"/>
                <w:szCs w:val="28"/>
              </w:rPr>
              <w:t>内容</w:t>
            </w:r>
          </w:p>
        </w:tc>
        <w:tc>
          <w:tcPr>
            <w:tcW w:w="1086" w:type="dxa"/>
            <w:vAlign w:val="center"/>
          </w:tcPr>
          <w:p>
            <w:pPr>
              <w:spacing w:line="400" w:lineRule="exact"/>
              <w:jc w:val="center"/>
              <w:rPr>
                <w:rFonts w:hint="eastAsia" w:ascii="等线" w:hAnsi="等线" w:eastAsia="等线" w:cs="Times New Roman"/>
                <w:b/>
                <w:bCs/>
                <w:color w:val="auto"/>
                <w:sz w:val="28"/>
                <w:szCs w:val="28"/>
              </w:rPr>
            </w:pPr>
            <w:r>
              <w:rPr>
                <w:rFonts w:hint="eastAsia" w:ascii="等线" w:hAnsi="等线" w:eastAsia="等线" w:cs="Times New Roman"/>
                <w:b/>
                <w:bCs/>
                <w:color w:val="auto"/>
                <w:sz w:val="28"/>
                <w:szCs w:val="28"/>
              </w:rPr>
              <w:t>总</w:t>
            </w:r>
            <w:r>
              <w:rPr>
                <w:rFonts w:ascii="等线" w:hAnsi="等线" w:eastAsia="等线" w:cs="Times New Roman"/>
                <w:b/>
                <w:bCs/>
                <w:color w:val="auto"/>
                <w:sz w:val="28"/>
                <w:szCs w:val="28"/>
              </w:rPr>
              <w:t>分</w:t>
            </w:r>
          </w:p>
        </w:tc>
        <w:tc>
          <w:tcPr>
            <w:tcW w:w="1383" w:type="dxa"/>
            <w:vAlign w:val="center"/>
          </w:tcPr>
          <w:p>
            <w:pPr>
              <w:spacing w:line="400" w:lineRule="exact"/>
              <w:jc w:val="center"/>
              <w:rPr>
                <w:rFonts w:hint="eastAsia" w:ascii="等线" w:hAnsi="等线" w:eastAsia="等线" w:cs="Times New Roman"/>
                <w:b/>
                <w:bCs/>
                <w:color w:val="auto"/>
                <w:sz w:val="28"/>
                <w:szCs w:val="28"/>
              </w:rPr>
            </w:pPr>
            <w:r>
              <w:rPr>
                <w:rFonts w:ascii="等线" w:hAnsi="等线" w:eastAsia="等线" w:cs="Times New Roman"/>
                <w:b/>
                <w:bCs/>
                <w:color w:val="auto"/>
                <w:sz w:val="28"/>
                <w:szCs w:val="28"/>
              </w:rPr>
              <w:t>权重</w:t>
            </w:r>
          </w:p>
          <w:p>
            <w:pPr>
              <w:spacing w:line="400" w:lineRule="exact"/>
              <w:jc w:val="center"/>
              <w:rPr>
                <w:rFonts w:hint="eastAsia" w:ascii="等线" w:hAnsi="等线" w:eastAsia="等线" w:cs="Times New Roman"/>
                <w:b/>
                <w:bCs/>
                <w:color w:val="auto"/>
                <w:sz w:val="28"/>
                <w:szCs w:val="28"/>
              </w:rPr>
            </w:pPr>
            <w:r>
              <w:rPr>
                <w:rFonts w:ascii="等线" w:hAnsi="等线" w:eastAsia="等线" w:cs="Times New Roman"/>
                <w:b/>
                <w:bCs/>
                <w:color w:val="auto"/>
                <w:sz w:val="28"/>
                <w:szCs w:val="28"/>
              </w:rPr>
              <w:t>（100））</w:t>
            </w:r>
          </w:p>
        </w:tc>
        <w:tc>
          <w:tcPr>
            <w:tcW w:w="2368" w:type="dxa"/>
            <w:vAlign w:val="center"/>
          </w:tcPr>
          <w:p>
            <w:pPr>
              <w:spacing w:line="400" w:lineRule="exact"/>
              <w:jc w:val="center"/>
              <w:rPr>
                <w:rFonts w:hint="eastAsia" w:ascii="等线" w:hAnsi="等线" w:eastAsia="等线" w:cs="Times New Roman"/>
                <w:b/>
                <w:bCs/>
                <w:color w:val="auto"/>
                <w:sz w:val="28"/>
                <w:szCs w:val="28"/>
              </w:rPr>
            </w:pPr>
            <w:r>
              <w:rPr>
                <w:rFonts w:ascii="等线" w:hAnsi="等线" w:eastAsia="等线" w:cs="Times New Roman"/>
                <w:b/>
                <w:bCs/>
                <w:color w:val="auto"/>
                <w:sz w:val="28"/>
                <w:szCs w:val="2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vAlign w:val="center"/>
          </w:tcPr>
          <w:p>
            <w:pPr>
              <w:jc w:val="center"/>
              <w:rPr>
                <w:rFonts w:hint="eastAsia" w:ascii="宋体" w:hAnsi="宋体" w:eastAsia="宋体" w:cs="Times New Roman"/>
                <w:color w:val="auto"/>
                <w:sz w:val="24"/>
                <w:szCs w:val="24"/>
              </w:rPr>
            </w:pPr>
            <w:r>
              <w:rPr>
                <w:rFonts w:ascii="宋体" w:hAnsi="宋体" w:eastAsia="宋体" w:cs="Times New Roman"/>
                <w:color w:val="auto"/>
                <w:sz w:val="24"/>
                <w:szCs w:val="24"/>
              </w:rPr>
              <w:t>1</w:t>
            </w:r>
          </w:p>
        </w:tc>
        <w:tc>
          <w:tcPr>
            <w:tcW w:w="1030" w:type="dxa"/>
            <w:vAlign w:val="center"/>
          </w:tcPr>
          <w:p>
            <w:pPr>
              <w:jc w:val="center"/>
              <w:rPr>
                <w:rFonts w:hint="eastAsia" w:ascii="宋体" w:hAnsi="宋体" w:eastAsia="宋体" w:cs="Times New Roman"/>
                <w:color w:val="auto"/>
                <w:sz w:val="24"/>
                <w:szCs w:val="24"/>
              </w:rPr>
            </w:pPr>
            <w:r>
              <w:rPr>
                <w:rFonts w:ascii="宋体" w:hAnsi="宋体" w:eastAsia="宋体" w:cs="Times New Roman"/>
                <w:color w:val="auto"/>
                <w:sz w:val="24"/>
                <w:szCs w:val="24"/>
              </w:rPr>
              <w:t>基础表</w:t>
            </w:r>
          </w:p>
        </w:tc>
        <w:tc>
          <w:tcPr>
            <w:tcW w:w="2751" w:type="dxa"/>
            <w:vAlign w:val="center"/>
          </w:tcPr>
          <w:p>
            <w:pPr>
              <w:spacing w:line="400" w:lineRule="exact"/>
              <w:jc w:val="left"/>
              <w:rPr>
                <w:rFonts w:hint="eastAsia" w:ascii="宋体" w:hAnsi="宋体" w:eastAsia="宋体" w:cs="Times New Roman"/>
                <w:color w:val="auto"/>
                <w:sz w:val="24"/>
                <w:szCs w:val="24"/>
              </w:rPr>
            </w:pPr>
            <w:r>
              <w:rPr>
                <w:rFonts w:ascii="宋体" w:hAnsi="宋体" w:eastAsia="宋体" w:cs="Times New Roman"/>
                <w:color w:val="auto"/>
                <w:sz w:val="24"/>
                <w:szCs w:val="24"/>
              </w:rPr>
              <w:t>从重大危险源、物质危险性、危险化工工艺及火灾爆炸危险性四方面诊断企业的固有风险。</w:t>
            </w:r>
          </w:p>
        </w:tc>
        <w:tc>
          <w:tcPr>
            <w:tcW w:w="1086" w:type="dxa"/>
            <w:vAlign w:val="center"/>
          </w:tcPr>
          <w:p>
            <w:pPr>
              <w:jc w:val="center"/>
              <w:rPr>
                <w:rFonts w:hint="eastAsia" w:ascii="宋体" w:hAnsi="宋体" w:eastAsia="宋体" w:cs="Times New Roman"/>
                <w:color w:val="auto"/>
                <w:sz w:val="24"/>
                <w:szCs w:val="24"/>
              </w:rPr>
            </w:pPr>
            <w:r>
              <w:rPr>
                <w:rFonts w:ascii="宋体" w:hAnsi="宋体" w:eastAsia="宋体" w:cs="Times New Roman"/>
                <w:color w:val="auto"/>
                <w:sz w:val="24"/>
                <w:szCs w:val="24"/>
              </w:rPr>
              <w:t>20</w:t>
            </w:r>
          </w:p>
        </w:tc>
        <w:tc>
          <w:tcPr>
            <w:tcW w:w="1383" w:type="dxa"/>
            <w:vAlign w:val="center"/>
          </w:tcPr>
          <w:p>
            <w:pPr>
              <w:jc w:val="center"/>
              <w:rPr>
                <w:rFonts w:hint="eastAsia" w:ascii="宋体" w:hAnsi="宋体" w:eastAsia="宋体" w:cs="Times New Roman"/>
                <w:color w:val="auto"/>
                <w:sz w:val="24"/>
                <w:szCs w:val="24"/>
              </w:rPr>
            </w:pPr>
            <w:r>
              <w:rPr>
                <w:rFonts w:ascii="宋体" w:hAnsi="宋体" w:eastAsia="宋体" w:cs="Times New Roman"/>
                <w:color w:val="auto"/>
                <w:sz w:val="24"/>
                <w:szCs w:val="24"/>
              </w:rPr>
              <w:t>10</w:t>
            </w:r>
          </w:p>
        </w:tc>
        <w:tc>
          <w:tcPr>
            <w:tcW w:w="2368" w:type="dxa"/>
            <w:vAlign w:val="center"/>
          </w:tcPr>
          <w:p>
            <w:pPr>
              <w:jc w:val="center"/>
              <w:rPr>
                <w:rFonts w:hint="eastAsia" w:ascii="等线" w:hAnsi="等线" w:eastAsia="等线"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vAlign w:val="center"/>
          </w:tcPr>
          <w:p>
            <w:pPr>
              <w:jc w:val="center"/>
              <w:rPr>
                <w:rFonts w:hint="eastAsia" w:ascii="宋体" w:hAnsi="宋体" w:eastAsia="宋体" w:cs="Times New Roman"/>
                <w:color w:val="auto"/>
                <w:sz w:val="24"/>
                <w:szCs w:val="24"/>
              </w:rPr>
            </w:pPr>
            <w:r>
              <w:rPr>
                <w:rFonts w:ascii="宋体" w:hAnsi="宋体" w:eastAsia="宋体" w:cs="Times New Roman"/>
                <w:color w:val="auto"/>
                <w:sz w:val="24"/>
                <w:szCs w:val="24"/>
              </w:rPr>
              <w:t>2</w:t>
            </w:r>
          </w:p>
        </w:tc>
        <w:tc>
          <w:tcPr>
            <w:tcW w:w="1030" w:type="dxa"/>
            <w:vAlign w:val="center"/>
          </w:tcPr>
          <w:p>
            <w:pPr>
              <w:jc w:val="center"/>
              <w:rPr>
                <w:rFonts w:hint="eastAsia" w:ascii="宋体" w:hAnsi="宋体" w:eastAsia="宋体" w:cs="Times New Roman"/>
                <w:color w:val="auto"/>
                <w:sz w:val="24"/>
                <w:szCs w:val="24"/>
              </w:rPr>
            </w:pPr>
            <w:r>
              <w:rPr>
                <w:rFonts w:ascii="宋体" w:hAnsi="宋体" w:eastAsia="宋体" w:cs="Times New Roman"/>
                <w:color w:val="auto"/>
                <w:sz w:val="24"/>
                <w:szCs w:val="24"/>
              </w:rPr>
              <w:t>专业表</w:t>
            </w:r>
          </w:p>
        </w:tc>
        <w:tc>
          <w:tcPr>
            <w:tcW w:w="2751" w:type="dxa"/>
            <w:vAlign w:val="center"/>
          </w:tcPr>
          <w:p>
            <w:pPr>
              <w:spacing w:line="400" w:lineRule="exact"/>
              <w:jc w:val="left"/>
              <w:rPr>
                <w:rFonts w:hint="eastAsia" w:ascii="宋体" w:hAnsi="宋体" w:eastAsia="宋体" w:cs="Times New Roman"/>
                <w:color w:val="auto"/>
                <w:sz w:val="24"/>
                <w:szCs w:val="24"/>
              </w:rPr>
            </w:pPr>
            <w:r>
              <w:rPr>
                <w:rFonts w:ascii="宋体" w:hAnsi="宋体" w:eastAsia="宋体" w:cs="Times New Roman"/>
                <w:color w:val="auto"/>
                <w:sz w:val="24"/>
                <w:szCs w:val="24"/>
              </w:rPr>
              <w:t>分设计、工艺、设备、电仪及安全五个专业诊断企业的现实风险</w:t>
            </w:r>
            <w:r>
              <w:rPr>
                <w:rFonts w:hint="eastAsia" w:ascii="宋体" w:hAnsi="宋体" w:eastAsia="宋体" w:cs="Times New Roman"/>
                <w:color w:val="auto"/>
                <w:sz w:val="24"/>
                <w:szCs w:val="24"/>
              </w:rPr>
              <w:t>。</w:t>
            </w:r>
          </w:p>
        </w:tc>
        <w:tc>
          <w:tcPr>
            <w:tcW w:w="1086" w:type="dxa"/>
            <w:vAlign w:val="center"/>
          </w:tcPr>
          <w:p>
            <w:pPr>
              <w:jc w:val="center"/>
              <w:rPr>
                <w:rFonts w:hint="eastAsia" w:ascii="宋体" w:hAnsi="宋体" w:eastAsia="宋体" w:cs="Times New Roman"/>
                <w:color w:val="auto"/>
                <w:sz w:val="24"/>
                <w:szCs w:val="24"/>
              </w:rPr>
            </w:pPr>
            <w:r>
              <w:rPr>
                <w:rFonts w:ascii="宋体" w:hAnsi="宋体" w:eastAsia="宋体" w:cs="Times New Roman"/>
                <w:color w:val="auto"/>
                <w:sz w:val="24"/>
                <w:szCs w:val="24"/>
              </w:rPr>
              <w:t>1000</w:t>
            </w:r>
          </w:p>
        </w:tc>
        <w:tc>
          <w:tcPr>
            <w:tcW w:w="1383" w:type="dxa"/>
            <w:vAlign w:val="center"/>
          </w:tcPr>
          <w:p>
            <w:pPr>
              <w:jc w:val="center"/>
              <w:rPr>
                <w:rFonts w:hint="eastAsia" w:ascii="宋体" w:hAnsi="宋体" w:eastAsia="宋体" w:cs="Times New Roman"/>
                <w:color w:val="auto"/>
                <w:sz w:val="24"/>
                <w:szCs w:val="24"/>
              </w:rPr>
            </w:pPr>
            <w:r>
              <w:rPr>
                <w:rFonts w:ascii="宋体" w:hAnsi="宋体" w:eastAsia="宋体" w:cs="Times New Roman"/>
                <w:color w:val="auto"/>
                <w:sz w:val="24"/>
                <w:szCs w:val="24"/>
              </w:rPr>
              <w:t>60</w:t>
            </w:r>
          </w:p>
        </w:tc>
        <w:tc>
          <w:tcPr>
            <w:tcW w:w="2368" w:type="dxa"/>
            <w:vAlign w:val="center"/>
          </w:tcPr>
          <w:p>
            <w:pPr>
              <w:jc w:val="center"/>
              <w:rPr>
                <w:rFonts w:hint="eastAsia" w:ascii="等线" w:hAnsi="等线" w:eastAsia="等线"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68" w:type="dxa"/>
            <w:vAlign w:val="center"/>
          </w:tcPr>
          <w:p>
            <w:pPr>
              <w:jc w:val="center"/>
              <w:rPr>
                <w:rFonts w:hint="eastAsia" w:ascii="宋体" w:hAnsi="宋体" w:eastAsia="宋体" w:cs="Times New Roman"/>
                <w:color w:val="auto"/>
                <w:sz w:val="24"/>
                <w:szCs w:val="24"/>
              </w:rPr>
            </w:pPr>
            <w:r>
              <w:rPr>
                <w:rFonts w:ascii="宋体" w:hAnsi="宋体" w:eastAsia="宋体" w:cs="Times New Roman"/>
                <w:color w:val="auto"/>
                <w:sz w:val="24"/>
                <w:szCs w:val="24"/>
              </w:rPr>
              <w:t>3</w:t>
            </w:r>
          </w:p>
        </w:tc>
        <w:tc>
          <w:tcPr>
            <w:tcW w:w="1030" w:type="dxa"/>
            <w:vAlign w:val="center"/>
          </w:tcPr>
          <w:p>
            <w:pPr>
              <w:jc w:val="center"/>
              <w:rPr>
                <w:rFonts w:hint="eastAsia" w:ascii="宋体" w:hAnsi="宋体" w:eastAsia="宋体" w:cs="Times New Roman"/>
                <w:color w:val="auto"/>
                <w:sz w:val="24"/>
                <w:szCs w:val="24"/>
              </w:rPr>
            </w:pPr>
            <w:r>
              <w:rPr>
                <w:rFonts w:ascii="宋体" w:hAnsi="宋体" w:eastAsia="宋体" w:cs="Times New Roman"/>
                <w:color w:val="auto"/>
                <w:sz w:val="24"/>
                <w:szCs w:val="24"/>
              </w:rPr>
              <w:t>专项表</w:t>
            </w:r>
          </w:p>
        </w:tc>
        <w:tc>
          <w:tcPr>
            <w:tcW w:w="2751" w:type="dxa"/>
            <w:vAlign w:val="center"/>
          </w:tcPr>
          <w:p>
            <w:pPr>
              <w:jc w:val="left"/>
              <w:rPr>
                <w:rFonts w:hint="eastAsia" w:ascii="宋体" w:hAnsi="宋体" w:eastAsia="宋体" w:cs="Times New Roman"/>
                <w:color w:val="auto"/>
                <w:sz w:val="24"/>
                <w:szCs w:val="24"/>
              </w:rPr>
            </w:pPr>
            <w:r>
              <w:rPr>
                <w:rFonts w:hint="eastAsia" w:ascii="宋体" w:hAnsi="宋体" w:eastAsia="宋体" w:cs="Times New Roman"/>
                <w:color w:val="auto"/>
                <w:sz w:val="24"/>
                <w:szCs w:val="24"/>
              </w:rPr>
              <w:t>根据企业所属风险大的行业，选择</w:t>
            </w:r>
            <w:r>
              <w:rPr>
                <w:rFonts w:ascii="宋体" w:hAnsi="宋体" w:eastAsia="宋体" w:cs="Times New Roman"/>
                <w:color w:val="auto"/>
                <w:sz w:val="24"/>
                <w:szCs w:val="24"/>
              </w:rPr>
              <w:t>按照行业特点编制重点行业安全</w:t>
            </w:r>
            <w:r>
              <w:rPr>
                <w:rFonts w:hint="eastAsia" w:ascii="宋体" w:hAnsi="宋体" w:eastAsia="宋体" w:cs="Times New Roman"/>
                <w:color w:val="auto"/>
                <w:sz w:val="24"/>
                <w:szCs w:val="24"/>
              </w:rPr>
              <w:t>诊断专项检查</w:t>
            </w:r>
            <w:r>
              <w:rPr>
                <w:rFonts w:ascii="宋体" w:hAnsi="宋体" w:eastAsia="宋体" w:cs="Times New Roman"/>
                <w:color w:val="auto"/>
                <w:sz w:val="24"/>
                <w:szCs w:val="24"/>
              </w:rPr>
              <w:t>表</w:t>
            </w:r>
            <w:r>
              <w:rPr>
                <w:rFonts w:hint="eastAsia" w:ascii="宋体" w:hAnsi="宋体" w:eastAsia="宋体" w:cs="Times New Roman"/>
                <w:color w:val="auto"/>
                <w:sz w:val="24"/>
                <w:szCs w:val="24"/>
              </w:rPr>
              <w:t>。</w:t>
            </w:r>
          </w:p>
        </w:tc>
        <w:tc>
          <w:tcPr>
            <w:tcW w:w="1086" w:type="dxa"/>
            <w:vAlign w:val="center"/>
          </w:tcPr>
          <w:p>
            <w:pPr>
              <w:jc w:val="center"/>
              <w:rPr>
                <w:rFonts w:hint="eastAsia" w:ascii="宋体" w:hAnsi="宋体" w:eastAsia="宋体" w:cs="Times New Roman"/>
                <w:color w:val="auto"/>
                <w:sz w:val="24"/>
                <w:szCs w:val="24"/>
              </w:rPr>
            </w:pPr>
            <w:r>
              <w:rPr>
                <w:rFonts w:ascii="宋体" w:hAnsi="宋体" w:eastAsia="宋体" w:cs="Times New Roman"/>
                <w:color w:val="auto"/>
                <w:sz w:val="24"/>
                <w:szCs w:val="24"/>
              </w:rPr>
              <w:t>3分/项×项数</w:t>
            </w:r>
          </w:p>
        </w:tc>
        <w:tc>
          <w:tcPr>
            <w:tcW w:w="1383" w:type="dxa"/>
            <w:vAlign w:val="center"/>
          </w:tcPr>
          <w:p>
            <w:pPr>
              <w:jc w:val="center"/>
              <w:rPr>
                <w:rFonts w:hint="eastAsia" w:ascii="宋体" w:hAnsi="宋体" w:eastAsia="宋体" w:cs="Times New Roman"/>
                <w:color w:val="auto"/>
                <w:sz w:val="24"/>
                <w:szCs w:val="24"/>
              </w:rPr>
            </w:pPr>
            <w:r>
              <w:rPr>
                <w:rFonts w:ascii="宋体" w:hAnsi="宋体" w:eastAsia="宋体" w:cs="Times New Roman"/>
                <w:color w:val="auto"/>
                <w:sz w:val="24"/>
                <w:szCs w:val="24"/>
              </w:rPr>
              <w:t>20</w:t>
            </w:r>
          </w:p>
        </w:tc>
        <w:tc>
          <w:tcPr>
            <w:tcW w:w="2368" w:type="dxa"/>
            <w:vAlign w:val="center"/>
          </w:tcPr>
          <w:p>
            <w:pPr>
              <w:jc w:val="center"/>
              <w:rPr>
                <w:rFonts w:hint="eastAsia" w:ascii="等线" w:hAnsi="等线" w:eastAsia="等线"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vAlign w:val="center"/>
          </w:tcPr>
          <w:p>
            <w:pPr>
              <w:jc w:val="center"/>
              <w:rPr>
                <w:rFonts w:hint="eastAsia" w:ascii="宋体" w:hAnsi="宋体" w:eastAsia="宋体" w:cs="Times New Roman"/>
                <w:color w:val="auto"/>
                <w:sz w:val="24"/>
                <w:szCs w:val="24"/>
              </w:rPr>
            </w:pPr>
            <w:r>
              <w:rPr>
                <w:rFonts w:ascii="宋体" w:hAnsi="宋体" w:eastAsia="宋体" w:cs="Times New Roman"/>
                <w:color w:val="auto"/>
                <w:sz w:val="24"/>
                <w:szCs w:val="24"/>
              </w:rPr>
              <w:t>4</w:t>
            </w:r>
          </w:p>
        </w:tc>
        <w:tc>
          <w:tcPr>
            <w:tcW w:w="1030" w:type="dxa"/>
            <w:vAlign w:val="center"/>
          </w:tcPr>
          <w:p>
            <w:pPr>
              <w:spacing w:line="400" w:lineRule="exact"/>
              <w:jc w:val="left"/>
              <w:rPr>
                <w:rFonts w:hint="eastAsia" w:ascii="宋体" w:hAnsi="宋体" w:eastAsia="宋体" w:cs="Times New Roman"/>
                <w:color w:val="auto"/>
                <w:sz w:val="24"/>
                <w:szCs w:val="24"/>
              </w:rPr>
            </w:pPr>
            <w:bookmarkStart w:id="46" w:name="OLE_LINK88"/>
            <w:r>
              <w:rPr>
                <w:rFonts w:ascii="宋体" w:hAnsi="宋体" w:eastAsia="宋体" w:cs="Times New Roman"/>
                <w:color w:val="auto"/>
                <w:sz w:val="24"/>
                <w:szCs w:val="24"/>
              </w:rPr>
              <w:t>安全事故情况</w:t>
            </w:r>
            <w:bookmarkEnd w:id="46"/>
          </w:p>
        </w:tc>
        <w:tc>
          <w:tcPr>
            <w:tcW w:w="2751" w:type="dxa"/>
            <w:vAlign w:val="center"/>
          </w:tcPr>
          <w:p>
            <w:pPr>
              <w:spacing w:line="400" w:lineRule="exact"/>
              <w:jc w:val="left"/>
              <w:rPr>
                <w:rFonts w:hint="eastAsia" w:ascii="宋体" w:hAnsi="宋体" w:eastAsia="宋体" w:cs="Times New Roman"/>
                <w:color w:val="auto"/>
                <w:sz w:val="24"/>
                <w:szCs w:val="24"/>
              </w:rPr>
            </w:pPr>
            <w:bookmarkStart w:id="47" w:name="OLE_LINK89"/>
            <w:r>
              <w:rPr>
                <w:rFonts w:ascii="宋体" w:hAnsi="宋体" w:eastAsia="宋体" w:cs="Times New Roman"/>
                <w:color w:val="auto"/>
                <w:sz w:val="24"/>
                <w:szCs w:val="24"/>
              </w:rPr>
              <w:t>评估三年内发生的安全生产事故情况，依据发生事故的类型在10分中直接扣分。</w:t>
            </w:r>
            <w:bookmarkEnd w:id="47"/>
          </w:p>
        </w:tc>
        <w:tc>
          <w:tcPr>
            <w:tcW w:w="1086" w:type="dxa"/>
            <w:vAlign w:val="center"/>
          </w:tcPr>
          <w:p>
            <w:pPr>
              <w:jc w:val="center"/>
              <w:rPr>
                <w:rFonts w:hint="eastAsia" w:ascii="宋体" w:hAnsi="宋体" w:eastAsia="宋体" w:cs="Times New Roman"/>
                <w:color w:val="auto"/>
                <w:sz w:val="24"/>
                <w:szCs w:val="24"/>
              </w:rPr>
            </w:pPr>
          </w:p>
        </w:tc>
        <w:tc>
          <w:tcPr>
            <w:tcW w:w="1383" w:type="dxa"/>
            <w:vAlign w:val="center"/>
          </w:tcPr>
          <w:p>
            <w:pPr>
              <w:jc w:val="center"/>
              <w:rPr>
                <w:rFonts w:hint="eastAsia" w:ascii="宋体" w:hAnsi="宋体" w:eastAsia="宋体" w:cs="Times New Roman"/>
                <w:color w:val="auto"/>
                <w:sz w:val="24"/>
                <w:szCs w:val="24"/>
              </w:rPr>
            </w:pPr>
            <w:r>
              <w:rPr>
                <w:rFonts w:ascii="宋体" w:hAnsi="宋体" w:eastAsia="宋体" w:cs="Times New Roman"/>
                <w:color w:val="auto"/>
                <w:sz w:val="24"/>
                <w:szCs w:val="24"/>
              </w:rPr>
              <w:t>10</w:t>
            </w:r>
          </w:p>
        </w:tc>
        <w:tc>
          <w:tcPr>
            <w:tcW w:w="2368" w:type="dxa"/>
            <w:vAlign w:val="center"/>
          </w:tcPr>
          <w:p>
            <w:pPr>
              <w:spacing w:line="320" w:lineRule="exact"/>
              <w:rPr>
                <w:rFonts w:hint="eastAsia" w:ascii="宋体" w:hAnsi="宋体" w:eastAsia="宋体" w:cs="Times New Roman"/>
                <w:color w:val="auto"/>
                <w:sz w:val="24"/>
                <w:szCs w:val="24"/>
              </w:rPr>
            </w:pPr>
            <w:r>
              <w:rPr>
                <w:rFonts w:ascii="宋体" w:hAnsi="宋体" w:eastAsia="宋体" w:cs="Times New Roman"/>
                <w:color w:val="auto"/>
                <w:sz w:val="24"/>
                <w:szCs w:val="24"/>
              </w:rPr>
              <w:t>1.三年内发生过1起较大安全事故的，扣10分。</w:t>
            </w:r>
          </w:p>
          <w:p>
            <w:pPr>
              <w:spacing w:line="320" w:lineRule="exact"/>
              <w:rPr>
                <w:rFonts w:hint="eastAsia" w:ascii="宋体" w:hAnsi="宋体" w:eastAsia="宋体" w:cs="Times New Roman"/>
                <w:color w:val="auto"/>
                <w:sz w:val="24"/>
                <w:szCs w:val="24"/>
              </w:rPr>
            </w:pPr>
            <w:r>
              <w:rPr>
                <w:rFonts w:ascii="宋体" w:hAnsi="宋体" w:eastAsia="宋体" w:cs="Times New Roman"/>
                <w:color w:val="auto"/>
                <w:sz w:val="24"/>
                <w:szCs w:val="24"/>
              </w:rPr>
              <w:t>2.三年内发生过1起安全事故造成1-2人死亡的，扣5分。</w:t>
            </w:r>
          </w:p>
          <w:p>
            <w:pPr>
              <w:spacing w:line="320" w:lineRule="exact"/>
              <w:rPr>
                <w:rFonts w:hint="eastAsia" w:ascii="宋体" w:hAnsi="宋体" w:eastAsia="宋体" w:cs="Times New Roman"/>
                <w:color w:val="auto"/>
                <w:sz w:val="24"/>
                <w:szCs w:val="24"/>
              </w:rPr>
            </w:pPr>
            <w:r>
              <w:rPr>
                <w:rFonts w:ascii="宋体" w:hAnsi="宋体" w:eastAsia="宋体" w:cs="Times New Roman"/>
                <w:color w:val="auto"/>
                <w:sz w:val="24"/>
                <w:szCs w:val="24"/>
              </w:rPr>
              <w:t>3.三年内发生过爆炸、着火、中毒等具有社会影响的安全事故，但未造成人员伤亡的，扣3分。</w:t>
            </w:r>
          </w:p>
          <w:p>
            <w:pPr>
              <w:spacing w:line="320" w:lineRule="exact"/>
              <w:rPr>
                <w:rFonts w:hint="eastAsia" w:ascii="宋体" w:hAnsi="宋体" w:eastAsia="宋体" w:cs="Times New Roman"/>
                <w:color w:val="auto"/>
                <w:sz w:val="24"/>
                <w:szCs w:val="24"/>
              </w:rPr>
            </w:pPr>
            <w:r>
              <w:rPr>
                <w:rFonts w:ascii="宋体" w:hAnsi="宋体" w:eastAsia="宋体" w:cs="Times New Roman"/>
                <w:color w:val="auto"/>
                <w:sz w:val="24"/>
                <w:szCs w:val="24"/>
              </w:rPr>
              <w:t>4.三年内未发生过安全事故的，不扣分。</w:t>
            </w:r>
          </w:p>
        </w:tc>
      </w:tr>
    </w:tbl>
    <w:p>
      <w:pPr>
        <w:widowControl/>
        <w:jc w:val="left"/>
        <w:rPr>
          <w:rFonts w:hint="eastAsia" w:ascii="宋体" w:hAnsi="宋体" w:eastAsia="宋体"/>
          <w:color w:val="auto"/>
          <w:sz w:val="28"/>
          <w:szCs w:val="28"/>
        </w:rPr>
      </w:pPr>
      <w:r>
        <w:rPr>
          <w:rFonts w:hint="eastAsia" w:ascii="宋体" w:hAnsi="宋体" w:eastAsia="宋体"/>
          <w:color w:val="auto"/>
          <w:sz w:val="28"/>
          <w:szCs w:val="28"/>
        </w:rPr>
        <w:br w:type="page"/>
      </w:r>
    </w:p>
    <w:p>
      <w:pPr>
        <w:jc w:val="left"/>
        <w:outlineLvl w:val="1"/>
        <w:rPr>
          <w:rFonts w:hint="eastAsia" w:ascii="宋体" w:hAnsi="宋体" w:eastAsia="宋体"/>
          <w:b/>
          <w:bCs/>
          <w:color w:val="auto"/>
          <w:sz w:val="30"/>
          <w:szCs w:val="30"/>
        </w:rPr>
        <w:sectPr>
          <w:footerReference r:id="rId9" w:type="default"/>
          <w:pgSz w:w="11906" w:h="16838"/>
          <w:pgMar w:top="1134" w:right="1418" w:bottom="1134" w:left="1418" w:header="851" w:footer="850" w:gutter="0"/>
          <w:pgNumType w:start="1"/>
          <w:cols w:space="425" w:num="1"/>
          <w:docGrid w:type="lines" w:linePitch="312" w:charSpace="0"/>
        </w:sectPr>
      </w:pPr>
    </w:p>
    <w:p>
      <w:pPr>
        <w:jc w:val="left"/>
        <w:outlineLvl w:val="1"/>
        <w:rPr>
          <w:rFonts w:hint="eastAsia" w:ascii="宋体" w:hAnsi="宋体" w:eastAsia="宋体"/>
          <w:b/>
          <w:bCs/>
          <w:color w:val="auto"/>
          <w:sz w:val="30"/>
          <w:szCs w:val="30"/>
        </w:rPr>
      </w:pPr>
      <w:bookmarkStart w:id="48" w:name="_Toc237556456"/>
      <w:r>
        <w:rPr>
          <w:rFonts w:ascii="宋体" w:hAnsi="宋体" w:eastAsia="宋体"/>
          <w:b/>
          <w:bCs/>
          <w:color w:val="auto"/>
          <w:sz w:val="30"/>
          <w:szCs w:val="30"/>
        </w:rPr>
        <w:t>附件</w:t>
      </w:r>
      <w:r>
        <w:rPr>
          <w:rFonts w:hint="eastAsia" w:ascii="宋体" w:hAnsi="宋体" w:eastAsia="宋体"/>
          <w:b/>
          <w:bCs/>
          <w:color w:val="auto"/>
          <w:sz w:val="30"/>
          <w:szCs w:val="30"/>
        </w:rPr>
        <w:t>3</w:t>
      </w:r>
      <w:r>
        <w:rPr>
          <w:rFonts w:ascii="宋体" w:hAnsi="宋体" w:eastAsia="宋体"/>
          <w:b/>
          <w:bCs/>
          <w:color w:val="auto"/>
          <w:sz w:val="30"/>
          <w:szCs w:val="30"/>
        </w:rPr>
        <w:t>危险化学品生产企业安全诊断基础表</w:t>
      </w:r>
      <w:bookmarkEnd w:id="48"/>
    </w:p>
    <w:p>
      <w:pPr>
        <w:spacing w:line="400" w:lineRule="exact"/>
        <w:rPr>
          <w:rFonts w:hint="eastAsia" w:ascii="宋体" w:hAnsi="宋体" w:eastAsia="宋体" w:cs="Times New Roman"/>
          <w:color w:val="auto"/>
          <w:sz w:val="24"/>
          <w:szCs w:val="24"/>
        </w:rPr>
      </w:pPr>
    </w:p>
    <w:tbl>
      <w:tblPr>
        <w:tblStyle w:val="20"/>
        <w:tblW w:w="143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2715"/>
        <w:gridCol w:w="8164"/>
        <w:gridCol w:w="1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5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eastAsia="宋体" w:cs="Times New Roman"/>
                <w:b/>
                <w:bCs/>
                <w:color w:val="auto"/>
                <w:kern w:val="0"/>
                <w:sz w:val="24"/>
                <w:szCs w:val="24"/>
              </w:rPr>
            </w:pPr>
            <w:r>
              <w:rPr>
                <w:rFonts w:ascii="Times New Roman" w:hAnsi="Times New Roman" w:eastAsia="宋体" w:cs="Times New Roman"/>
                <w:b/>
                <w:bCs/>
                <w:color w:val="auto"/>
                <w:kern w:val="0"/>
                <w:sz w:val="24"/>
                <w:szCs w:val="24"/>
              </w:rPr>
              <w:t>类别</w:t>
            </w:r>
          </w:p>
        </w:tc>
        <w:tc>
          <w:tcPr>
            <w:tcW w:w="271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eastAsia="宋体" w:cs="Times New Roman"/>
                <w:b/>
                <w:bCs/>
                <w:color w:val="auto"/>
                <w:kern w:val="0"/>
                <w:sz w:val="24"/>
                <w:szCs w:val="24"/>
              </w:rPr>
            </w:pPr>
            <w:r>
              <w:rPr>
                <w:rFonts w:ascii="Times New Roman" w:hAnsi="Times New Roman" w:eastAsia="宋体" w:cs="Times New Roman"/>
                <w:b/>
                <w:bCs/>
                <w:color w:val="auto"/>
                <w:kern w:val="0"/>
                <w:sz w:val="24"/>
                <w:szCs w:val="24"/>
              </w:rPr>
              <w:t>项目（分值）</w:t>
            </w:r>
          </w:p>
        </w:tc>
        <w:tc>
          <w:tcPr>
            <w:tcW w:w="816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eastAsia="宋体" w:cs="Times New Roman"/>
                <w:b/>
                <w:bCs/>
                <w:color w:val="auto"/>
                <w:kern w:val="0"/>
                <w:sz w:val="24"/>
                <w:szCs w:val="24"/>
              </w:rPr>
            </w:pPr>
            <w:r>
              <w:rPr>
                <w:rFonts w:ascii="Times New Roman" w:hAnsi="Times New Roman" w:eastAsia="宋体" w:cs="Times New Roman"/>
                <w:b/>
                <w:bCs/>
                <w:color w:val="auto"/>
                <w:kern w:val="0"/>
                <w:sz w:val="24"/>
                <w:szCs w:val="24"/>
              </w:rPr>
              <w:t>诊断内容</w:t>
            </w:r>
          </w:p>
        </w:tc>
        <w:tc>
          <w:tcPr>
            <w:tcW w:w="1949" w:type="dxa"/>
            <w:tcBorders>
              <w:top w:val="single" w:color="auto" w:sz="4" w:space="0"/>
              <w:left w:val="single" w:color="auto" w:sz="4" w:space="0"/>
              <w:bottom w:val="single" w:color="auto" w:sz="4" w:space="0"/>
              <w:right w:val="single" w:color="auto" w:sz="4" w:space="0"/>
            </w:tcBorders>
            <w:vAlign w:val="center"/>
          </w:tcPr>
          <w:p>
            <w:pPr>
              <w:widowControl/>
              <w:spacing w:line="560" w:lineRule="exact"/>
              <w:jc w:val="center"/>
              <w:rPr>
                <w:rFonts w:ascii="Times New Roman" w:hAnsi="Times New Roman" w:eastAsia="宋体" w:cs="Times New Roman"/>
                <w:b/>
                <w:bCs/>
                <w:color w:val="auto"/>
                <w:kern w:val="0"/>
                <w:sz w:val="24"/>
                <w:szCs w:val="24"/>
              </w:rPr>
            </w:pPr>
            <w:r>
              <w:rPr>
                <w:rFonts w:ascii="Times New Roman" w:hAnsi="Times New Roman" w:eastAsia="宋体" w:cs="Times New Roman"/>
                <w:b/>
                <w:bCs/>
                <w:color w:val="auto"/>
                <w:kern w:val="0"/>
                <w:sz w:val="24"/>
                <w:szCs w:val="24"/>
              </w:rPr>
              <w:t>扣分值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555"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left" w:pos="312"/>
              </w:tabs>
              <w:spacing w:line="360" w:lineRule="exact"/>
              <w:ind w:firstLine="481" w:firstLineChars="200"/>
              <w:rPr>
                <w:rFonts w:ascii="Times New Roman" w:hAnsi="Times New Roman" w:eastAsia="宋体" w:cs="Times New Roman"/>
                <w:b/>
                <w:bCs/>
                <w:color w:val="auto"/>
                <w:kern w:val="0"/>
                <w:sz w:val="24"/>
                <w:szCs w:val="24"/>
              </w:rPr>
            </w:pPr>
            <w:r>
              <w:rPr>
                <w:rFonts w:ascii="Times New Roman" w:hAnsi="Times New Roman" w:eastAsia="宋体" w:cs="Times New Roman"/>
                <w:b/>
                <w:bCs/>
                <w:color w:val="auto"/>
                <w:kern w:val="0"/>
                <w:sz w:val="24"/>
                <w:szCs w:val="24"/>
              </w:rPr>
              <w:t>固有</w:t>
            </w:r>
          </w:p>
          <w:p>
            <w:pPr>
              <w:widowControl/>
              <w:spacing w:line="360" w:lineRule="exact"/>
              <w:jc w:val="center"/>
              <w:rPr>
                <w:rFonts w:ascii="Times New Roman" w:hAnsi="Times New Roman" w:eastAsia="宋体" w:cs="Times New Roman"/>
                <w:b/>
                <w:bCs/>
                <w:color w:val="auto"/>
                <w:kern w:val="0"/>
                <w:sz w:val="24"/>
                <w:szCs w:val="24"/>
              </w:rPr>
            </w:pPr>
            <w:r>
              <w:rPr>
                <w:rFonts w:ascii="Times New Roman" w:hAnsi="Times New Roman" w:eastAsia="宋体" w:cs="Times New Roman"/>
                <w:b/>
                <w:bCs/>
                <w:color w:val="auto"/>
                <w:kern w:val="0"/>
                <w:sz w:val="24"/>
                <w:szCs w:val="24"/>
              </w:rPr>
              <w:t>危险性</w:t>
            </w:r>
          </w:p>
          <w:p>
            <w:pPr>
              <w:widowControl/>
              <w:spacing w:line="360" w:lineRule="exact"/>
              <w:jc w:val="center"/>
              <w:rPr>
                <w:rFonts w:ascii="Times New Roman" w:hAnsi="Times New Roman" w:eastAsia="宋体" w:cs="Times New Roman"/>
                <w:b/>
                <w:bCs/>
                <w:color w:val="auto"/>
                <w:kern w:val="44"/>
                <w:sz w:val="24"/>
                <w:szCs w:val="24"/>
              </w:rPr>
            </w:pPr>
            <w:r>
              <w:rPr>
                <w:rFonts w:ascii="Times New Roman" w:hAnsi="Times New Roman" w:eastAsia="宋体" w:cs="Times New Roman"/>
                <w:b/>
                <w:bCs/>
                <w:color w:val="auto"/>
                <w:kern w:val="0"/>
                <w:sz w:val="24"/>
                <w:szCs w:val="24"/>
              </w:rPr>
              <w:t>（20分）</w:t>
            </w:r>
          </w:p>
        </w:tc>
        <w:tc>
          <w:tcPr>
            <w:tcW w:w="271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eastAsia="宋体" w:cs="Times New Roman"/>
                <w:b/>
                <w:bCs/>
                <w:color w:val="auto"/>
                <w:kern w:val="0"/>
                <w:sz w:val="24"/>
                <w:szCs w:val="24"/>
              </w:rPr>
            </w:pPr>
            <w:r>
              <w:rPr>
                <w:rFonts w:ascii="Times New Roman" w:hAnsi="Times New Roman" w:eastAsia="宋体" w:cs="Times New Roman"/>
                <w:b/>
                <w:bCs/>
                <w:color w:val="auto"/>
                <w:kern w:val="0"/>
                <w:sz w:val="24"/>
                <w:szCs w:val="24"/>
              </w:rPr>
              <w:t>重大危险源</w:t>
            </w:r>
          </w:p>
          <w:p>
            <w:pPr>
              <w:widowControl/>
              <w:spacing w:line="360" w:lineRule="exact"/>
              <w:jc w:val="center"/>
              <w:rPr>
                <w:rFonts w:ascii="Times New Roman" w:hAnsi="Times New Roman" w:eastAsia="宋体" w:cs="Times New Roman"/>
                <w:b/>
                <w:bCs/>
                <w:color w:val="auto"/>
                <w:kern w:val="0"/>
                <w:sz w:val="24"/>
                <w:szCs w:val="24"/>
              </w:rPr>
            </w:pPr>
            <w:r>
              <w:rPr>
                <w:rFonts w:ascii="Times New Roman" w:hAnsi="Times New Roman" w:eastAsia="宋体" w:cs="Times New Roman"/>
                <w:b/>
                <w:bCs/>
                <w:color w:val="auto"/>
                <w:kern w:val="0"/>
                <w:sz w:val="24"/>
                <w:szCs w:val="24"/>
              </w:rPr>
              <w:t>（8分）</w:t>
            </w:r>
          </w:p>
        </w:tc>
        <w:tc>
          <w:tcPr>
            <w:tcW w:w="816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ascii="Times New Roman" w:hAnsi="Times New Roman" w:eastAsia="宋体" w:cs="Times New Roman"/>
                <w:color w:val="auto"/>
                <w:kern w:val="0"/>
                <w:sz w:val="24"/>
                <w:szCs w:val="24"/>
              </w:rPr>
            </w:pPr>
            <w:r>
              <w:rPr>
                <w:rFonts w:ascii="Times New Roman" w:hAnsi="Times New Roman" w:eastAsia="宋体" w:cs="Times New Roman"/>
                <w:color w:val="auto"/>
                <w:kern w:val="0"/>
                <w:sz w:val="24"/>
                <w:szCs w:val="24"/>
              </w:rPr>
              <w:t>存在一级危险化学品重大危险源的，一个扣4分；</w:t>
            </w:r>
          </w:p>
        </w:tc>
        <w:tc>
          <w:tcPr>
            <w:tcW w:w="194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eastAsia="宋体"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b/>
                <w:bCs/>
                <w:color w:val="auto"/>
                <w:kern w:val="44"/>
                <w:sz w:val="24"/>
                <w:szCs w:val="24"/>
              </w:rPr>
            </w:pPr>
          </w:p>
        </w:tc>
        <w:tc>
          <w:tcPr>
            <w:tcW w:w="27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b/>
                <w:bCs/>
                <w:color w:val="auto"/>
                <w:kern w:val="0"/>
                <w:sz w:val="24"/>
                <w:szCs w:val="24"/>
              </w:rPr>
            </w:pPr>
          </w:p>
        </w:tc>
        <w:tc>
          <w:tcPr>
            <w:tcW w:w="816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ascii="Times New Roman" w:hAnsi="Times New Roman" w:eastAsia="宋体" w:cs="Times New Roman"/>
                <w:color w:val="auto"/>
                <w:kern w:val="0"/>
                <w:sz w:val="24"/>
                <w:szCs w:val="24"/>
              </w:rPr>
            </w:pPr>
            <w:r>
              <w:rPr>
                <w:rFonts w:ascii="Times New Roman" w:hAnsi="Times New Roman" w:eastAsia="宋体" w:cs="Times New Roman"/>
                <w:color w:val="auto"/>
                <w:kern w:val="0"/>
                <w:sz w:val="24"/>
                <w:szCs w:val="24"/>
              </w:rPr>
              <w:t>存在二级危险化学品重大危险源的，一个扣3分；</w:t>
            </w:r>
          </w:p>
        </w:tc>
        <w:tc>
          <w:tcPr>
            <w:tcW w:w="194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eastAsia="宋体"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b/>
                <w:bCs/>
                <w:color w:val="auto"/>
                <w:kern w:val="44"/>
                <w:sz w:val="24"/>
                <w:szCs w:val="24"/>
              </w:rPr>
            </w:pPr>
          </w:p>
        </w:tc>
        <w:tc>
          <w:tcPr>
            <w:tcW w:w="27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b/>
                <w:bCs/>
                <w:color w:val="auto"/>
                <w:kern w:val="0"/>
                <w:sz w:val="24"/>
                <w:szCs w:val="24"/>
              </w:rPr>
            </w:pPr>
          </w:p>
        </w:tc>
        <w:tc>
          <w:tcPr>
            <w:tcW w:w="816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ascii="Times New Roman" w:hAnsi="Times New Roman" w:eastAsia="宋体" w:cs="Times New Roman"/>
                <w:color w:val="auto"/>
                <w:kern w:val="0"/>
                <w:sz w:val="24"/>
                <w:szCs w:val="24"/>
              </w:rPr>
            </w:pPr>
            <w:r>
              <w:rPr>
                <w:rFonts w:ascii="Times New Roman" w:hAnsi="Times New Roman" w:eastAsia="宋体" w:cs="Times New Roman"/>
                <w:color w:val="auto"/>
                <w:kern w:val="0"/>
                <w:sz w:val="24"/>
                <w:szCs w:val="24"/>
              </w:rPr>
              <w:t>存在三级危险化学品重大危险源的，一个扣2分；</w:t>
            </w:r>
          </w:p>
        </w:tc>
        <w:tc>
          <w:tcPr>
            <w:tcW w:w="194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eastAsia="宋体"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b/>
                <w:bCs/>
                <w:color w:val="auto"/>
                <w:kern w:val="44"/>
                <w:sz w:val="24"/>
                <w:szCs w:val="24"/>
              </w:rPr>
            </w:pPr>
          </w:p>
        </w:tc>
        <w:tc>
          <w:tcPr>
            <w:tcW w:w="27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b/>
                <w:bCs/>
                <w:color w:val="auto"/>
                <w:kern w:val="0"/>
                <w:sz w:val="24"/>
                <w:szCs w:val="24"/>
              </w:rPr>
            </w:pPr>
          </w:p>
        </w:tc>
        <w:tc>
          <w:tcPr>
            <w:tcW w:w="816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ascii="Times New Roman" w:hAnsi="Times New Roman" w:eastAsia="宋体" w:cs="Times New Roman"/>
                <w:color w:val="auto"/>
                <w:kern w:val="0"/>
                <w:sz w:val="24"/>
                <w:szCs w:val="24"/>
              </w:rPr>
            </w:pPr>
            <w:r>
              <w:rPr>
                <w:rFonts w:ascii="Times New Roman" w:hAnsi="Times New Roman" w:eastAsia="宋体" w:cs="Times New Roman"/>
                <w:color w:val="auto"/>
                <w:kern w:val="0"/>
                <w:sz w:val="24"/>
                <w:szCs w:val="24"/>
              </w:rPr>
              <w:t>存在四级危险化学品重大危险源的，一个扣1分。</w:t>
            </w:r>
          </w:p>
        </w:tc>
        <w:tc>
          <w:tcPr>
            <w:tcW w:w="194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eastAsia="宋体"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b/>
                <w:bCs/>
                <w:color w:val="auto"/>
                <w:kern w:val="44"/>
                <w:sz w:val="24"/>
                <w:szCs w:val="24"/>
              </w:rPr>
            </w:pPr>
          </w:p>
        </w:tc>
        <w:tc>
          <w:tcPr>
            <w:tcW w:w="271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eastAsia="宋体" w:cs="Times New Roman"/>
                <w:b/>
                <w:bCs/>
                <w:color w:val="auto"/>
                <w:kern w:val="0"/>
                <w:sz w:val="24"/>
                <w:szCs w:val="24"/>
              </w:rPr>
            </w:pPr>
            <w:r>
              <w:rPr>
                <w:rFonts w:ascii="Times New Roman" w:hAnsi="Times New Roman" w:eastAsia="宋体" w:cs="Times New Roman"/>
                <w:b/>
                <w:bCs/>
                <w:color w:val="auto"/>
                <w:kern w:val="0"/>
                <w:sz w:val="24"/>
                <w:szCs w:val="24"/>
              </w:rPr>
              <w:t>物质危险性</w:t>
            </w:r>
          </w:p>
          <w:p>
            <w:pPr>
              <w:widowControl/>
              <w:spacing w:line="360" w:lineRule="exact"/>
              <w:jc w:val="center"/>
              <w:rPr>
                <w:rFonts w:ascii="Times New Roman" w:hAnsi="Times New Roman" w:eastAsia="宋体" w:cs="Times New Roman"/>
                <w:b/>
                <w:bCs/>
                <w:color w:val="auto"/>
                <w:kern w:val="0"/>
                <w:sz w:val="24"/>
                <w:szCs w:val="24"/>
              </w:rPr>
            </w:pPr>
            <w:r>
              <w:rPr>
                <w:rFonts w:ascii="Times New Roman" w:hAnsi="Times New Roman" w:eastAsia="宋体" w:cs="Times New Roman"/>
                <w:b/>
                <w:bCs/>
                <w:color w:val="auto"/>
                <w:kern w:val="0"/>
                <w:sz w:val="24"/>
                <w:szCs w:val="24"/>
              </w:rPr>
              <w:t>（3分）</w:t>
            </w:r>
          </w:p>
        </w:tc>
        <w:tc>
          <w:tcPr>
            <w:tcW w:w="8164"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宋体" w:cs="Times New Roman"/>
                <w:color w:val="auto"/>
                <w:kern w:val="0"/>
                <w:sz w:val="24"/>
                <w:szCs w:val="24"/>
              </w:rPr>
            </w:pPr>
            <w:r>
              <w:rPr>
                <w:rFonts w:ascii="Times New Roman" w:hAnsi="Times New Roman" w:eastAsia="宋体" w:cs="Times New Roman"/>
                <w:color w:val="auto"/>
                <w:kern w:val="0"/>
                <w:sz w:val="24"/>
                <w:szCs w:val="24"/>
              </w:rPr>
              <w:t>生产、储存爆炸性危险化学品的（实验室化学试剂除外），每一种扣1分。</w:t>
            </w:r>
          </w:p>
        </w:tc>
        <w:tc>
          <w:tcPr>
            <w:tcW w:w="194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eastAsia="宋体"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b/>
                <w:bCs/>
                <w:color w:val="auto"/>
                <w:kern w:val="44"/>
                <w:sz w:val="24"/>
                <w:szCs w:val="24"/>
              </w:rPr>
            </w:pPr>
          </w:p>
        </w:tc>
        <w:tc>
          <w:tcPr>
            <w:tcW w:w="27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b/>
                <w:bCs/>
                <w:color w:val="auto"/>
                <w:kern w:val="0"/>
                <w:sz w:val="24"/>
                <w:szCs w:val="24"/>
              </w:rPr>
            </w:pPr>
          </w:p>
        </w:tc>
        <w:tc>
          <w:tcPr>
            <w:tcW w:w="8164"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宋体" w:cs="Times New Roman"/>
                <w:color w:val="auto"/>
                <w:kern w:val="0"/>
                <w:sz w:val="24"/>
                <w:szCs w:val="24"/>
              </w:rPr>
            </w:pPr>
            <w:r>
              <w:rPr>
                <w:rFonts w:ascii="Times New Roman" w:hAnsi="Times New Roman" w:eastAsia="宋体" w:cs="Times New Roman"/>
                <w:color w:val="auto"/>
                <w:kern w:val="0"/>
                <w:sz w:val="24"/>
                <w:szCs w:val="24"/>
              </w:rPr>
              <w:t>生产、储存（含管道输送）氯气、光气等吸入性剧毒化学品的（实验室化学试剂、过程产物除外），每一种扣1分。</w:t>
            </w:r>
          </w:p>
        </w:tc>
        <w:tc>
          <w:tcPr>
            <w:tcW w:w="194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eastAsia="宋体"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b/>
                <w:bCs/>
                <w:color w:val="auto"/>
                <w:kern w:val="44"/>
                <w:sz w:val="24"/>
                <w:szCs w:val="24"/>
              </w:rPr>
            </w:pPr>
          </w:p>
        </w:tc>
        <w:tc>
          <w:tcPr>
            <w:tcW w:w="27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b/>
                <w:bCs/>
                <w:color w:val="auto"/>
                <w:kern w:val="0"/>
                <w:sz w:val="24"/>
                <w:szCs w:val="24"/>
              </w:rPr>
            </w:pPr>
          </w:p>
        </w:tc>
        <w:tc>
          <w:tcPr>
            <w:tcW w:w="8164"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宋体" w:cs="Times New Roman"/>
                <w:color w:val="auto"/>
                <w:kern w:val="0"/>
                <w:sz w:val="24"/>
                <w:szCs w:val="24"/>
              </w:rPr>
            </w:pPr>
            <w:r>
              <w:rPr>
                <w:rFonts w:ascii="Times New Roman" w:hAnsi="Times New Roman" w:eastAsia="宋体" w:cs="Times New Roman"/>
                <w:color w:val="auto"/>
                <w:kern w:val="0"/>
                <w:sz w:val="24"/>
                <w:szCs w:val="24"/>
              </w:rPr>
              <w:t>生产、储存其他重点监管危险化学品的（储存</w:t>
            </w:r>
            <w:r>
              <w:rPr>
                <w:rFonts w:ascii="Times New Roman" w:hAnsi="Times New Roman" w:eastAsia="宋体" w:cs="Times New Roman"/>
                <w:color w:val="auto"/>
                <w:sz w:val="24"/>
                <w:szCs w:val="24"/>
              </w:rPr>
              <w:t>检维修使用的乙炔气瓶、</w:t>
            </w:r>
            <w:r>
              <w:rPr>
                <w:rFonts w:ascii="Times New Roman" w:hAnsi="Times New Roman" w:eastAsia="宋体" w:cs="Times New Roman"/>
                <w:color w:val="auto"/>
                <w:kern w:val="0"/>
                <w:sz w:val="24"/>
                <w:szCs w:val="24"/>
              </w:rPr>
              <w:t>实验室化学试剂、过程产物等除外），每一种扣0.5分。</w:t>
            </w:r>
          </w:p>
        </w:tc>
        <w:tc>
          <w:tcPr>
            <w:tcW w:w="194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eastAsia="宋体"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b/>
                <w:bCs/>
                <w:color w:val="auto"/>
                <w:kern w:val="44"/>
                <w:sz w:val="24"/>
                <w:szCs w:val="24"/>
              </w:rPr>
            </w:pPr>
          </w:p>
        </w:tc>
        <w:tc>
          <w:tcPr>
            <w:tcW w:w="2715"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eastAsia="宋体" w:cs="Times New Roman"/>
                <w:b/>
                <w:bCs/>
                <w:color w:val="auto"/>
                <w:kern w:val="0"/>
                <w:sz w:val="24"/>
                <w:szCs w:val="24"/>
              </w:rPr>
            </w:pPr>
            <w:r>
              <w:rPr>
                <w:rFonts w:ascii="Times New Roman" w:hAnsi="Times New Roman" w:eastAsia="宋体" w:cs="Times New Roman"/>
                <w:b/>
                <w:bCs/>
                <w:color w:val="auto"/>
                <w:kern w:val="0"/>
                <w:sz w:val="24"/>
                <w:szCs w:val="24"/>
              </w:rPr>
              <w:t>危险化工工艺</w:t>
            </w:r>
          </w:p>
          <w:p>
            <w:pPr>
              <w:widowControl/>
              <w:spacing w:line="360" w:lineRule="exact"/>
              <w:jc w:val="center"/>
              <w:rPr>
                <w:rFonts w:ascii="Times New Roman" w:hAnsi="Times New Roman" w:eastAsia="宋体" w:cs="Times New Roman"/>
                <w:b/>
                <w:bCs/>
                <w:color w:val="auto"/>
                <w:kern w:val="0"/>
                <w:sz w:val="24"/>
                <w:szCs w:val="24"/>
              </w:rPr>
            </w:pPr>
            <w:r>
              <w:rPr>
                <w:rFonts w:ascii="Times New Roman" w:hAnsi="Times New Roman" w:eastAsia="宋体" w:cs="Times New Roman"/>
                <w:b/>
                <w:bCs/>
                <w:color w:val="auto"/>
                <w:kern w:val="0"/>
                <w:sz w:val="24"/>
                <w:szCs w:val="24"/>
              </w:rPr>
              <w:t>（6分）</w:t>
            </w:r>
          </w:p>
        </w:tc>
        <w:tc>
          <w:tcPr>
            <w:tcW w:w="8164"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宋体" w:cs="Times New Roman"/>
                <w:color w:val="auto"/>
                <w:kern w:val="0"/>
                <w:sz w:val="24"/>
                <w:szCs w:val="24"/>
              </w:rPr>
            </w:pPr>
            <w:r>
              <w:rPr>
                <w:rFonts w:ascii="Times New Roman" w:hAnsi="Times New Roman" w:eastAsia="宋体" w:cs="Times New Roman"/>
                <w:color w:val="auto"/>
                <w:kern w:val="0"/>
                <w:sz w:val="24"/>
                <w:szCs w:val="24"/>
              </w:rPr>
              <w:t>涉及18种危险化工工艺的，每一种扣3分。</w:t>
            </w:r>
          </w:p>
        </w:tc>
        <w:tc>
          <w:tcPr>
            <w:tcW w:w="194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eastAsia="宋体"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1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b/>
                <w:bCs/>
                <w:color w:val="auto"/>
                <w:kern w:val="44"/>
                <w:sz w:val="24"/>
                <w:szCs w:val="24"/>
              </w:rPr>
            </w:pPr>
          </w:p>
        </w:tc>
        <w:tc>
          <w:tcPr>
            <w:tcW w:w="271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eastAsia="宋体" w:cs="Times New Roman"/>
                <w:b/>
                <w:bCs/>
                <w:color w:val="auto"/>
                <w:kern w:val="0"/>
                <w:sz w:val="24"/>
                <w:szCs w:val="24"/>
              </w:rPr>
            </w:pPr>
            <w:r>
              <w:rPr>
                <w:rFonts w:ascii="Times New Roman" w:hAnsi="Times New Roman" w:eastAsia="宋体" w:cs="Times New Roman"/>
                <w:b/>
                <w:bCs/>
                <w:color w:val="auto"/>
                <w:kern w:val="0"/>
                <w:sz w:val="24"/>
                <w:szCs w:val="24"/>
              </w:rPr>
              <w:t>火灾爆炸危险性</w:t>
            </w:r>
          </w:p>
          <w:p>
            <w:pPr>
              <w:widowControl/>
              <w:spacing w:line="360" w:lineRule="exact"/>
              <w:jc w:val="center"/>
              <w:rPr>
                <w:rFonts w:ascii="Times New Roman" w:hAnsi="Times New Roman" w:eastAsia="宋体" w:cs="Times New Roman"/>
                <w:b/>
                <w:bCs/>
                <w:color w:val="auto"/>
                <w:kern w:val="0"/>
                <w:sz w:val="24"/>
                <w:szCs w:val="24"/>
              </w:rPr>
            </w:pPr>
            <w:r>
              <w:rPr>
                <w:rFonts w:ascii="Times New Roman" w:hAnsi="Times New Roman" w:eastAsia="宋体" w:cs="Times New Roman"/>
                <w:b/>
                <w:bCs/>
                <w:color w:val="auto"/>
                <w:kern w:val="0"/>
                <w:sz w:val="24"/>
                <w:szCs w:val="24"/>
              </w:rPr>
              <w:t>（3分）</w:t>
            </w:r>
          </w:p>
        </w:tc>
        <w:tc>
          <w:tcPr>
            <w:tcW w:w="8164" w:type="dxa"/>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auto"/>
                <w:kern w:val="0"/>
                <w:sz w:val="24"/>
                <w:szCs w:val="24"/>
              </w:rPr>
            </w:pPr>
            <w:r>
              <w:rPr>
                <w:rFonts w:ascii="Times New Roman" w:hAnsi="Times New Roman" w:eastAsia="宋体" w:cs="Times New Roman"/>
                <w:color w:val="auto"/>
                <w:kern w:val="0"/>
                <w:sz w:val="24"/>
                <w:szCs w:val="24"/>
              </w:rPr>
              <w:t>涉及甲类/乙类火灾危险性类别厂房、库房或者罐区的，每涉及一处扣1分。</w:t>
            </w:r>
          </w:p>
        </w:tc>
        <w:tc>
          <w:tcPr>
            <w:tcW w:w="194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eastAsia="宋体"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1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b/>
                <w:bCs/>
                <w:color w:val="auto"/>
                <w:kern w:val="44"/>
                <w:sz w:val="24"/>
                <w:szCs w:val="24"/>
              </w:rPr>
            </w:pPr>
          </w:p>
        </w:tc>
        <w:tc>
          <w:tcPr>
            <w:tcW w:w="27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b/>
                <w:bCs/>
                <w:color w:val="auto"/>
                <w:kern w:val="0"/>
                <w:sz w:val="24"/>
                <w:szCs w:val="24"/>
              </w:rPr>
            </w:pPr>
          </w:p>
        </w:tc>
        <w:tc>
          <w:tcPr>
            <w:tcW w:w="8164" w:type="dxa"/>
            <w:tcBorders>
              <w:top w:val="single" w:color="auto" w:sz="4" w:space="0"/>
              <w:left w:val="single" w:color="auto" w:sz="4" w:space="0"/>
              <w:bottom w:val="single" w:color="auto" w:sz="4" w:space="0"/>
              <w:right w:val="single" w:color="auto" w:sz="4" w:space="0"/>
            </w:tcBorders>
            <w:vAlign w:val="center"/>
          </w:tcPr>
          <w:p>
            <w:pPr>
              <w:widowControl/>
              <w:rPr>
                <w:rFonts w:ascii="Times New Roman" w:hAnsi="Times New Roman" w:eastAsia="宋体" w:cs="Times New Roman"/>
                <w:color w:val="auto"/>
                <w:kern w:val="0"/>
                <w:sz w:val="24"/>
                <w:szCs w:val="24"/>
              </w:rPr>
            </w:pPr>
            <w:r>
              <w:rPr>
                <w:rFonts w:ascii="Times New Roman" w:hAnsi="Times New Roman" w:eastAsia="宋体" w:cs="Times New Roman"/>
                <w:color w:val="auto"/>
                <w:kern w:val="0"/>
                <w:sz w:val="24"/>
                <w:szCs w:val="24"/>
              </w:rPr>
              <w:t>甲类、乙类火灾危险性生产装置内设有办公室、操作室、固定操作岗位或休息室的，每涉及一处扣3分。</w:t>
            </w:r>
          </w:p>
        </w:tc>
        <w:tc>
          <w:tcPr>
            <w:tcW w:w="194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eastAsia="宋体"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155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b/>
                <w:bCs/>
                <w:color w:val="auto"/>
                <w:kern w:val="44"/>
                <w:sz w:val="24"/>
                <w:szCs w:val="24"/>
              </w:rPr>
            </w:pPr>
          </w:p>
        </w:tc>
        <w:tc>
          <w:tcPr>
            <w:tcW w:w="27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b/>
                <w:bCs/>
                <w:color w:val="auto"/>
                <w:kern w:val="0"/>
                <w:sz w:val="24"/>
                <w:szCs w:val="24"/>
              </w:rPr>
            </w:pPr>
          </w:p>
        </w:tc>
        <w:tc>
          <w:tcPr>
            <w:tcW w:w="8164" w:type="dxa"/>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auto"/>
                <w:w w:val="98"/>
                <w:kern w:val="0"/>
                <w:sz w:val="24"/>
                <w:szCs w:val="24"/>
              </w:rPr>
            </w:pPr>
            <w:r>
              <w:rPr>
                <w:rFonts w:ascii="Times New Roman" w:hAnsi="Times New Roman" w:eastAsia="宋体" w:cs="Times New Roman"/>
                <w:color w:val="auto"/>
                <w:kern w:val="0"/>
                <w:sz w:val="24"/>
                <w:szCs w:val="24"/>
              </w:rPr>
              <w:t>涉及甲类、乙类火灾危险性罐区、气柜与加热炉等产生明火的设施、装置间距，不符合GB50160防火间距要求的，</w:t>
            </w:r>
            <w:r>
              <w:rPr>
                <w:rFonts w:ascii="Times New Roman" w:hAnsi="Times New Roman" w:eastAsia="宋体" w:cs="Times New Roman"/>
                <w:color w:val="auto"/>
                <w:w w:val="98"/>
                <w:kern w:val="0"/>
                <w:sz w:val="24"/>
                <w:szCs w:val="24"/>
              </w:rPr>
              <w:t>扣3分。</w:t>
            </w:r>
          </w:p>
        </w:tc>
        <w:tc>
          <w:tcPr>
            <w:tcW w:w="194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Times New Roman" w:hAnsi="Times New Roman" w:eastAsia="宋体" w:cs="Times New Roman"/>
                <w:color w:val="auto"/>
                <w:kern w:val="0"/>
                <w:sz w:val="24"/>
                <w:szCs w:val="24"/>
              </w:rPr>
            </w:pPr>
          </w:p>
        </w:tc>
      </w:tr>
    </w:tbl>
    <w:p>
      <w:pPr>
        <w:spacing w:line="400" w:lineRule="exact"/>
        <w:rPr>
          <w:rFonts w:hint="eastAsia" w:ascii="宋体" w:hAnsi="宋体" w:eastAsia="宋体" w:cs="Times New Roman"/>
          <w:color w:val="auto"/>
          <w:sz w:val="24"/>
          <w:szCs w:val="24"/>
        </w:rPr>
      </w:pPr>
      <w:r>
        <w:rPr>
          <w:rFonts w:ascii="宋体" w:hAnsi="宋体" w:eastAsia="宋体" w:cs="Times New Roman"/>
          <w:color w:val="auto"/>
          <w:sz w:val="24"/>
          <w:szCs w:val="24"/>
        </w:rPr>
        <w:t>注：1.每个项目分值扣完为止，涉及多个重大危险源单元时累计扣分，最低为0分；2.同一物质涉及多项条款时，按照就高原则扣分，不重复扣分；3.“火灾爆炸危险性”评分项厂房（含敞开、半敞开厂房）、库房以独立建筑计为一处，罐区以独立防火堤计为一处，无防火堤的气柜、气罐、液氧槽等以单一设备计为一处。</w:t>
      </w:r>
    </w:p>
    <w:p>
      <w:pPr>
        <w:spacing w:line="400" w:lineRule="exact"/>
        <w:rPr>
          <w:rFonts w:hint="eastAsia" w:ascii="宋体" w:hAnsi="宋体" w:eastAsia="宋体" w:cs="Times New Roman"/>
          <w:color w:val="auto"/>
          <w:sz w:val="24"/>
          <w:szCs w:val="24"/>
        </w:rPr>
      </w:pPr>
    </w:p>
    <w:p>
      <w:pPr>
        <w:spacing w:line="400" w:lineRule="exact"/>
        <w:rPr>
          <w:rFonts w:hint="eastAsia" w:ascii="宋体" w:hAnsi="宋体" w:eastAsia="宋体" w:cs="Times New Roman"/>
          <w:color w:val="auto"/>
          <w:sz w:val="24"/>
          <w:szCs w:val="24"/>
        </w:rPr>
        <w:sectPr>
          <w:pgSz w:w="16838" w:h="11906" w:orient="landscape"/>
          <w:pgMar w:top="1134" w:right="1134" w:bottom="1134" w:left="1134" w:header="851" w:footer="992" w:gutter="0"/>
          <w:cols w:space="425" w:num="1"/>
          <w:docGrid w:linePitch="312" w:charSpace="0"/>
        </w:sectPr>
      </w:pPr>
      <w:bookmarkStart w:id="133" w:name="_GoBack"/>
      <w:bookmarkEnd w:id="133"/>
    </w:p>
    <w:p>
      <w:pPr>
        <w:jc w:val="left"/>
        <w:outlineLvl w:val="1"/>
        <w:rPr>
          <w:rFonts w:hint="eastAsia" w:ascii="宋体" w:hAnsi="宋体" w:eastAsia="宋体"/>
          <w:b/>
          <w:bCs/>
          <w:color w:val="auto"/>
          <w:sz w:val="30"/>
          <w:szCs w:val="30"/>
        </w:rPr>
      </w:pPr>
      <w:bookmarkStart w:id="49" w:name="_Toc237556457"/>
      <w:bookmarkStart w:id="50" w:name="OLE_LINK46"/>
      <w:bookmarkStart w:id="51" w:name="OLE_LINK45"/>
      <w:r>
        <w:rPr>
          <w:rFonts w:hint="eastAsia" w:ascii="宋体" w:hAnsi="宋体" w:eastAsia="宋体"/>
          <w:b/>
          <w:bCs/>
          <w:color w:val="auto"/>
          <w:sz w:val="30"/>
          <w:szCs w:val="30"/>
        </w:rPr>
        <w:t>附件4-1</w:t>
      </w:r>
      <w:r>
        <w:rPr>
          <w:rFonts w:ascii="宋体" w:hAnsi="宋体" w:eastAsia="宋体"/>
          <w:b/>
          <w:bCs/>
          <w:color w:val="auto"/>
          <w:sz w:val="30"/>
          <w:szCs w:val="30"/>
        </w:rPr>
        <w:t>：设计</w:t>
      </w:r>
      <w:r>
        <w:rPr>
          <w:rFonts w:hint="eastAsia" w:ascii="宋体" w:hAnsi="宋体" w:eastAsia="宋体"/>
          <w:b/>
          <w:bCs/>
          <w:color w:val="auto"/>
          <w:sz w:val="30"/>
          <w:szCs w:val="30"/>
        </w:rPr>
        <w:t>与总图</w:t>
      </w:r>
      <w:r>
        <w:rPr>
          <w:rFonts w:ascii="宋体" w:hAnsi="宋体" w:eastAsia="宋体"/>
          <w:b/>
          <w:bCs/>
          <w:color w:val="auto"/>
          <w:sz w:val="30"/>
          <w:szCs w:val="30"/>
        </w:rPr>
        <w:t>专业检查表</w:t>
      </w:r>
      <w:bookmarkEnd w:id="49"/>
    </w:p>
    <w:bookmarkEnd w:id="50"/>
    <w:bookmarkEnd w:id="51"/>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7"/>
        <w:gridCol w:w="636"/>
        <w:gridCol w:w="2093"/>
        <w:gridCol w:w="2374"/>
        <w:gridCol w:w="1673"/>
        <w:gridCol w:w="1926"/>
        <w:gridCol w:w="1985"/>
        <w:gridCol w:w="1875"/>
        <w:gridCol w:w="698"/>
        <w:gridCol w:w="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color w:val="auto"/>
                <w:szCs w:val="21"/>
              </w:rPr>
            </w:pPr>
            <w:bookmarkStart w:id="52" w:name="OLE_LINK34"/>
            <w:bookmarkStart w:id="53" w:name="OLE_LINK33"/>
            <w:r>
              <w:rPr>
                <w:rFonts w:ascii="Times New Roman" w:hAnsi="Times New Roman" w:eastAsia="宋体" w:cs="Times New Roman"/>
                <w:b/>
                <w:color w:val="auto"/>
                <w:szCs w:val="21"/>
              </w:rPr>
              <w:t>序号</w:t>
            </w:r>
          </w:p>
        </w:tc>
        <w:tc>
          <w:tcPr>
            <w:tcW w:w="63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要素</w:t>
            </w:r>
          </w:p>
        </w:tc>
        <w:tc>
          <w:tcPr>
            <w:tcW w:w="209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检查内容</w:t>
            </w:r>
          </w:p>
        </w:tc>
        <w:tc>
          <w:tcPr>
            <w:tcW w:w="237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检查依据</w:t>
            </w:r>
          </w:p>
        </w:tc>
        <w:tc>
          <w:tcPr>
            <w:tcW w:w="167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检查方式</w:t>
            </w:r>
          </w:p>
        </w:tc>
        <w:tc>
          <w:tcPr>
            <w:tcW w:w="192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检查情况</w:t>
            </w:r>
          </w:p>
        </w:tc>
        <w:tc>
          <w:tcPr>
            <w:tcW w:w="19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检查问题</w:t>
            </w:r>
          </w:p>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（照片）</w:t>
            </w:r>
          </w:p>
        </w:tc>
        <w:tc>
          <w:tcPr>
            <w:tcW w:w="187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整改建议</w:t>
            </w:r>
          </w:p>
        </w:tc>
        <w:tc>
          <w:tcPr>
            <w:tcW w:w="69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重大</w:t>
            </w:r>
          </w:p>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隐患</w:t>
            </w:r>
          </w:p>
        </w:tc>
        <w:tc>
          <w:tcPr>
            <w:tcW w:w="77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不符合项等级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w:t>
            </w:r>
          </w:p>
        </w:tc>
        <w:tc>
          <w:tcPr>
            <w:tcW w:w="636"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设计管理</w:t>
            </w:r>
          </w:p>
        </w:tc>
        <w:tc>
          <w:tcPr>
            <w:tcW w:w="20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化工生产装置或储存设施未经正规设计且未按照要求开展安全设计诊断；建设项目周边条件、主要技术、工艺路线、产品方案或者装置规模发生重大变化未重新进行安全设施设计；涉及 “两重点一重大”的大型建设项目，其设计单位资质应为工程设计综合资质或相应工程设计化工石化医药、石油天然气（海洋石油）行业、专业甲级资质。</w:t>
            </w:r>
          </w:p>
        </w:tc>
        <w:tc>
          <w:tcPr>
            <w:tcW w:w="237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《关于进一步加强危险化学品建设项目安全设计管理的通知》（安监总管三〔2013〕76号）</w:t>
            </w:r>
          </w:p>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w:t>
            </w:r>
            <w:r>
              <w:rPr>
                <w:rFonts w:ascii="Times New Roman" w:hAnsi="Times New Roman" w:eastAsia="宋体" w:cs="Times New Roman"/>
                <w:color w:val="auto"/>
                <w:szCs w:val="21"/>
              </w:rPr>
              <w:t>危险化学品生产企业安全生产许可证实施办法》（国家安全监管总局令第41号公布、第79号修正）第九条</w:t>
            </w:r>
          </w:p>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《化工和危险化学品生产经营企业重大生产安全事故隐患判定准则》（AQ 3067-2026）第5.2.1条</w:t>
            </w:r>
          </w:p>
        </w:tc>
        <w:tc>
          <w:tcPr>
            <w:tcW w:w="167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审查项目是否正规设计。核实是否存在未经过正规设计的在役装置，涉及危险化工工艺、重点监管危险化学品的装置，由具有综合甲级资质或者化工石化专业甲级设计资质的化工石化设计单位设计。</w:t>
            </w:r>
          </w:p>
        </w:tc>
        <w:tc>
          <w:tcPr>
            <w:tcW w:w="192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9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87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698"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7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b/>
                <w:bCs/>
                <w:color w:val="auto"/>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auto"/>
                <w:szCs w:val="21"/>
              </w:rPr>
            </w:pPr>
          </w:p>
        </w:tc>
        <w:tc>
          <w:tcPr>
            <w:tcW w:w="20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工艺技术来源不明；国外引进或国内转让的生产工艺技术，未提供工艺技术的设计基础、工艺说明、工艺设备清单、工艺控制方式、控制参数以及过程危险性分析报告等工艺技术资料。</w:t>
            </w:r>
          </w:p>
          <w:p>
            <w:pPr>
              <w:widowControl/>
              <w:spacing w:line="280" w:lineRule="exact"/>
              <w:textAlignment w:val="center"/>
              <w:rPr>
                <w:rFonts w:ascii="Times New Roman" w:hAnsi="Times New Roman" w:eastAsia="宋体" w:cs="Times New Roman"/>
                <w:color w:val="auto"/>
                <w:szCs w:val="21"/>
              </w:rPr>
            </w:pPr>
          </w:p>
        </w:tc>
        <w:tc>
          <w:tcPr>
            <w:tcW w:w="237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《化工和危险化学品生产经营企业重大生产安全事故隐患判定准则》（AQ 3067-2026）第5.3.3条</w:t>
            </w:r>
          </w:p>
        </w:tc>
        <w:tc>
          <w:tcPr>
            <w:tcW w:w="167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通过查阅企业的相关技术转让、工艺包购买、专利使用等协议，核实其生产工艺来源的可靠性。</w:t>
            </w:r>
          </w:p>
        </w:tc>
        <w:tc>
          <w:tcPr>
            <w:tcW w:w="192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9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87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698"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7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b/>
                <w:bCs/>
                <w:color w:val="auto"/>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3</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auto"/>
                <w:szCs w:val="21"/>
              </w:rPr>
            </w:pPr>
          </w:p>
        </w:tc>
        <w:tc>
          <w:tcPr>
            <w:tcW w:w="20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危险化学品建设项目应取得安全条件审查意见书。已经通过安全条件审查的危险化学品建设项目，当变更内容符合《危险化学品建设项目安全监督管理办法》第十五条规定的，应当重新进行安全条件论证和</w:t>
            </w:r>
            <w:bookmarkStart w:id="54" w:name="OLE_LINK14"/>
            <w:r>
              <w:rPr>
                <w:rFonts w:ascii="Times New Roman" w:hAnsi="Times New Roman" w:eastAsia="宋体" w:cs="Times New Roman"/>
                <w:color w:val="auto"/>
                <w:szCs w:val="21"/>
              </w:rPr>
              <w:t>安全评价</w:t>
            </w:r>
            <w:bookmarkEnd w:id="54"/>
            <w:r>
              <w:rPr>
                <w:rFonts w:ascii="Times New Roman" w:hAnsi="Times New Roman" w:eastAsia="宋体" w:cs="Times New Roman"/>
                <w:color w:val="auto"/>
                <w:szCs w:val="21"/>
              </w:rPr>
              <w:t>，并申请审查。</w:t>
            </w:r>
          </w:p>
        </w:tc>
        <w:tc>
          <w:tcPr>
            <w:tcW w:w="237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《危险化学品建设项目安全监督管理办法》（国家安全监管总局令第45号公布、第79号修正）</w:t>
            </w:r>
          </w:p>
        </w:tc>
        <w:tc>
          <w:tcPr>
            <w:tcW w:w="167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查阅企业安全评价报告，安全设计专篇，安全生产现状评估报告。</w:t>
            </w:r>
          </w:p>
        </w:tc>
        <w:tc>
          <w:tcPr>
            <w:tcW w:w="192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9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87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698"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7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b/>
                <w:color w:val="auto"/>
                <w:szCs w:val="21"/>
              </w:rPr>
            </w:pPr>
            <w:r>
              <w:rPr>
                <w:rFonts w:ascii="Times New Roman" w:hAnsi="Times New Roman" w:eastAsia="宋体" w:cs="Times New Roman"/>
                <w:b/>
                <w:bCs/>
                <w:color w:val="auto"/>
                <w:szCs w:val="21"/>
              </w:rPr>
              <w:t>B级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4</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auto"/>
                <w:szCs w:val="21"/>
              </w:rPr>
            </w:pPr>
          </w:p>
        </w:tc>
        <w:tc>
          <w:tcPr>
            <w:tcW w:w="20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危险化学品建设项目应取得安全设施设计审查意见书。已经通过安全设施设计审查的危险化学品建设项目，当变更内容符合《危险化学品建设项目安全监督管理办法》第二十一条规定的，建设单位应当向原审查部门申请建设项目安全设施变更设计的审查。</w:t>
            </w:r>
          </w:p>
        </w:tc>
        <w:tc>
          <w:tcPr>
            <w:tcW w:w="2374"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Times New Roman" w:hAnsi="Times New Roman" w:eastAsia="宋体" w:cs="Times New Roman"/>
                <w:color w:val="auto"/>
                <w:szCs w:val="21"/>
              </w:rPr>
            </w:pPr>
            <w:r>
              <w:rPr>
                <w:rFonts w:ascii="Times New Roman" w:hAnsi="Times New Roman" w:eastAsia="宋体" w:cs="Times New Roman"/>
                <w:color w:val="auto"/>
                <w:szCs w:val="21"/>
              </w:rPr>
              <w:t>《危险化学品建设项目安全监督管理办法》（国家安全监管总局令第45号公布、第79号修正）</w:t>
            </w:r>
          </w:p>
          <w:p>
            <w:pPr>
              <w:spacing w:line="240" w:lineRule="exact"/>
              <w:rPr>
                <w:rFonts w:ascii="Times New Roman" w:hAnsi="Times New Roman" w:eastAsia="宋体" w:cs="Times New Roman"/>
                <w:color w:val="auto"/>
                <w:szCs w:val="21"/>
              </w:rPr>
            </w:pPr>
            <w:r>
              <w:rPr>
                <w:rFonts w:ascii="Times New Roman" w:hAnsi="Times New Roman" w:eastAsia="宋体" w:cs="Times New Roman"/>
                <w:color w:val="auto"/>
                <w:szCs w:val="21"/>
              </w:rPr>
              <w:t>《危险化学品生产建设项目安全风险防控指南（试行）》（应急〔2022〕52号）</w:t>
            </w:r>
          </w:p>
        </w:tc>
        <w:tc>
          <w:tcPr>
            <w:tcW w:w="167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查阅企业安全评价报告，安全设计专篇，安全生产现状评估报告。</w:t>
            </w:r>
          </w:p>
        </w:tc>
        <w:tc>
          <w:tcPr>
            <w:tcW w:w="192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9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87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698"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7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b/>
                <w:bCs/>
                <w:color w:val="auto"/>
                <w:szCs w:val="21"/>
              </w:rPr>
              <w:t>B级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5</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auto"/>
                <w:szCs w:val="21"/>
              </w:rPr>
            </w:pPr>
          </w:p>
        </w:tc>
        <w:tc>
          <w:tcPr>
            <w:tcW w:w="20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建设项目试生产前未完成</w:t>
            </w:r>
            <w:bookmarkStart w:id="55" w:name="OLE_LINK15"/>
            <w:r>
              <w:rPr>
                <w:rFonts w:ascii="Times New Roman" w:hAnsi="Times New Roman" w:eastAsia="宋体" w:cs="Times New Roman"/>
                <w:color w:val="auto"/>
                <w:szCs w:val="21"/>
              </w:rPr>
              <w:t>“三查四定”</w:t>
            </w:r>
            <w:bookmarkEnd w:id="55"/>
            <w:r>
              <w:rPr>
                <w:rFonts w:ascii="Times New Roman" w:hAnsi="Times New Roman" w:eastAsia="宋体" w:cs="Times New Roman"/>
                <w:color w:val="auto"/>
                <w:szCs w:val="21"/>
              </w:rPr>
              <w:t>；试生产方案未经审查；未进行PSSR即投料开车。</w:t>
            </w:r>
          </w:p>
        </w:tc>
        <w:tc>
          <w:tcPr>
            <w:tcW w:w="237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《建设项目安全设施“三同时”监督管理办法》（国家安全监管总局令第36号公布、第77号修正）</w:t>
            </w:r>
          </w:p>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《危险化学品建设项目安全监督管理办法》（国家安全监管总局令第45号公布、第79号修正）</w:t>
            </w:r>
          </w:p>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《化工和危险化学品生产经营企业重大生产安全事故隐患判定准则》（AQ 3067-2026）第5.5.1条</w:t>
            </w:r>
          </w:p>
        </w:tc>
        <w:tc>
          <w:tcPr>
            <w:tcW w:w="1673"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宋体" w:cs="Times New Roman"/>
                <w:color w:val="auto"/>
                <w:szCs w:val="21"/>
              </w:rPr>
            </w:pPr>
            <w:r>
              <w:rPr>
                <w:rFonts w:ascii="Times New Roman" w:hAnsi="Times New Roman" w:eastAsia="宋体" w:cs="Times New Roman"/>
                <w:color w:val="auto"/>
                <w:szCs w:val="21"/>
              </w:rPr>
              <w:t>查阅“三查四定”资料，企业是否对查出的问题予以处理；是否编制试生产方案并组织专家审查，试生产方案内容与现场建设状况应一致；是否组织相关人员开展开车前安全检查。</w:t>
            </w:r>
          </w:p>
        </w:tc>
        <w:tc>
          <w:tcPr>
            <w:tcW w:w="192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9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87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698"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7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b/>
                <w:bCs/>
                <w:color w:val="auto"/>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6</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auto"/>
                <w:szCs w:val="21"/>
              </w:rPr>
            </w:pPr>
          </w:p>
        </w:tc>
        <w:tc>
          <w:tcPr>
            <w:tcW w:w="20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新改扩建设项目应按规定开展</w:t>
            </w:r>
            <w:bookmarkStart w:id="56" w:name="OLE_LINK16"/>
            <w:r>
              <w:rPr>
                <w:rFonts w:ascii="Times New Roman" w:hAnsi="Times New Roman" w:eastAsia="宋体" w:cs="Times New Roman"/>
                <w:color w:val="auto"/>
                <w:szCs w:val="21"/>
              </w:rPr>
              <w:t>安全设施竣工验收评价</w:t>
            </w:r>
            <w:bookmarkEnd w:id="56"/>
            <w:r>
              <w:rPr>
                <w:rFonts w:ascii="Times New Roman" w:hAnsi="Times New Roman" w:eastAsia="宋体" w:cs="Times New Roman"/>
                <w:color w:val="auto"/>
                <w:szCs w:val="21"/>
              </w:rPr>
              <w:t>，取得专家论证意见。</w:t>
            </w:r>
          </w:p>
        </w:tc>
        <w:tc>
          <w:tcPr>
            <w:tcW w:w="237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《建设项目安全设施“三同时”监督管理办法》（国家安全监管总局令第36号公布、第77号修正）</w:t>
            </w:r>
          </w:p>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《危险化学品建设项目安全监督管理办法》（国家安全监管总局令第45号公布、第79号修正）</w:t>
            </w:r>
          </w:p>
        </w:tc>
        <w:tc>
          <w:tcPr>
            <w:tcW w:w="167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查安全设施竣工验收评价报告</w:t>
            </w:r>
          </w:p>
        </w:tc>
        <w:tc>
          <w:tcPr>
            <w:tcW w:w="192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9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87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698"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7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b/>
                <w:bCs/>
                <w:color w:val="auto"/>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7</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auto"/>
                <w:szCs w:val="21"/>
              </w:rPr>
            </w:pPr>
          </w:p>
        </w:tc>
        <w:tc>
          <w:tcPr>
            <w:tcW w:w="20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涉及“两重点一重大”和首次工业化设计的建设项目，应在基础设计阶段开展HAZOP分析，并进行</w:t>
            </w:r>
            <w:bookmarkStart w:id="57" w:name="OLE_LINK17"/>
            <w:r>
              <w:rPr>
                <w:rFonts w:ascii="Times New Roman" w:hAnsi="Times New Roman" w:eastAsia="宋体" w:cs="Times New Roman"/>
                <w:color w:val="auto"/>
                <w:szCs w:val="21"/>
              </w:rPr>
              <w:t>安全完整性等级</w:t>
            </w:r>
            <w:bookmarkEnd w:id="57"/>
            <w:r>
              <w:rPr>
                <w:rFonts w:ascii="Times New Roman" w:hAnsi="Times New Roman" w:eastAsia="宋体" w:cs="Times New Roman"/>
                <w:color w:val="auto"/>
                <w:szCs w:val="21"/>
              </w:rPr>
              <w:t>（SIL）定级评估。</w:t>
            </w:r>
          </w:p>
        </w:tc>
        <w:tc>
          <w:tcPr>
            <w:tcW w:w="237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《关于进一步加强危险化学品建设项目安全设计管理的通知》（安监总管三〔2013〕76号）</w:t>
            </w:r>
          </w:p>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《关于加强化工过程安全管理的指导意见》（安监总管三〔2013〕88号）</w:t>
            </w:r>
          </w:p>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《危险与可操作性分析质量控制与审查导则》T/CCSAS001-2018</w:t>
            </w:r>
          </w:p>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《危险与可操作性分析（HAZOP分析）应用导则》AQ/T3049-2013</w:t>
            </w:r>
          </w:p>
        </w:tc>
        <w:tc>
          <w:tcPr>
            <w:tcW w:w="167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w:t>
            </w:r>
            <w:r>
              <w:rPr>
                <w:rFonts w:ascii="Times New Roman" w:hAnsi="Times New Roman" w:eastAsia="宋体" w:cs="Times New Roman"/>
                <w:color w:val="auto"/>
                <w:szCs w:val="21"/>
              </w:rPr>
              <w:t>HAZOP分析、SIL定级报告</w:t>
            </w:r>
          </w:p>
        </w:tc>
        <w:tc>
          <w:tcPr>
            <w:tcW w:w="192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9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87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698"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7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b/>
                <w:bCs/>
                <w:color w:val="auto"/>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8</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auto"/>
                <w:szCs w:val="21"/>
              </w:rPr>
            </w:pPr>
          </w:p>
        </w:tc>
        <w:tc>
          <w:tcPr>
            <w:tcW w:w="20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安全评价报告、安全设施设计专篇、反应安全风险评估、安全可靠性论证中提出的安全对策措施和建议应在项目设计和建设过程中逐一落实。</w:t>
            </w:r>
          </w:p>
          <w:p>
            <w:pPr>
              <w:widowControl/>
              <w:spacing w:line="280" w:lineRule="exact"/>
              <w:textAlignment w:val="center"/>
              <w:rPr>
                <w:rFonts w:ascii="Times New Roman" w:hAnsi="Times New Roman" w:eastAsia="宋体" w:cs="Times New Roman"/>
                <w:color w:val="auto"/>
                <w:szCs w:val="21"/>
              </w:rPr>
            </w:pPr>
          </w:p>
        </w:tc>
        <w:tc>
          <w:tcPr>
            <w:tcW w:w="237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《危险化学品建设项目安全监督管理办法》（国家安全监管总局令第45号公布、第79号修正）</w:t>
            </w:r>
          </w:p>
          <w:p>
            <w:pPr>
              <w:widowControl/>
              <w:spacing w:line="280" w:lineRule="exact"/>
              <w:jc w:val="center"/>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《化工建设项目安全设计管理导则》</w:t>
            </w:r>
          </w:p>
          <w:p>
            <w:pPr>
              <w:widowControl/>
              <w:spacing w:line="280" w:lineRule="exact"/>
              <w:jc w:val="center"/>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AQ/T3033-2022第5.2.3条</w:t>
            </w:r>
          </w:p>
        </w:tc>
        <w:tc>
          <w:tcPr>
            <w:tcW w:w="167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查阅相关报告</w:t>
            </w:r>
          </w:p>
        </w:tc>
        <w:tc>
          <w:tcPr>
            <w:tcW w:w="192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9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87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698"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7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b/>
                <w:bCs/>
                <w:color w:val="auto"/>
                <w:szCs w:val="21"/>
              </w:rPr>
              <w:t>B级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9</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auto"/>
                <w:szCs w:val="21"/>
              </w:rPr>
            </w:pPr>
          </w:p>
        </w:tc>
        <w:tc>
          <w:tcPr>
            <w:tcW w:w="20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企业应当依法委托具备国家规定资质的安全评价机构进行安全评价，并按照安全评价报告的意见对存在的安全生产问题进行整改。</w:t>
            </w:r>
          </w:p>
          <w:p>
            <w:pPr>
              <w:widowControl/>
              <w:spacing w:line="280" w:lineRule="exact"/>
              <w:textAlignment w:val="center"/>
              <w:rPr>
                <w:rFonts w:ascii="Times New Roman" w:hAnsi="Times New Roman" w:eastAsia="宋体" w:cs="Times New Roman"/>
                <w:color w:val="auto"/>
                <w:szCs w:val="21"/>
              </w:rPr>
            </w:pPr>
          </w:p>
        </w:tc>
        <w:tc>
          <w:tcPr>
            <w:tcW w:w="237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《危险化学品生产企业安全生产许可证实施办法》（国家安全生产监督管理总局令第41号）第十九条</w:t>
            </w:r>
          </w:p>
        </w:tc>
        <w:tc>
          <w:tcPr>
            <w:tcW w:w="167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查阅安全评价报告</w:t>
            </w:r>
          </w:p>
        </w:tc>
        <w:tc>
          <w:tcPr>
            <w:tcW w:w="192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9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87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698"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7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b/>
                <w:color w:val="auto"/>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10</w:t>
            </w:r>
          </w:p>
        </w:tc>
        <w:tc>
          <w:tcPr>
            <w:tcW w:w="636"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总图布置</w:t>
            </w:r>
          </w:p>
        </w:tc>
        <w:tc>
          <w:tcPr>
            <w:tcW w:w="20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应根据外部安全防护距离评估结果和多米诺效应分析结果进行工厂选址和总平面布置。涉及“两重点一重大”的生产装置、储存设施的外部安全防护距离应满足国家标准要求。</w:t>
            </w:r>
          </w:p>
        </w:tc>
        <w:tc>
          <w:tcPr>
            <w:tcW w:w="237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《危险化学品生产装置和储存设施外部安全防护距离确定方法》GB/T37243-2019</w:t>
            </w:r>
          </w:p>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《危险化学品生产装置和储存设施风险基准》GB36894-2018</w:t>
            </w:r>
          </w:p>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《危险化学品生产建设项目安全风险防控指南（试行）》（应急〔2022〕52号）</w:t>
            </w:r>
          </w:p>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《化工和危险化学品生产经营企业重大生产安全事故隐患判定准则》（AQ 3067-2026）第5.2.2条</w:t>
            </w:r>
          </w:p>
        </w:tc>
        <w:tc>
          <w:tcPr>
            <w:tcW w:w="167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核实重大危险源评价报告是否依据《危险化学品生产装置和储存设施风险基准》（GB 36894）对周边边防护目标个人风险及社会风险进行评价；现场核实企业与其周边的相互影响。包括建设项目内在的危险、有害因素和建设项目可能发生的各类事故，对建设项目周边单位生产、经营活动或者居民生活的影响；建设项目周边单位生产、经营活动或者居民生活对建设项目生产的影响。</w:t>
            </w:r>
          </w:p>
        </w:tc>
        <w:tc>
          <w:tcPr>
            <w:tcW w:w="192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9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87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698"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7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b/>
                <w:bCs/>
                <w:color w:val="auto"/>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auto"/>
                <w:szCs w:val="21"/>
              </w:rPr>
            </w:pPr>
          </w:p>
        </w:tc>
        <w:tc>
          <w:tcPr>
            <w:tcW w:w="20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企业总平面布置应根据工厂的性质、规模、生产流程、原料产品运输、防火、防爆、施工、检修、安全管理等要求，并结合当地自然条</w:t>
            </w:r>
            <w:r>
              <w:rPr>
                <w:rFonts w:ascii="Times New Roman" w:hAnsi="Times New Roman" w:eastAsia="宋体" w:cs="Times New Roman"/>
                <w:color w:val="auto"/>
                <w:szCs w:val="21"/>
              </w:rPr>
              <w:t>件进行总平面布置。企业行政办公区、后勤保障区、集中控制区和生产作业区四区实施技术分离整治工作。企业总平面布置、P&amp;ID图竣工图应与现场一致。</w:t>
            </w:r>
          </w:p>
        </w:tc>
        <w:tc>
          <w:tcPr>
            <w:tcW w:w="237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《化工企业总图运输设计规范》GB50489-2009</w:t>
            </w:r>
          </w:p>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《危险化学品生产企业安全生产许可证实施办法》（国家安全监管总局令第41号公布、第79号修正）</w:t>
            </w:r>
          </w:p>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《云南省应急管理厅关于印发云南省危险化学品生产储存企业四区分离技术指导意见的通知》（云应急【2021】4号）</w:t>
            </w:r>
          </w:p>
        </w:tc>
        <w:tc>
          <w:tcPr>
            <w:tcW w:w="167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查阅评价报告、四区分离整改验收意见，现场核查（平面布局及装置设备布置符合性情况；爆炸危险区域划分符合性情况；多米诺效应安全防范措施落实情况。）</w:t>
            </w:r>
          </w:p>
        </w:tc>
        <w:tc>
          <w:tcPr>
            <w:tcW w:w="192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9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87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698"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7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b/>
                <w:bCs/>
                <w:color w:val="auto"/>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12</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auto"/>
                <w:szCs w:val="21"/>
              </w:rPr>
            </w:pPr>
          </w:p>
        </w:tc>
        <w:tc>
          <w:tcPr>
            <w:tcW w:w="20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企业内生产装置、储存设施、公辅工程、重要设施等内、外部防火间距应满足GB50160、GB51283、GB50016等国家相关标准规范的要求。</w:t>
            </w:r>
          </w:p>
        </w:tc>
        <w:tc>
          <w:tcPr>
            <w:tcW w:w="237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《石油化工企业设计防火标准》GB50160-2008（2018年版）</w:t>
            </w:r>
          </w:p>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《精细化工企业工程设计防火标准》GB51283-2020</w:t>
            </w:r>
          </w:p>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《建筑设计防火规范）》GB50016-2014（2018版）</w:t>
            </w:r>
          </w:p>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《危险化学品生产企业安全生产许可证实施办法》（国家安全监管总局令第41号公布、第79号修正）第九条</w:t>
            </w:r>
          </w:p>
        </w:tc>
        <w:tc>
          <w:tcPr>
            <w:tcW w:w="167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阅评价报告，企业内部设施之间防火间距应符合相关规范要求。按照“两重点一重大”的原则，抽查主要装置关键设备、大型储罐、液化烃储罐、气柜、控制室、机柜间、装卸车设施以及人员集中场所等，检查竖向布置，包括装置与装置或罐区间的防护距离，也包括装置内设备设施的防护距离。</w:t>
            </w:r>
          </w:p>
        </w:tc>
        <w:tc>
          <w:tcPr>
            <w:tcW w:w="192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9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87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698"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7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b/>
                <w:bCs/>
                <w:color w:val="auto"/>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13</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auto"/>
                <w:szCs w:val="21"/>
              </w:rPr>
            </w:pPr>
          </w:p>
        </w:tc>
        <w:tc>
          <w:tcPr>
            <w:tcW w:w="20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液化烃储罐区的液化烃专用泵布置在管廊下，不符合AQ3059-2023的要求。</w:t>
            </w:r>
          </w:p>
        </w:tc>
        <w:tc>
          <w:tcPr>
            <w:tcW w:w="237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《化工企业液化烃储罐区安全管理规范》AQ3059-2023</w:t>
            </w:r>
          </w:p>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《化工和危险化学品生产经营企业重大生产安全事故隐患判定准则》（AQ3067-2026）第5.2.9条</w:t>
            </w:r>
          </w:p>
        </w:tc>
        <w:tc>
          <w:tcPr>
            <w:tcW w:w="167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现场核查</w:t>
            </w:r>
          </w:p>
        </w:tc>
        <w:tc>
          <w:tcPr>
            <w:tcW w:w="192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9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87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698"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7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b/>
                <w:color w:val="auto"/>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14</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auto"/>
                <w:szCs w:val="21"/>
              </w:rPr>
            </w:pPr>
          </w:p>
        </w:tc>
        <w:tc>
          <w:tcPr>
            <w:tcW w:w="20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bookmarkStart w:id="58" w:name="OLE_LINK19"/>
            <w:r>
              <w:rPr>
                <w:rFonts w:ascii="Times New Roman" w:hAnsi="Times New Roman" w:eastAsia="宋体" w:cs="Times New Roman"/>
                <w:color w:val="auto"/>
                <w:szCs w:val="21"/>
              </w:rPr>
              <w:t>控制室面向</w:t>
            </w:r>
            <w:bookmarkEnd w:id="58"/>
            <w:r>
              <w:rPr>
                <w:rFonts w:ascii="Times New Roman" w:hAnsi="Times New Roman" w:eastAsia="宋体" w:cs="Times New Roman"/>
                <w:color w:val="auto"/>
                <w:szCs w:val="21"/>
              </w:rPr>
              <w:t>具有火灾、爆炸危险性装置一侧不应有门窗、孔洞，并应满足防火防爆要求。</w:t>
            </w:r>
          </w:p>
        </w:tc>
        <w:tc>
          <w:tcPr>
            <w:tcW w:w="237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《石油化工企业设计防火标准》GB50160-2008（2018年版）第5.2.18条</w:t>
            </w:r>
          </w:p>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《建筑防火通用规范》GB55037-2022第4.2.2条</w:t>
            </w:r>
          </w:p>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《石油化工建筑物抗爆设计标准》（GB/T 50779-2022）</w:t>
            </w:r>
          </w:p>
        </w:tc>
        <w:tc>
          <w:tcPr>
            <w:tcW w:w="167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核实人员聚集的控制室和有 DCS控制系统安全运行职责的机柜间与周边装置的间距应满足要求，且开有门窗、孔洞的一侧不得朝向易燃易爆场所，面向有火灾危险性设备侧的外墙应为无门窗洞口、耐火极限不低于3h的不燃烧材料实体墙。</w:t>
            </w:r>
          </w:p>
        </w:tc>
        <w:tc>
          <w:tcPr>
            <w:tcW w:w="192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9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87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698"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7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15</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auto"/>
                <w:szCs w:val="21"/>
              </w:rPr>
            </w:pPr>
          </w:p>
        </w:tc>
        <w:tc>
          <w:tcPr>
            <w:tcW w:w="20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涉及甲、乙类火灾危险性、爆炸危险性、急性毒性（类别1、类别2）化学品或构成爆炸性粉尘环境的厂房（含装置或车间）或仓库内设置办公室、休息室、外操室（含人员固定操作岗位）、巡检室等人员聚集场所。</w:t>
            </w:r>
          </w:p>
        </w:tc>
        <w:tc>
          <w:tcPr>
            <w:tcW w:w="237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《石油化工企业设计防火标准》GB50160-2008（2018年版）第5.2.18条</w:t>
            </w:r>
          </w:p>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w:t>
            </w:r>
            <w:r>
              <w:rPr>
                <w:color w:val="auto"/>
              </w:rPr>
              <w:fldChar w:fldCharType="begin"/>
            </w:r>
            <w:r>
              <w:rPr>
                <w:color w:val="auto"/>
              </w:rPr>
              <w:instrText xml:space="preserve"> HYPERLINK "https://gf.cabr-fire.com/list-1538.htm" </w:instrText>
            </w:r>
            <w:r>
              <w:rPr>
                <w:color w:val="auto"/>
              </w:rPr>
              <w:fldChar w:fldCharType="separate"/>
            </w:r>
            <w:r>
              <w:rPr>
                <w:rFonts w:ascii="Times New Roman" w:hAnsi="Times New Roman" w:eastAsia="宋体" w:cs="Times New Roman"/>
                <w:color w:val="auto"/>
                <w:szCs w:val="21"/>
              </w:rPr>
              <w:t>建筑防火通用规范》GB55037-2022</w:t>
            </w:r>
            <w:r>
              <w:rPr>
                <w:rFonts w:ascii="Times New Roman" w:hAnsi="Times New Roman" w:eastAsia="宋体" w:cs="Times New Roman"/>
                <w:color w:val="auto"/>
                <w:szCs w:val="21"/>
              </w:rPr>
              <w:fldChar w:fldCharType="end"/>
            </w:r>
            <w:r>
              <w:rPr>
                <w:rFonts w:ascii="Times New Roman" w:hAnsi="Times New Roman" w:eastAsia="宋体" w:cs="Times New Roman"/>
                <w:color w:val="auto"/>
                <w:szCs w:val="21"/>
              </w:rPr>
              <w:t>第4.2.2条</w:t>
            </w:r>
          </w:p>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《化工和危险化学品生产经营企业重大生产安全事故隐患判定准则》（AQ 3067-2026）第5.2.7条</w:t>
            </w:r>
          </w:p>
        </w:tc>
        <w:tc>
          <w:tcPr>
            <w:tcW w:w="167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查阅现状评价报告等，了解企业是否涉及危险化学品或重大危险源储存仓库。 </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现场核实甲、乙类仓库内是否设置员工宿舍、办公室、休息室等，是否贴邻建造。</w:t>
            </w:r>
          </w:p>
        </w:tc>
        <w:tc>
          <w:tcPr>
            <w:tcW w:w="192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9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87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698"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773" w:type="dxa"/>
            <w:tcBorders>
              <w:top w:val="single" w:color="auto" w:sz="4" w:space="0"/>
              <w:left w:val="single" w:color="auto" w:sz="4" w:space="0"/>
              <w:bottom w:val="single" w:color="auto" w:sz="4" w:space="0"/>
              <w:right w:val="single" w:color="auto" w:sz="4" w:space="0"/>
            </w:tcBorders>
            <w:vAlign w:val="center"/>
          </w:tcPr>
          <w:p>
            <w:pPr>
              <w:spacing w:line="280" w:lineRule="exact"/>
              <w:rPr>
                <w:rFonts w:ascii="Times New Roman" w:hAnsi="Times New Roman" w:eastAsia="宋体" w:cs="Times New Roman"/>
                <w:color w:val="auto"/>
                <w:szCs w:val="21"/>
                <w:lang w:val="zh-TW" w:eastAsia="zh-TW" w:bidi="zh-TW"/>
              </w:rPr>
            </w:pPr>
            <w:r>
              <w:rPr>
                <w:rFonts w:ascii="Times New Roman" w:hAnsi="Times New Roman" w:eastAsia="宋体" w:cs="Times New Roman"/>
                <w:b/>
                <w:color w:val="auto"/>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16</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auto"/>
                <w:szCs w:val="21"/>
              </w:rPr>
            </w:pPr>
          </w:p>
        </w:tc>
        <w:tc>
          <w:tcPr>
            <w:tcW w:w="20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涉及爆炸危险性化学品的生产装置控制室、交接班室布置在装置区（厂房）内；涉及甲、乙类火灾危险性的生产装置（厂房）控制室、交接班室未按照要求布置，或布置在装置区内时未按照GB/T50779的要求进行抗爆设计、建设。</w:t>
            </w:r>
          </w:p>
        </w:tc>
        <w:tc>
          <w:tcPr>
            <w:tcW w:w="237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《危险化学品安全专项整治三年行动实施方案》（安委〔2020〕3号）</w:t>
            </w:r>
          </w:p>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《石油化工建筑物抗爆设计标准》GB/T50779-2022</w:t>
            </w:r>
          </w:p>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《化工和危险化学品生产经营企业重大生产安全事故隐患判定准则》（AQ 3067-2026）第5.2.6条</w:t>
            </w:r>
          </w:p>
        </w:tc>
        <w:tc>
          <w:tcPr>
            <w:tcW w:w="167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查阅现状评价报告，现场核查。</w:t>
            </w:r>
          </w:p>
        </w:tc>
        <w:tc>
          <w:tcPr>
            <w:tcW w:w="192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9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87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698"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7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b/>
                <w:color w:val="auto"/>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17</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auto"/>
                <w:szCs w:val="21"/>
              </w:rPr>
            </w:pPr>
          </w:p>
        </w:tc>
        <w:tc>
          <w:tcPr>
            <w:tcW w:w="20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地区架空电力线路严禁穿越生产区。地区输油（输气）管道不应穿越厂区。与危险化学品罐区无关的管线、输电线严禁穿越罐区。</w:t>
            </w:r>
          </w:p>
        </w:tc>
        <w:tc>
          <w:tcPr>
            <w:tcW w:w="237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《石油化工企业设计防火标准》GB50160-2008（2018年版）第4.1.6条、第4.1.8条</w:t>
            </w:r>
          </w:p>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《化工和危险化学品生产经营企业重大生产安全事故隐患判定准则》（AQ 3067-2026）第5.2.5条</w:t>
            </w:r>
          </w:p>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《化工企业总图运输设计规范》GB50489-2009第5.4.3条</w:t>
            </w:r>
          </w:p>
        </w:tc>
        <w:tc>
          <w:tcPr>
            <w:tcW w:w="167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查总图、现场</w:t>
            </w:r>
          </w:p>
        </w:tc>
        <w:tc>
          <w:tcPr>
            <w:tcW w:w="192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9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87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698"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773" w:type="dxa"/>
            <w:tcBorders>
              <w:top w:val="single" w:color="auto" w:sz="4" w:space="0"/>
              <w:left w:val="single" w:color="auto" w:sz="4" w:space="0"/>
              <w:bottom w:val="single" w:color="auto" w:sz="4" w:space="0"/>
              <w:right w:val="single" w:color="auto" w:sz="4" w:space="0"/>
            </w:tcBorders>
            <w:vAlign w:val="center"/>
          </w:tcPr>
          <w:p>
            <w:pPr>
              <w:spacing w:line="280" w:lineRule="exact"/>
              <w:rPr>
                <w:rFonts w:ascii="Times New Roman" w:hAnsi="Times New Roman" w:eastAsia="宋体" w:cs="Times New Roman"/>
                <w:color w:val="auto"/>
                <w:szCs w:val="21"/>
                <w:lang w:eastAsia="zh-TW" w:bidi="zh-TW"/>
              </w:rPr>
            </w:pPr>
            <w:r>
              <w:rPr>
                <w:rFonts w:ascii="Times New Roman" w:hAnsi="Times New Roman" w:eastAsia="宋体" w:cs="Times New Roman"/>
                <w:b/>
                <w:color w:val="auto"/>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18</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auto"/>
                <w:szCs w:val="21"/>
              </w:rPr>
            </w:pPr>
          </w:p>
        </w:tc>
        <w:tc>
          <w:tcPr>
            <w:tcW w:w="20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光气、氯气等剧毒气体及含硫化氢管道不应穿越除厂区（包括化工园区、工业园区）外的公共区域。</w:t>
            </w:r>
          </w:p>
          <w:p>
            <w:pPr>
              <w:widowControl/>
              <w:spacing w:line="280" w:lineRule="exact"/>
              <w:textAlignment w:val="center"/>
              <w:rPr>
                <w:rFonts w:ascii="Times New Roman" w:hAnsi="Times New Roman" w:eastAsia="宋体" w:cs="Times New Roman"/>
                <w:color w:val="auto"/>
                <w:szCs w:val="21"/>
              </w:rPr>
            </w:pPr>
          </w:p>
        </w:tc>
        <w:tc>
          <w:tcPr>
            <w:tcW w:w="237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《化工和危险化学品生产经营企业重大生产安全事故隐患判定准则》（AQ 3067-2026）第5.2.4条</w:t>
            </w:r>
          </w:p>
        </w:tc>
        <w:tc>
          <w:tcPr>
            <w:tcW w:w="167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查总图、现场</w:t>
            </w:r>
          </w:p>
        </w:tc>
        <w:tc>
          <w:tcPr>
            <w:tcW w:w="192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9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87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698"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773" w:type="dxa"/>
            <w:tcBorders>
              <w:top w:val="single" w:color="auto" w:sz="4" w:space="0"/>
              <w:left w:val="single" w:color="auto" w:sz="4" w:space="0"/>
              <w:bottom w:val="single" w:color="auto" w:sz="4" w:space="0"/>
              <w:right w:val="single" w:color="auto" w:sz="4" w:space="0"/>
            </w:tcBorders>
            <w:vAlign w:val="center"/>
          </w:tcPr>
          <w:p>
            <w:pPr>
              <w:spacing w:line="280" w:lineRule="exact"/>
              <w:rPr>
                <w:rFonts w:ascii="Times New Roman" w:hAnsi="Times New Roman" w:eastAsia="宋体" w:cs="Times New Roman"/>
                <w:color w:val="auto"/>
                <w:szCs w:val="21"/>
                <w:lang w:eastAsia="zh-TW" w:bidi="zh-TW"/>
              </w:rPr>
            </w:pPr>
            <w:r>
              <w:rPr>
                <w:rFonts w:ascii="Times New Roman" w:hAnsi="Times New Roman" w:eastAsia="宋体" w:cs="Times New Roman"/>
                <w:b/>
                <w:color w:val="auto"/>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19</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auto"/>
                <w:szCs w:val="21"/>
              </w:rPr>
            </w:pPr>
          </w:p>
        </w:tc>
        <w:tc>
          <w:tcPr>
            <w:tcW w:w="20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输送甲、乙类火灾危险性、急性毒性（类别1、类别2）的物料管线或全厂性的公共管廊穿（跨）越与其无关的生产装置、储罐组。</w:t>
            </w:r>
          </w:p>
        </w:tc>
        <w:tc>
          <w:tcPr>
            <w:tcW w:w="237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《化工和危险化学品生产经营企业重大生产安全事故隐患判定准则》（AQ 3067-2026）第5.2.3条</w:t>
            </w:r>
          </w:p>
        </w:tc>
        <w:tc>
          <w:tcPr>
            <w:tcW w:w="167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查总图、现场</w:t>
            </w:r>
          </w:p>
        </w:tc>
        <w:tc>
          <w:tcPr>
            <w:tcW w:w="192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9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87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698"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7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b/>
                <w:bCs/>
                <w:color w:val="auto"/>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20</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auto"/>
                <w:szCs w:val="21"/>
              </w:rPr>
            </w:pPr>
          </w:p>
        </w:tc>
        <w:tc>
          <w:tcPr>
            <w:tcW w:w="20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企业选址布局、规划设计以及与重要场所、设施、区域的距离符合性。 </w:t>
            </w:r>
          </w:p>
        </w:tc>
        <w:tc>
          <w:tcPr>
            <w:tcW w:w="237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《危险化学品生产企业安全生产许可证实施办法》（国家安全生产监督管理总局令第41号）第八条</w:t>
            </w:r>
          </w:p>
        </w:tc>
        <w:tc>
          <w:tcPr>
            <w:tcW w:w="167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查阅现状评价报告、现场核查</w:t>
            </w:r>
          </w:p>
        </w:tc>
        <w:tc>
          <w:tcPr>
            <w:tcW w:w="192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9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87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698"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7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b/>
                <w:bCs/>
                <w:color w:val="auto"/>
                <w:szCs w:val="21"/>
              </w:rPr>
            </w:pPr>
            <w:r>
              <w:rPr>
                <w:rFonts w:ascii="Times New Roman" w:hAnsi="Times New Roman" w:eastAsia="宋体" w:cs="Times New Roman"/>
                <w:b/>
                <w:bCs/>
                <w:color w:val="auto"/>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auto"/>
                <w:szCs w:val="21"/>
              </w:rPr>
            </w:pPr>
          </w:p>
        </w:tc>
        <w:tc>
          <w:tcPr>
            <w:tcW w:w="2093" w:type="dxa"/>
            <w:vAlign w:val="center"/>
          </w:tcPr>
          <w:p>
            <w:pPr>
              <w:widowControl/>
              <w:spacing w:line="280" w:lineRule="exact"/>
              <w:textAlignment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厂区消防车道净宽度、净空高度应满足消防救援要求。</w:t>
            </w:r>
          </w:p>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bCs/>
                <w:color w:val="auto"/>
                <w:szCs w:val="21"/>
              </w:rPr>
              <w:t>厂区出入口、厂内道路设置应满足消防、运输和疏散要求</w:t>
            </w:r>
            <w:r>
              <w:rPr>
                <w:rFonts w:ascii="Times New Roman" w:hAnsi="Times New Roman" w:eastAsia="宋体" w:cs="Times New Roman"/>
                <w:color w:val="auto"/>
                <w:szCs w:val="21"/>
              </w:rPr>
              <w:t>。</w:t>
            </w:r>
          </w:p>
        </w:tc>
        <w:tc>
          <w:tcPr>
            <w:tcW w:w="2374" w:type="dxa"/>
            <w:vAlign w:val="center"/>
          </w:tcPr>
          <w:p>
            <w:pPr>
              <w:widowControl/>
              <w:spacing w:line="280" w:lineRule="exact"/>
              <w:textAlignment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《化工企业总图运输设计规范》</w:t>
            </w:r>
          </w:p>
          <w:p>
            <w:pPr>
              <w:widowControl/>
              <w:spacing w:line="280" w:lineRule="exact"/>
              <w:textAlignment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（GB50489-2009）</w:t>
            </w:r>
          </w:p>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bCs/>
                <w:color w:val="auto"/>
                <w:szCs w:val="21"/>
              </w:rPr>
              <w:t>《石油化工企业设计防火标准（2018年版）》（GB 50160-2008）第4.3.4条</w:t>
            </w:r>
          </w:p>
        </w:tc>
        <w:tc>
          <w:tcPr>
            <w:tcW w:w="1673"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bCs/>
                <w:color w:val="auto"/>
                <w:szCs w:val="21"/>
              </w:rPr>
              <w:t>检查储罐区、仓库区消防车道的设置情况，当有管廊、桥架跨越消防车道时，检查消防车道的净高和净宽是否满足要求；现场查看厂区出入口、厂内道路。</w:t>
            </w:r>
          </w:p>
        </w:tc>
        <w:tc>
          <w:tcPr>
            <w:tcW w:w="1926" w:type="dxa"/>
          </w:tcPr>
          <w:p>
            <w:pPr>
              <w:jc w:val="center"/>
              <w:rPr>
                <w:rFonts w:ascii="Times New Roman" w:hAnsi="Times New Roman" w:eastAsia="宋体" w:cs="Times New Roman"/>
                <w:color w:val="auto"/>
                <w:szCs w:val="21"/>
              </w:rPr>
            </w:pPr>
          </w:p>
        </w:tc>
        <w:tc>
          <w:tcPr>
            <w:tcW w:w="1985" w:type="dxa"/>
          </w:tcPr>
          <w:p>
            <w:pPr>
              <w:jc w:val="center"/>
              <w:rPr>
                <w:rFonts w:ascii="Times New Roman" w:hAnsi="Times New Roman" w:eastAsia="宋体" w:cs="Times New Roman"/>
                <w:color w:val="auto"/>
                <w:szCs w:val="21"/>
              </w:rPr>
            </w:pPr>
          </w:p>
        </w:tc>
        <w:tc>
          <w:tcPr>
            <w:tcW w:w="1875" w:type="dxa"/>
          </w:tcPr>
          <w:p>
            <w:pPr>
              <w:jc w:val="center"/>
              <w:rPr>
                <w:rFonts w:ascii="Times New Roman" w:hAnsi="Times New Roman" w:eastAsia="宋体" w:cs="Times New Roman"/>
                <w:color w:val="auto"/>
                <w:szCs w:val="21"/>
              </w:rPr>
            </w:pPr>
          </w:p>
        </w:tc>
        <w:tc>
          <w:tcPr>
            <w:tcW w:w="698" w:type="dxa"/>
          </w:tcPr>
          <w:p>
            <w:pPr>
              <w:jc w:val="center"/>
              <w:rPr>
                <w:rFonts w:ascii="Times New Roman" w:hAnsi="Times New Roman" w:eastAsia="宋体" w:cs="Times New Roman"/>
                <w:color w:val="auto"/>
                <w:szCs w:val="21"/>
              </w:rPr>
            </w:pPr>
          </w:p>
        </w:tc>
        <w:tc>
          <w:tcPr>
            <w:tcW w:w="773" w:type="dxa"/>
            <w:vAlign w:val="center"/>
          </w:tcPr>
          <w:p>
            <w:pPr>
              <w:widowControl/>
              <w:spacing w:line="280" w:lineRule="exact"/>
              <w:textAlignment w:val="center"/>
              <w:rPr>
                <w:rFonts w:ascii="Times New Roman" w:hAnsi="Times New Roman" w:eastAsia="宋体" w:cs="Times New Roman"/>
                <w:b/>
                <w:bCs/>
                <w:color w:val="auto"/>
                <w:szCs w:val="21"/>
              </w:rPr>
            </w:pPr>
            <w:r>
              <w:rPr>
                <w:rFonts w:ascii="Times New Roman" w:hAnsi="Times New Roman" w:eastAsia="宋体" w:cs="Times New Roman"/>
                <w:bCs/>
                <w:color w:val="auto"/>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22</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auto"/>
                <w:szCs w:val="21"/>
              </w:rPr>
            </w:pPr>
          </w:p>
        </w:tc>
        <w:tc>
          <w:tcPr>
            <w:tcW w:w="2093" w:type="dxa"/>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bCs/>
                <w:color w:val="auto"/>
                <w:szCs w:val="21"/>
              </w:rPr>
              <w:t xml:space="preserve">企业消防道路应畅通无阻，满足消防车辆通行；可燃液体罐组、可燃液体储罐区、可燃气体储罐区、装卸区及化学危险品仓库区应按照要求设置环形消防车道。 </w:t>
            </w:r>
          </w:p>
        </w:tc>
        <w:tc>
          <w:tcPr>
            <w:tcW w:w="2374" w:type="dxa"/>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bCs/>
                <w:color w:val="auto"/>
                <w:szCs w:val="21"/>
              </w:rPr>
              <w:t>《石油化工企业设计防火标准（2018年版）》（GB 50160-2008）第4.3.4条</w:t>
            </w:r>
          </w:p>
        </w:tc>
        <w:tc>
          <w:tcPr>
            <w:tcW w:w="1673"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bCs/>
                <w:color w:val="auto"/>
                <w:szCs w:val="21"/>
              </w:rPr>
              <w:t>查现场</w:t>
            </w:r>
          </w:p>
        </w:tc>
        <w:tc>
          <w:tcPr>
            <w:tcW w:w="1926" w:type="dxa"/>
          </w:tcPr>
          <w:p>
            <w:pPr>
              <w:jc w:val="center"/>
              <w:rPr>
                <w:rFonts w:ascii="Times New Roman" w:hAnsi="Times New Roman" w:eastAsia="宋体" w:cs="Times New Roman"/>
                <w:color w:val="auto"/>
                <w:szCs w:val="21"/>
              </w:rPr>
            </w:pPr>
          </w:p>
        </w:tc>
        <w:tc>
          <w:tcPr>
            <w:tcW w:w="1985" w:type="dxa"/>
          </w:tcPr>
          <w:p>
            <w:pPr>
              <w:jc w:val="center"/>
              <w:rPr>
                <w:rFonts w:ascii="Times New Roman" w:hAnsi="Times New Roman" w:eastAsia="宋体" w:cs="Times New Roman"/>
                <w:color w:val="auto"/>
                <w:szCs w:val="21"/>
              </w:rPr>
            </w:pPr>
          </w:p>
        </w:tc>
        <w:tc>
          <w:tcPr>
            <w:tcW w:w="1875" w:type="dxa"/>
          </w:tcPr>
          <w:p>
            <w:pPr>
              <w:jc w:val="center"/>
              <w:rPr>
                <w:rFonts w:ascii="Times New Roman" w:hAnsi="Times New Roman" w:eastAsia="宋体" w:cs="Times New Roman"/>
                <w:color w:val="auto"/>
                <w:szCs w:val="21"/>
              </w:rPr>
            </w:pPr>
          </w:p>
        </w:tc>
        <w:tc>
          <w:tcPr>
            <w:tcW w:w="698" w:type="dxa"/>
          </w:tcPr>
          <w:p>
            <w:pPr>
              <w:jc w:val="center"/>
              <w:rPr>
                <w:rFonts w:ascii="Times New Roman" w:hAnsi="Times New Roman" w:eastAsia="宋体" w:cs="Times New Roman"/>
                <w:color w:val="auto"/>
                <w:szCs w:val="21"/>
              </w:rPr>
            </w:pPr>
          </w:p>
        </w:tc>
        <w:tc>
          <w:tcPr>
            <w:tcW w:w="773" w:type="dxa"/>
            <w:vAlign w:val="center"/>
          </w:tcPr>
          <w:p>
            <w:pPr>
              <w:widowControl/>
              <w:spacing w:line="280" w:lineRule="exact"/>
              <w:textAlignment w:val="center"/>
              <w:rPr>
                <w:rFonts w:ascii="Times New Roman" w:hAnsi="Times New Roman" w:eastAsia="宋体" w:cs="Times New Roman"/>
                <w:b/>
                <w:bCs/>
                <w:color w:val="auto"/>
                <w:szCs w:val="21"/>
              </w:rPr>
            </w:pPr>
            <w:r>
              <w:rPr>
                <w:rFonts w:ascii="Times New Roman" w:hAnsi="Times New Roman" w:eastAsia="宋体" w:cs="Times New Roman"/>
                <w:bCs/>
                <w:color w:val="auto"/>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23</w:t>
            </w:r>
          </w:p>
        </w:tc>
        <w:tc>
          <w:tcPr>
            <w:tcW w:w="636"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安全</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设施</w:t>
            </w:r>
          </w:p>
        </w:tc>
        <w:tc>
          <w:tcPr>
            <w:tcW w:w="20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易挥发性可燃液体物料储罐罐顶的油气收集管道未设置阻爆轰型阻火器；混合后能发生化学反应的气体共用收集系统。</w:t>
            </w:r>
          </w:p>
        </w:tc>
        <w:tc>
          <w:tcPr>
            <w:tcW w:w="237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《石油化工企业设计防火标准》GB50160-2008（2018年版）第5.5.14条</w:t>
            </w:r>
          </w:p>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《化工和危险化学品生产经营企业重大生产安全事故隐患判定准则》（AQ 3067-2026）第5.4.5条</w:t>
            </w:r>
          </w:p>
        </w:tc>
        <w:tc>
          <w:tcPr>
            <w:tcW w:w="167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现场核查</w:t>
            </w:r>
          </w:p>
        </w:tc>
        <w:tc>
          <w:tcPr>
            <w:tcW w:w="192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9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87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698"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7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b/>
                <w:bCs/>
                <w:color w:val="auto"/>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24</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auto"/>
                <w:szCs w:val="21"/>
              </w:rPr>
            </w:pPr>
          </w:p>
        </w:tc>
        <w:tc>
          <w:tcPr>
            <w:tcW w:w="20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因物料爆聚、分解造成超温、超压，可能引起火灾、爆炸的反应设备应设报警信号和泄压排放设施，以及自动或手动遥控的紧急切断进料设施。</w:t>
            </w:r>
          </w:p>
        </w:tc>
        <w:tc>
          <w:tcPr>
            <w:tcW w:w="237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《石油化工企业设计防火标准》GB50160-2008（2018年版）第5.5.13条</w:t>
            </w:r>
          </w:p>
        </w:tc>
        <w:tc>
          <w:tcPr>
            <w:tcW w:w="167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查阅现状评价报告、现场核查</w:t>
            </w:r>
          </w:p>
        </w:tc>
        <w:tc>
          <w:tcPr>
            <w:tcW w:w="192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9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87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698"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7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b/>
                <w:bCs/>
                <w:color w:val="auto"/>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25</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auto"/>
                <w:szCs w:val="21"/>
              </w:rPr>
            </w:pPr>
          </w:p>
        </w:tc>
        <w:tc>
          <w:tcPr>
            <w:tcW w:w="20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在爆炸危险区范围内的钢管架、跨越装置区、罐区消防车道的钢管架、设备的承重钢结构等应按GB50160的要求采取耐火保护措施。</w:t>
            </w:r>
          </w:p>
        </w:tc>
        <w:tc>
          <w:tcPr>
            <w:tcW w:w="237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《石油化工企业设计防火标准》GB50160-2008（2018年版）第5.6.1条</w:t>
            </w:r>
          </w:p>
        </w:tc>
        <w:tc>
          <w:tcPr>
            <w:tcW w:w="167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查阅爆炸危险区域划分图、现场核查</w:t>
            </w:r>
          </w:p>
        </w:tc>
        <w:tc>
          <w:tcPr>
            <w:tcW w:w="192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9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87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698"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7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b/>
                <w:bCs/>
                <w:color w:val="auto"/>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26</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auto"/>
                <w:szCs w:val="21"/>
              </w:rPr>
            </w:pPr>
          </w:p>
        </w:tc>
        <w:tc>
          <w:tcPr>
            <w:tcW w:w="20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火炬系统应设置足够的长明灯，并有可靠的点火系统及燃料气源以及可靠的防回火设施（水封、分子封等）。</w:t>
            </w:r>
          </w:p>
        </w:tc>
        <w:tc>
          <w:tcPr>
            <w:tcW w:w="237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《石油化工企业设计防火标准》GB50160-2008（2018年版）第5.5.20、5.5.21、5.5.22条</w:t>
            </w:r>
          </w:p>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《石油化工可燃性气体排放系统设计规范》SH3009-2013</w:t>
            </w:r>
          </w:p>
        </w:tc>
        <w:tc>
          <w:tcPr>
            <w:tcW w:w="167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查阅评价报告，现场核查</w:t>
            </w:r>
          </w:p>
        </w:tc>
        <w:tc>
          <w:tcPr>
            <w:tcW w:w="192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9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87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698"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7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b/>
                <w:bCs/>
                <w:color w:val="auto"/>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27</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auto"/>
                <w:szCs w:val="21"/>
              </w:rPr>
            </w:pPr>
          </w:p>
        </w:tc>
        <w:tc>
          <w:tcPr>
            <w:tcW w:w="20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可燃液体常压储罐未按照AQ3063-2025的要求，设置氮气密封保护系统或定期检测气相空间可燃气体浓度。</w:t>
            </w:r>
          </w:p>
        </w:tc>
        <w:tc>
          <w:tcPr>
            <w:tcW w:w="237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《石油化工企业设计防火标准》GB50160-2008（2018年版）第6.2.19条</w:t>
            </w:r>
          </w:p>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《国家安全生产监督管理总局关于进一步加强化学品罐区安全管理的通知》（安监总管三〔2014〕68号）</w:t>
            </w:r>
          </w:p>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《化工企业可燃液体常压储罐安全管理规范》（AQ3063-2025）</w:t>
            </w:r>
          </w:p>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《化工和危险化学品生产经营企业重大生产安全事故隐患判定准则》（AQ 3067-2026）第5.5.11条</w:t>
            </w:r>
          </w:p>
        </w:tc>
        <w:tc>
          <w:tcPr>
            <w:tcW w:w="167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查阅评价报告，现场核查</w:t>
            </w:r>
          </w:p>
        </w:tc>
        <w:tc>
          <w:tcPr>
            <w:tcW w:w="192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9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87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698"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7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auto"/>
                <w:szCs w:val="21"/>
              </w:rPr>
            </w:pPr>
            <w:r>
              <w:rPr>
                <w:rFonts w:ascii="Times New Roman" w:hAnsi="Times New Roman" w:eastAsia="宋体" w:cs="Times New Roman"/>
                <w:b/>
                <w:bCs/>
                <w:color w:val="auto"/>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28</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auto"/>
                <w:szCs w:val="21"/>
              </w:rPr>
            </w:pPr>
          </w:p>
        </w:tc>
        <w:tc>
          <w:tcPr>
            <w:tcW w:w="20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离心式可燃气体压缩机和可燃液体泵应在其出口管道上安装止回阀。</w:t>
            </w:r>
          </w:p>
        </w:tc>
        <w:tc>
          <w:tcPr>
            <w:tcW w:w="237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《石油化工企业设计防火标准》GB50160-2008（2018年版）第7.2.11条</w:t>
            </w:r>
          </w:p>
        </w:tc>
        <w:tc>
          <w:tcPr>
            <w:tcW w:w="167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现场核查</w:t>
            </w:r>
          </w:p>
        </w:tc>
        <w:tc>
          <w:tcPr>
            <w:tcW w:w="192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9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87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698"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7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textAlignment w:val="center"/>
              <w:rPr>
                <w:rFonts w:ascii="Times New Roman" w:hAnsi="Times New Roman" w:eastAsia="宋体" w:cs="Times New Roman"/>
                <w:color w:val="auto"/>
                <w:szCs w:val="21"/>
              </w:rPr>
            </w:pPr>
            <w:r>
              <w:rPr>
                <w:rFonts w:ascii="Times New Roman" w:hAnsi="Times New Roman" w:eastAsia="宋体" w:cs="Times New Roman"/>
                <w:b/>
                <w:bCs/>
                <w:color w:val="auto"/>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29</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auto"/>
                <w:szCs w:val="21"/>
              </w:rPr>
            </w:pPr>
          </w:p>
        </w:tc>
        <w:tc>
          <w:tcPr>
            <w:tcW w:w="20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lang w:val="zh-CN"/>
              </w:rPr>
              <w:t>液化</w:t>
            </w:r>
            <w:r>
              <w:rPr>
                <w:rFonts w:ascii="Times New Roman" w:hAnsi="Times New Roman" w:eastAsia="宋体" w:cs="Times New Roman"/>
                <w:color w:val="auto"/>
                <w:szCs w:val="21"/>
              </w:rPr>
              <w:t>烃</w:t>
            </w:r>
            <w:r>
              <w:rPr>
                <w:rFonts w:ascii="Times New Roman" w:hAnsi="Times New Roman" w:eastAsia="宋体" w:cs="Times New Roman"/>
                <w:color w:val="auto"/>
                <w:szCs w:val="21"/>
                <w:lang w:val="zh-CN"/>
              </w:rPr>
              <w:t>、液氨、液氯、无水氟化氢的充装</w:t>
            </w:r>
            <w:r>
              <w:rPr>
                <w:rFonts w:ascii="Times New Roman" w:hAnsi="Times New Roman" w:eastAsia="宋体" w:cs="Times New Roman"/>
                <w:color w:val="auto"/>
                <w:szCs w:val="21"/>
              </w:rPr>
              <w:t>应</w:t>
            </w:r>
            <w:r>
              <w:rPr>
                <w:rFonts w:ascii="Times New Roman" w:hAnsi="Times New Roman" w:eastAsia="宋体" w:cs="Times New Roman"/>
                <w:color w:val="auto"/>
                <w:szCs w:val="21"/>
                <w:lang w:val="zh-CN"/>
              </w:rPr>
              <w:t>使用万向管道充装系统，液化烃充装接头不具备锁定、防脱落和脱落自封闭功能。</w:t>
            </w:r>
          </w:p>
        </w:tc>
        <w:tc>
          <w:tcPr>
            <w:tcW w:w="237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《石油化工企业设计防火标准》GB50160-2008（2018年版）第7.2.18条</w:t>
            </w:r>
          </w:p>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《首批重点监管的危险化学品安全措施和事故应急处置原则》（安监总厅管三〔2011〕142号）</w:t>
            </w:r>
          </w:p>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《化工和危险化学品生产经营企业重大生产安全事故隐患判定准则》（AQ 3067-2026）第5.4.4条</w:t>
            </w:r>
          </w:p>
        </w:tc>
        <w:tc>
          <w:tcPr>
            <w:tcW w:w="167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现场核查</w:t>
            </w:r>
          </w:p>
        </w:tc>
        <w:tc>
          <w:tcPr>
            <w:tcW w:w="192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9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87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698"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7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b/>
                <w:color w:val="auto"/>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30</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auto"/>
                <w:szCs w:val="21"/>
              </w:rPr>
            </w:pPr>
          </w:p>
        </w:tc>
        <w:tc>
          <w:tcPr>
            <w:tcW w:w="20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甲</w:t>
            </w:r>
            <w:r>
              <w:rPr>
                <w:rFonts w:ascii="Times New Roman" w:hAnsi="Times New Roman" w:eastAsia="宋体" w:cs="Times New Roman"/>
                <w:color w:val="auto"/>
                <w:szCs w:val="21"/>
                <w:vertAlign w:val="subscript"/>
              </w:rPr>
              <w:t>B</w:t>
            </w:r>
            <w:r>
              <w:rPr>
                <w:rFonts w:ascii="Times New Roman" w:hAnsi="Times New Roman" w:eastAsia="宋体" w:cs="Times New Roman"/>
                <w:color w:val="auto"/>
                <w:szCs w:val="21"/>
              </w:rPr>
              <w:t>、乙、丙</w:t>
            </w:r>
            <w:r>
              <w:rPr>
                <w:rFonts w:ascii="Times New Roman" w:hAnsi="Times New Roman" w:eastAsia="宋体" w:cs="Times New Roman"/>
                <w:color w:val="auto"/>
                <w:szCs w:val="21"/>
                <w:vertAlign w:val="subscript"/>
              </w:rPr>
              <w:t>A</w:t>
            </w:r>
            <w:r>
              <w:rPr>
                <w:rFonts w:ascii="Times New Roman" w:hAnsi="Times New Roman" w:eastAsia="宋体" w:cs="Times New Roman"/>
                <w:color w:val="auto"/>
                <w:szCs w:val="21"/>
              </w:rPr>
              <w:t>类液体的装车应采用液下装车鹤管。</w:t>
            </w:r>
          </w:p>
        </w:tc>
        <w:tc>
          <w:tcPr>
            <w:tcW w:w="237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《石油化工企业设计防火标准》GB50160-2008（2018年版）第6.4.2条</w:t>
            </w:r>
          </w:p>
          <w:p>
            <w:pPr>
              <w:widowControl/>
              <w:spacing w:line="280" w:lineRule="exact"/>
              <w:textAlignment w:val="center"/>
              <w:rPr>
                <w:rFonts w:ascii="Times New Roman" w:hAnsi="Times New Roman" w:eastAsia="宋体" w:cs="Times New Roman"/>
                <w:color w:val="auto"/>
                <w:szCs w:val="21"/>
              </w:rPr>
            </w:pPr>
          </w:p>
        </w:tc>
        <w:tc>
          <w:tcPr>
            <w:tcW w:w="167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现场核查</w:t>
            </w:r>
          </w:p>
        </w:tc>
        <w:tc>
          <w:tcPr>
            <w:tcW w:w="192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9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87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698"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7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b/>
                <w:color w:val="auto"/>
                <w:szCs w:val="21"/>
              </w:rPr>
              <w:t>B级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31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auto"/>
                <w:szCs w:val="21"/>
              </w:rPr>
            </w:pPr>
          </w:p>
        </w:tc>
        <w:tc>
          <w:tcPr>
            <w:tcW w:w="20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工艺装置、罐组或其他设施及建筑物、构筑物、管沟等的排水出口应设水封，水封高度不得小于250mm，全厂性支干管、干管的管段长度超过300m时，应用水封井隔开。</w:t>
            </w:r>
          </w:p>
        </w:tc>
        <w:tc>
          <w:tcPr>
            <w:tcW w:w="237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《石油化工企业设计防火标准》GB50160-2008（2018年版）第7.3.3条</w:t>
            </w:r>
          </w:p>
        </w:tc>
        <w:tc>
          <w:tcPr>
            <w:tcW w:w="167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现场核查</w:t>
            </w:r>
          </w:p>
        </w:tc>
        <w:tc>
          <w:tcPr>
            <w:tcW w:w="192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9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87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698"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7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b/>
                <w:bCs/>
                <w:color w:val="auto"/>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32</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auto"/>
                <w:szCs w:val="21"/>
              </w:rPr>
            </w:pPr>
          </w:p>
        </w:tc>
        <w:tc>
          <w:tcPr>
            <w:tcW w:w="20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极度危害和高度危害的介质、甲类可燃气体、液化烃应设置密闭循环取样系统。设置在有振动的设备或管道上的取样口，应采取减振措施。</w:t>
            </w:r>
          </w:p>
        </w:tc>
        <w:tc>
          <w:tcPr>
            <w:tcW w:w="237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《石油化工金属管道布置设计规范》SH3012-2011第7.2.3、第7.2.4条</w:t>
            </w:r>
          </w:p>
        </w:tc>
        <w:tc>
          <w:tcPr>
            <w:tcW w:w="167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现场核查</w:t>
            </w:r>
          </w:p>
        </w:tc>
        <w:tc>
          <w:tcPr>
            <w:tcW w:w="192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9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87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698"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7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b/>
                <w:bCs/>
                <w:color w:val="auto"/>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33</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auto"/>
                <w:szCs w:val="21"/>
              </w:rPr>
            </w:pPr>
          </w:p>
        </w:tc>
        <w:tc>
          <w:tcPr>
            <w:tcW w:w="20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甲、乙、丙类液体仓库应设置防止液体流散的设施。遇湿会发生燃烧爆炸的物品仓库应设置防止水浸渍的措施，库内不得设置室内消火栓和水管道。</w:t>
            </w:r>
          </w:p>
        </w:tc>
        <w:tc>
          <w:tcPr>
            <w:tcW w:w="237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《建筑设计防火规范》GB50016-2014（2018年版）第3.6.12条</w:t>
            </w:r>
          </w:p>
        </w:tc>
        <w:tc>
          <w:tcPr>
            <w:tcW w:w="167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查阅评价报告，现场核查</w:t>
            </w:r>
          </w:p>
        </w:tc>
        <w:tc>
          <w:tcPr>
            <w:tcW w:w="192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9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87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698"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7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b/>
                <w:bCs/>
                <w:color w:val="auto"/>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34</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auto"/>
                <w:szCs w:val="21"/>
              </w:rPr>
            </w:pPr>
          </w:p>
        </w:tc>
        <w:tc>
          <w:tcPr>
            <w:tcW w:w="20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全压力式液化烃球罐未按照AQ3059要求设置注水设施。</w:t>
            </w:r>
          </w:p>
        </w:tc>
        <w:tc>
          <w:tcPr>
            <w:tcW w:w="237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《化工和危险化学品生产经营企业重大生产安全事故隐患判定准则》（AQ 3067-2026）第5.4.7条</w:t>
            </w:r>
          </w:p>
        </w:tc>
        <w:tc>
          <w:tcPr>
            <w:tcW w:w="167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现场核查</w:t>
            </w:r>
          </w:p>
        </w:tc>
        <w:tc>
          <w:tcPr>
            <w:tcW w:w="192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9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87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698"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7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b/>
                <w:color w:val="auto"/>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35</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auto"/>
                <w:szCs w:val="21"/>
              </w:rPr>
            </w:pPr>
          </w:p>
        </w:tc>
        <w:tc>
          <w:tcPr>
            <w:tcW w:w="20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导热油炉系统应设置安全泄放装置。导热油炉及附属导热油储罐、导热油炉输送泵等设备周围应设置防止导热油外溢的措施。在燃料气调节阀与导热油炉之间设置阻火器。</w:t>
            </w:r>
          </w:p>
        </w:tc>
        <w:tc>
          <w:tcPr>
            <w:tcW w:w="237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《导热油加热炉系统规范》（SY/T 0524-2024）</w:t>
            </w:r>
          </w:p>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《精细化工企业工程设计防火标准》</w:t>
            </w:r>
          </w:p>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GB51283-2020第5.4.2、5.4.3条</w:t>
            </w:r>
          </w:p>
        </w:tc>
        <w:tc>
          <w:tcPr>
            <w:tcW w:w="1673"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宋体" w:cs="Times New Roman"/>
                <w:color w:val="auto"/>
                <w:szCs w:val="21"/>
              </w:rPr>
            </w:pPr>
            <w:r>
              <w:rPr>
                <w:rFonts w:ascii="Times New Roman" w:hAnsi="Times New Roman" w:eastAsia="宋体" w:cs="Times New Roman"/>
                <w:color w:val="auto"/>
                <w:szCs w:val="21"/>
              </w:rPr>
              <w:t>查阅评价报告，现场核查</w:t>
            </w:r>
          </w:p>
        </w:tc>
        <w:tc>
          <w:tcPr>
            <w:tcW w:w="192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9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87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698"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7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b/>
                <w:bCs/>
                <w:color w:val="auto"/>
                <w:szCs w:val="21"/>
              </w:rPr>
              <w:t>B级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36</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auto"/>
                <w:szCs w:val="21"/>
              </w:rPr>
            </w:pPr>
          </w:p>
        </w:tc>
        <w:tc>
          <w:tcPr>
            <w:tcW w:w="20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1.企业对可燃性粉尘开展燃爆性能测试，并按规范要求落实防止粉尘燃爆措施。涉及粉尘爆炸危险场所应设置惰化、抑爆、隔爆、泄爆等安全措施。</w:t>
            </w:r>
          </w:p>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2.粉尘爆炸危险场所除尘系统不应与带有可燃气体、高温气体或其他工业气体的风管及设备连通。</w:t>
            </w:r>
          </w:p>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3.应根据粉尘特性采用不产生扬尘的清扫方法，不应使用压缩空气进行吹扫。</w:t>
            </w:r>
          </w:p>
        </w:tc>
        <w:tc>
          <w:tcPr>
            <w:tcW w:w="237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《粉尘防爆安全规程》GB15577-2018</w:t>
            </w:r>
          </w:p>
        </w:tc>
        <w:tc>
          <w:tcPr>
            <w:tcW w:w="1673" w:type="dxa"/>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宋体" w:cs="Times New Roman"/>
                <w:color w:val="auto"/>
                <w:szCs w:val="21"/>
              </w:rPr>
            </w:pPr>
            <w:r>
              <w:rPr>
                <w:rFonts w:ascii="Times New Roman" w:hAnsi="Times New Roman" w:eastAsia="宋体" w:cs="Times New Roman"/>
                <w:color w:val="auto"/>
                <w:szCs w:val="21"/>
              </w:rPr>
              <w:t>查阅评价报告，现场核查</w:t>
            </w:r>
          </w:p>
        </w:tc>
        <w:tc>
          <w:tcPr>
            <w:tcW w:w="192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9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87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698"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7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b/>
                <w:bCs/>
                <w:color w:val="auto"/>
                <w:szCs w:val="21"/>
              </w:rPr>
              <w:t>B级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37</w:t>
            </w:r>
          </w:p>
        </w:tc>
        <w:tc>
          <w:tcPr>
            <w:tcW w:w="0" w:type="auto"/>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auto"/>
                <w:szCs w:val="21"/>
              </w:rPr>
            </w:pPr>
          </w:p>
        </w:tc>
        <w:tc>
          <w:tcPr>
            <w:tcW w:w="209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企业应当有相应的职业危害防护设施，并为从业人员配备符合国家标准或者行业标准的</w:t>
            </w:r>
            <w:bookmarkStart w:id="59" w:name="OLE_LINK20"/>
            <w:r>
              <w:rPr>
                <w:rFonts w:ascii="Times New Roman" w:hAnsi="Times New Roman" w:eastAsia="宋体" w:cs="Times New Roman"/>
                <w:color w:val="auto"/>
                <w:szCs w:val="21"/>
              </w:rPr>
              <w:t>劳动防护用品</w:t>
            </w:r>
            <w:bookmarkEnd w:id="59"/>
            <w:r>
              <w:rPr>
                <w:rFonts w:ascii="Times New Roman" w:hAnsi="Times New Roman" w:eastAsia="宋体" w:cs="Times New Roman"/>
                <w:color w:val="auto"/>
                <w:szCs w:val="21"/>
              </w:rPr>
              <w:t>。</w:t>
            </w:r>
          </w:p>
        </w:tc>
        <w:tc>
          <w:tcPr>
            <w:tcW w:w="237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color w:val="auto"/>
                <w:szCs w:val="21"/>
              </w:rPr>
              <w:t>《危险化学品生产企业安全生产许可证实施办法》（国家安全生产监督管理总局令第41号）第十条</w:t>
            </w:r>
          </w:p>
        </w:tc>
        <w:tc>
          <w:tcPr>
            <w:tcW w:w="1673"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查阅职业危害防护设施、劳动防护用品放发台账，现场抽查。</w:t>
            </w:r>
          </w:p>
        </w:tc>
        <w:tc>
          <w:tcPr>
            <w:tcW w:w="1926"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98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1875"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698"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宋体" w:cs="Times New Roman"/>
                <w:color w:val="auto"/>
                <w:szCs w:val="21"/>
              </w:rPr>
            </w:pPr>
          </w:p>
        </w:tc>
        <w:tc>
          <w:tcPr>
            <w:tcW w:w="7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b/>
                <w:bCs/>
                <w:color w:val="auto"/>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38</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auto"/>
                <w:szCs w:val="21"/>
              </w:rPr>
            </w:pPr>
            <w:r>
              <w:rPr>
                <w:rFonts w:ascii="Times New Roman" w:hAnsi="Times New Roman" w:eastAsia="宋体" w:cs="Times New Roman"/>
                <w:color w:val="auto"/>
                <w:szCs w:val="21"/>
              </w:rPr>
              <w:t>变更</w:t>
            </w:r>
          </w:p>
          <w:p>
            <w:pPr>
              <w:widowControl/>
              <w:jc w:val="left"/>
              <w:rPr>
                <w:rFonts w:ascii="Times New Roman" w:hAnsi="Times New Roman" w:eastAsia="宋体" w:cs="Times New Roman"/>
                <w:color w:val="auto"/>
                <w:szCs w:val="21"/>
              </w:rPr>
            </w:pPr>
            <w:r>
              <w:rPr>
                <w:rFonts w:ascii="Times New Roman" w:hAnsi="Times New Roman" w:eastAsia="宋体" w:cs="Times New Roman"/>
                <w:color w:val="auto"/>
                <w:szCs w:val="21"/>
              </w:rPr>
              <w:t>管理</w:t>
            </w:r>
          </w:p>
        </w:tc>
        <w:tc>
          <w:tcPr>
            <w:tcW w:w="2093" w:type="dxa"/>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bCs/>
                <w:color w:val="auto"/>
                <w:szCs w:val="21"/>
              </w:rPr>
              <w:t>变更管理制度（程序文件）应包含辨识、方案编制、风险评估、变更申请、变更审批、变更实施、变更验收、组织变更培训、更新安全信息等要求。</w:t>
            </w:r>
          </w:p>
        </w:tc>
        <w:tc>
          <w:tcPr>
            <w:tcW w:w="2374" w:type="dxa"/>
            <w:vAlign w:val="center"/>
          </w:tcPr>
          <w:p>
            <w:pPr>
              <w:widowControl/>
              <w:spacing w:line="280" w:lineRule="exact"/>
              <w:textAlignment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《关于加强化工过程安全管理的指导意见》（安监总管三〔2013〕88号）第二十七条</w:t>
            </w:r>
          </w:p>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bCs/>
                <w:color w:val="auto"/>
                <w:szCs w:val="21"/>
              </w:rPr>
              <w:t>《化工和危险化学品生产经营企业重大生产安全事故隐患判定准则》（AQ 3067-2026）第5.7.5条</w:t>
            </w:r>
          </w:p>
        </w:tc>
        <w:tc>
          <w:tcPr>
            <w:tcW w:w="1673"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bCs/>
                <w:color w:val="auto"/>
                <w:szCs w:val="21"/>
              </w:rPr>
              <w:t>查阅变更管理制度</w:t>
            </w:r>
          </w:p>
        </w:tc>
        <w:tc>
          <w:tcPr>
            <w:tcW w:w="1926" w:type="dxa"/>
          </w:tcPr>
          <w:p>
            <w:pPr>
              <w:jc w:val="center"/>
              <w:rPr>
                <w:rFonts w:ascii="Times New Roman" w:hAnsi="Times New Roman" w:eastAsia="宋体" w:cs="Times New Roman"/>
                <w:color w:val="auto"/>
                <w:szCs w:val="21"/>
              </w:rPr>
            </w:pPr>
          </w:p>
        </w:tc>
        <w:tc>
          <w:tcPr>
            <w:tcW w:w="1985" w:type="dxa"/>
          </w:tcPr>
          <w:p>
            <w:pPr>
              <w:jc w:val="center"/>
              <w:rPr>
                <w:rFonts w:ascii="Times New Roman" w:hAnsi="Times New Roman" w:eastAsia="宋体" w:cs="Times New Roman"/>
                <w:color w:val="auto"/>
                <w:szCs w:val="21"/>
              </w:rPr>
            </w:pPr>
          </w:p>
        </w:tc>
        <w:tc>
          <w:tcPr>
            <w:tcW w:w="1875" w:type="dxa"/>
          </w:tcPr>
          <w:p>
            <w:pPr>
              <w:jc w:val="center"/>
              <w:rPr>
                <w:rFonts w:ascii="Times New Roman" w:hAnsi="Times New Roman" w:eastAsia="宋体" w:cs="Times New Roman"/>
                <w:color w:val="auto"/>
                <w:szCs w:val="21"/>
              </w:rPr>
            </w:pPr>
          </w:p>
        </w:tc>
        <w:tc>
          <w:tcPr>
            <w:tcW w:w="698" w:type="dxa"/>
          </w:tcPr>
          <w:p>
            <w:pPr>
              <w:jc w:val="center"/>
              <w:rPr>
                <w:rFonts w:ascii="Times New Roman" w:hAnsi="Times New Roman" w:eastAsia="宋体" w:cs="Times New Roman"/>
                <w:color w:val="auto"/>
                <w:szCs w:val="21"/>
              </w:rPr>
            </w:pPr>
          </w:p>
        </w:tc>
        <w:tc>
          <w:tcPr>
            <w:tcW w:w="773" w:type="dxa"/>
            <w:vAlign w:val="center"/>
          </w:tcPr>
          <w:p>
            <w:pPr>
              <w:widowControl/>
              <w:spacing w:line="280" w:lineRule="exact"/>
              <w:textAlignment w:val="center"/>
              <w:rPr>
                <w:rFonts w:ascii="Times New Roman" w:hAnsi="Times New Roman" w:eastAsia="宋体" w:cs="Times New Roman"/>
                <w:b/>
                <w:bCs/>
                <w:color w:val="auto"/>
                <w:szCs w:val="21"/>
              </w:rPr>
            </w:pPr>
            <w:r>
              <w:rPr>
                <w:rFonts w:ascii="Times New Roman" w:hAnsi="Times New Roman" w:eastAsia="宋体" w:cs="Times New Roman"/>
                <w:bCs/>
                <w:color w:val="auto"/>
                <w:szCs w:val="21"/>
              </w:rPr>
              <w:t>B级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39</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auto"/>
                <w:szCs w:val="21"/>
              </w:rPr>
            </w:pPr>
          </w:p>
        </w:tc>
        <w:tc>
          <w:tcPr>
            <w:tcW w:w="2093" w:type="dxa"/>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bCs/>
                <w:color w:val="auto"/>
                <w:szCs w:val="21"/>
              </w:rPr>
              <w:t>企业应对工艺、设备、仪表、电气、公用工程、备件、材料、化学品、生产组织方式和人员等方面发生的所有变更，办理变更管理手续，落实相关变更管理要求。</w:t>
            </w:r>
          </w:p>
        </w:tc>
        <w:tc>
          <w:tcPr>
            <w:tcW w:w="2374" w:type="dxa"/>
            <w:vAlign w:val="center"/>
          </w:tcPr>
          <w:p>
            <w:pPr>
              <w:widowControl/>
              <w:spacing w:line="280" w:lineRule="exact"/>
              <w:textAlignment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《关于加强化工过程安全管理的指导意见》（安监总管三〔2013〕88号）第二十二条</w:t>
            </w:r>
          </w:p>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bCs/>
                <w:color w:val="auto"/>
                <w:szCs w:val="21"/>
              </w:rPr>
              <w:t>《化工和危险化学品生产经营企业重大生产安全事故隐患判定准则》（AQ 3067-2026）第5.7.5条</w:t>
            </w:r>
          </w:p>
        </w:tc>
        <w:tc>
          <w:tcPr>
            <w:tcW w:w="1673"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bCs/>
                <w:color w:val="auto"/>
                <w:szCs w:val="21"/>
              </w:rPr>
              <w:t>通过查阅变更管理制度，核实企业是否将工艺、设备、仪表、电气、公用工程、备件、材料、化学品、生产组织方式和人员等方面发生的所有变化，纳入变更管理范畴。</w:t>
            </w:r>
          </w:p>
        </w:tc>
        <w:tc>
          <w:tcPr>
            <w:tcW w:w="1926" w:type="dxa"/>
          </w:tcPr>
          <w:p>
            <w:pPr>
              <w:jc w:val="center"/>
              <w:rPr>
                <w:rFonts w:ascii="Times New Roman" w:hAnsi="Times New Roman" w:eastAsia="宋体" w:cs="Times New Roman"/>
                <w:color w:val="auto"/>
                <w:szCs w:val="21"/>
              </w:rPr>
            </w:pPr>
          </w:p>
        </w:tc>
        <w:tc>
          <w:tcPr>
            <w:tcW w:w="1985" w:type="dxa"/>
          </w:tcPr>
          <w:p>
            <w:pPr>
              <w:jc w:val="center"/>
              <w:rPr>
                <w:rFonts w:ascii="Times New Roman" w:hAnsi="Times New Roman" w:eastAsia="宋体" w:cs="Times New Roman"/>
                <w:color w:val="auto"/>
                <w:szCs w:val="21"/>
              </w:rPr>
            </w:pPr>
          </w:p>
        </w:tc>
        <w:tc>
          <w:tcPr>
            <w:tcW w:w="1875" w:type="dxa"/>
          </w:tcPr>
          <w:p>
            <w:pPr>
              <w:jc w:val="center"/>
              <w:rPr>
                <w:rFonts w:ascii="Times New Roman" w:hAnsi="Times New Roman" w:eastAsia="宋体" w:cs="Times New Roman"/>
                <w:color w:val="auto"/>
                <w:szCs w:val="21"/>
              </w:rPr>
            </w:pPr>
          </w:p>
        </w:tc>
        <w:tc>
          <w:tcPr>
            <w:tcW w:w="698" w:type="dxa"/>
          </w:tcPr>
          <w:p>
            <w:pPr>
              <w:jc w:val="center"/>
              <w:rPr>
                <w:rFonts w:ascii="Times New Roman" w:hAnsi="Times New Roman" w:eastAsia="宋体" w:cs="Times New Roman"/>
                <w:color w:val="auto"/>
                <w:szCs w:val="21"/>
              </w:rPr>
            </w:pPr>
          </w:p>
        </w:tc>
        <w:tc>
          <w:tcPr>
            <w:tcW w:w="773" w:type="dxa"/>
            <w:vAlign w:val="center"/>
          </w:tcPr>
          <w:p>
            <w:pPr>
              <w:widowControl/>
              <w:spacing w:line="280" w:lineRule="exact"/>
              <w:textAlignment w:val="center"/>
              <w:rPr>
                <w:rFonts w:ascii="Times New Roman" w:hAnsi="Times New Roman" w:eastAsia="宋体" w:cs="Times New Roman"/>
                <w:b/>
                <w:bCs/>
                <w:color w:val="auto"/>
                <w:szCs w:val="21"/>
              </w:rPr>
            </w:pPr>
            <w:r>
              <w:rPr>
                <w:rFonts w:ascii="Times New Roman" w:hAnsi="Times New Roman" w:eastAsia="宋体" w:cs="Times New Roman"/>
                <w:bCs/>
                <w:color w:val="auto"/>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40</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cs="Times New Roman"/>
                <w:color w:val="auto"/>
                <w:szCs w:val="21"/>
              </w:rPr>
            </w:pPr>
          </w:p>
        </w:tc>
        <w:tc>
          <w:tcPr>
            <w:tcW w:w="2093" w:type="dxa"/>
            <w:vAlign w:val="center"/>
          </w:tcPr>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bCs/>
                <w:color w:val="auto"/>
                <w:szCs w:val="21"/>
              </w:rPr>
              <w:t>企业应对变更实施后的相关管理制度、操作规程、图纸资料等安全生产信息进行更新，并对相关人员进行培训。</w:t>
            </w:r>
          </w:p>
        </w:tc>
        <w:tc>
          <w:tcPr>
            <w:tcW w:w="2374" w:type="dxa"/>
            <w:vAlign w:val="center"/>
          </w:tcPr>
          <w:p>
            <w:pPr>
              <w:widowControl/>
              <w:spacing w:line="280" w:lineRule="exact"/>
              <w:textAlignment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《关于加强化工过程安全管理的指导意见》（安监总管三〔2013〕88号）第二十二条</w:t>
            </w:r>
          </w:p>
          <w:p>
            <w:pPr>
              <w:widowControl/>
              <w:spacing w:line="280" w:lineRule="exact"/>
              <w:textAlignment w:val="center"/>
              <w:rPr>
                <w:rFonts w:ascii="Times New Roman" w:hAnsi="Times New Roman" w:eastAsia="宋体" w:cs="Times New Roman"/>
                <w:color w:val="auto"/>
                <w:szCs w:val="21"/>
              </w:rPr>
            </w:pPr>
            <w:r>
              <w:rPr>
                <w:rFonts w:ascii="Times New Roman" w:hAnsi="Times New Roman" w:eastAsia="宋体" w:cs="Times New Roman"/>
                <w:bCs/>
                <w:color w:val="auto"/>
                <w:szCs w:val="21"/>
              </w:rPr>
              <w:t>《化工和危险化学品生产经营企业重大生产安全事故隐患判定准则》（AQ 3067-2026）第5.7.5条</w:t>
            </w:r>
          </w:p>
        </w:tc>
        <w:tc>
          <w:tcPr>
            <w:tcW w:w="1673"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通过查阅变更管理制度，核实企业是否明确了不同部门的变更管理职责及变更的</w:t>
            </w:r>
          </w:p>
          <w:p>
            <w:pPr>
              <w:jc w:val="center"/>
              <w:rPr>
                <w:rFonts w:ascii="Times New Roman" w:hAnsi="Times New Roman" w:eastAsia="宋体" w:cs="Times New Roman"/>
                <w:color w:val="auto"/>
                <w:szCs w:val="21"/>
              </w:rPr>
            </w:pPr>
            <w:r>
              <w:rPr>
                <w:rFonts w:ascii="Times New Roman" w:hAnsi="Times New Roman" w:eastAsia="宋体" w:cs="Times New Roman"/>
                <w:bCs/>
                <w:color w:val="auto"/>
                <w:szCs w:val="21"/>
              </w:rPr>
              <w:t>类型、范围、程序，明确变更的事项、起始时间、可能带来的安全风险、消除和控制安全风险的措施、修改操作规程等安全生产信息、开展变更相关的培训等。</w:t>
            </w:r>
          </w:p>
        </w:tc>
        <w:tc>
          <w:tcPr>
            <w:tcW w:w="1926" w:type="dxa"/>
          </w:tcPr>
          <w:p>
            <w:pPr>
              <w:jc w:val="center"/>
              <w:rPr>
                <w:rFonts w:ascii="Times New Roman" w:hAnsi="Times New Roman" w:eastAsia="宋体" w:cs="Times New Roman"/>
                <w:color w:val="auto"/>
                <w:szCs w:val="21"/>
              </w:rPr>
            </w:pPr>
          </w:p>
        </w:tc>
        <w:tc>
          <w:tcPr>
            <w:tcW w:w="1985" w:type="dxa"/>
          </w:tcPr>
          <w:p>
            <w:pPr>
              <w:jc w:val="center"/>
              <w:rPr>
                <w:rFonts w:ascii="Times New Roman" w:hAnsi="Times New Roman" w:eastAsia="宋体" w:cs="Times New Roman"/>
                <w:color w:val="auto"/>
                <w:szCs w:val="21"/>
              </w:rPr>
            </w:pPr>
          </w:p>
        </w:tc>
        <w:tc>
          <w:tcPr>
            <w:tcW w:w="1875" w:type="dxa"/>
          </w:tcPr>
          <w:p>
            <w:pPr>
              <w:jc w:val="center"/>
              <w:rPr>
                <w:rFonts w:ascii="Times New Roman" w:hAnsi="Times New Roman" w:eastAsia="宋体" w:cs="Times New Roman"/>
                <w:color w:val="auto"/>
                <w:szCs w:val="21"/>
              </w:rPr>
            </w:pPr>
          </w:p>
        </w:tc>
        <w:tc>
          <w:tcPr>
            <w:tcW w:w="698" w:type="dxa"/>
          </w:tcPr>
          <w:p>
            <w:pPr>
              <w:jc w:val="center"/>
              <w:rPr>
                <w:rFonts w:ascii="Times New Roman" w:hAnsi="Times New Roman" w:eastAsia="宋体" w:cs="Times New Roman"/>
                <w:color w:val="auto"/>
                <w:szCs w:val="21"/>
              </w:rPr>
            </w:pPr>
          </w:p>
        </w:tc>
        <w:tc>
          <w:tcPr>
            <w:tcW w:w="773" w:type="dxa"/>
            <w:vAlign w:val="center"/>
          </w:tcPr>
          <w:p>
            <w:pPr>
              <w:widowControl/>
              <w:spacing w:line="280" w:lineRule="exact"/>
              <w:textAlignment w:val="center"/>
              <w:rPr>
                <w:rFonts w:ascii="Times New Roman" w:hAnsi="Times New Roman" w:eastAsia="宋体" w:cs="Times New Roman"/>
                <w:b/>
                <w:bCs/>
                <w:color w:val="auto"/>
                <w:szCs w:val="21"/>
              </w:rPr>
            </w:pPr>
            <w:r>
              <w:rPr>
                <w:rFonts w:ascii="Times New Roman" w:hAnsi="Times New Roman" w:eastAsia="宋体" w:cs="Times New Roman"/>
                <w:bCs/>
                <w:color w:val="auto"/>
                <w:szCs w:val="21"/>
              </w:rPr>
              <w:t>C级</w:t>
            </w:r>
          </w:p>
        </w:tc>
      </w:tr>
    </w:tbl>
    <w:p>
      <w:pPr>
        <w:ind w:firstLine="560" w:firstLineChars="200"/>
        <w:jc w:val="left"/>
        <w:rPr>
          <w:rFonts w:hint="eastAsia" w:ascii="宋体" w:hAnsi="宋体" w:eastAsia="宋体"/>
          <w:color w:val="auto"/>
          <w:sz w:val="28"/>
          <w:szCs w:val="28"/>
        </w:rPr>
      </w:pPr>
    </w:p>
    <w:p>
      <w:pPr>
        <w:widowControl/>
        <w:jc w:val="left"/>
        <w:rPr>
          <w:rFonts w:hint="eastAsia" w:ascii="宋体" w:hAnsi="宋体" w:eastAsia="宋体"/>
          <w:color w:val="auto"/>
          <w:sz w:val="28"/>
          <w:szCs w:val="28"/>
        </w:rPr>
      </w:pPr>
      <w:r>
        <w:rPr>
          <w:rFonts w:hint="eastAsia" w:ascii="宋体" w:hAnsi="宋体" w:eastAsia="宋体"/>
          <w:color w:val="auto"/>
          <w:sz w:val="28"/>
          <w:szCs w:val="28"/>
        </w:rPr>
        <w:br w:type="page"/>
      </w:r>
    </w:p>
    <w:p>
      <w:pPr>
        <w:jc w:val="left"/>
        <w:outlineLvl w:val="1"/>
        <w:rPr>
          <w:rFonts w:hint="eastAsia" w:ascii="宋体" w:hAnsi="宋体" w:eastAsia="宋体"/>
          <w:b/>
          <w:bCs/>
          <w:color w:val="auto"/>
          <w:sz w:val="30"/>
          <w:szCs w:val="30"/>
        </w:rPr>
      </w:pPr>
      <w:bookmarkStart w:id="60" w:name="_Toc237556458"/>
      <w:r>
        <w:rPr>
          <w:rFonts w:hint="eastAsia" w:ascii="宋体" w:hAnsi="宋体" w:eastAsia="宋体"/>
          <w:b/>
          <w:bCs/>
          <w:color w:val="auto"/>
          <w:sz w:val="30"/>
          <w:szCs w:val="30"/>
        </w:rPr>
        <w:t>附件4-2</w:t>
      </w:r>
      <w:r>
        <w:rPr>
          <w:rFonts w:ascii="宋体" w:hAnsi="宋体" w:eastAsia="宋体"/>
          <w:b/>
          <w:bCs/>
          <w:color w:val="auto"/>
          <w:sz w:val="30"/>
          <w:szCs w:val="30"/>
        </w:rPr>
        <w:t>：工艺专业检查表</w:t>
      </w:r>
      <w:bookmarkEnd w:id="60"/>
    </w:p>
    <w:bookmarkEnd w:id="52"/>
    <w:bookmarkEnd w:id="53"/>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0"/>
        <w:gridCol w:w="563"/>
        <w:gridCol w:w="2091"/>
        <w:gridCol w:w="2387"/>
        <w:gridCol w:w="1682"/>
        <w:gridCol w:w="1939"/>
        <w:gridCol w:w="1808"/>
        <w:gridCol w:w="2077"/>
        <w:gridCol w:w="701"/>
        <w:gridCol w:w="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 w:type="dxa"/>
            <w:vAlign w:val="center"/>
          </w:tcPr>
          <w:p>
            <w:pPr>
              <w:jc w:val="center"/>
              <w:rPr>
                <w:rFonts w:ascii="Times New Roman" w:hAnsi="Times New Roman" w:eastAsia="宋体" w:cs="Times New Roman"/>
                <w:b/>
                <w:color w:val="auto"/>
                <w:kern w:val="0"/>
                <w:sz w:val="20"/>
                <w:szCs w:val="21"/>
              </w:rPr>
            </w:pPr>
            <w:r>
              <w:rPr>
                <w:rFonts w:ascii="Times New Roman" w:hAnsi="Times New Roman" w:eastAsia="宋体" w:cs="Times New Roman"/>
                <w:b/>
                <w:color w:val="auto"/>
                <w:kern w:val="0"/>
                <w:sz w:val="20"/>
                <w:szCs w:val="21"/>
              </w:rPr>
              <w:t>序号</w:t>
            </w:r>
          </w:p>
        </w:tc>
        <w:tc>
          <w:tcPr>
            <w:tcW w:w="563" w:type="dxa"/>
            <w:vAlign w:val="center"/>
          </w:tcPr>
          <w:p>
            <w:pPr>
              <w:jc w:val="center"/>
              <w:rPr>
                <w:rFonts w:ascii="Times New Roman" w:hAnsi="Times New Roman" w:eastAsia="宋体" w:cs="Times New Roman"/>
                <w:b/>
                <w:color w:val="auto"/>
                <w:kern w:val="0"/>
                <w:sz w:val="20"/>
                <w:szCs w:val="21"/>
              </w:rPr>
            </w:pPr>
            <w:r>
              <w:rPr>
                <w:rFonts w:ascii="Times New Roman" w:hAnsi="Times New Roman" w:eastAsia="宋体" w:cs="Times New Roman"/>
                <w:b/>
                <w:color w:val="auto"/>
                <w:kern w:val="0"/>
                <w:sz w:val="20"/>
                <w:szCs w:val="21"/>
              </w:rPr>
              <w:t>要素</w:t>
            </w:r>
          </w:p>
        </w:tc>
        <w:tc>
          <w:tcPr>
            <w:tcW w:w="2091" w:type="dxa"/>
            <w:vAlign w:val="center"/>
          </w:tcPr>
          <w:p>
            <w:pPr>
              <w:jc w:val="center"/>
              <w:rPr>
                <w:rFonts w:ascii="Times New Roman" w:hAnsi="Times New Roman" w:eastAsia="宋体" w:cs="Times New Roman"/>
                <w:b/>
                <w:color w:val="auto"/>
                <w:kern w:val="0"/>
                <w:sz w:val="20"/>
                <w:szCs w:val="21"/>
              </w:rPr>
            </w:pPr>
            <w:r>
              <w:rPr>
                <w:rFonts w:ascii="Times New Roman" w:hAnsi="Times New Roman" w:eastAsia="宋体" w:cs="Times New Roman"/>
                <w:b/>
                <w:color w:val="auto"/>
                <w:kern w:val="0"/>
                <w:sz w:val="20"/>
                <w:szCs w:val="21"/>
              </w:rPr>
              <w:t>检查内容</w:t>
            </w:r>
          </w:p>
        </w:tc>
        <w:tc>
          <w:tcPr>
            <w:tcW w:w="2387" w:type="dxa"/>
            <w:vAlign w:val="center"/>
          </w:tcPr>
          <w:p>
            <w:pPr>
              <w:jc w:val="center"/>
              <w:rPr>
                <w:rFonts w:ascii="Times New Roman" w:hAnsi="Times New Roman" w:eastAsia="宋体" w:cs="Times New Roman"/>
                <w:b/>
                <w:color w:val="auto"/>
                <w:kern w:val="0"/>
                <w:sz w:val="20"/>
                <w:szCs w:val="21"/>
              </w:rPr>
            </w:pPr>
            <w:r>
              <w:rPr>
                <w:rFonts w:ascii="Times New Roman" w:hAnsi="Times New Roman" w:eastAsia="宋体" w:cs="Times New Roman"/>
                <w:b/>
                <w:color w:val="auto"/>
                <w:kern w:val="0"/>
                <w:sz w:val="20"/>
                <w:szCs w:val="21"/>
              </w:rPr>
              <w:t>检查依据</w:t>
            </w:r>
          </w:p>
        </w:tc>
        <w:tc>
          <w:tcPr>
            <w:tcW w:w="1682" w:type="dxa"/>
            <w:vAlign w:val="center"/>
          </w:tcPr>
          <w:p>
            <w:pPr>
              <w:jc w:val="center"/>
              <w:rPr>
                <w:rFonts w:ascii="Times New Roman" w:hAnsi="Times New Roman" w:eastAsia="宋体" w:cs="Times New Roman"/>
                <w:b/>
                <w:color w:val="auto"/>
                <w:kern w:val="0"/>
                <w:sz w:val="20"/>
                <w:szCs w:val="21"/>
              </w:rPr>
            </w:pPr>
            <w:r>
              <w:rPr>
                <w:rFonts w:ascii="Times New Roman" w:hAnsi="Times New Roman" w:eastAsia="宋体" w:cs="Times New Roman"/>
                <w:b/>
                <w:color w:val="auto"/>
                <w:kern w:val="0"/>
                <w:sz w:val="20"/>
                <w:szCs w:val="21"/>
              </w:rPr>
              <w:t>检查方式</w:t>
            </w:r>
          </w:p>
        </w:tc>
        <w:tc>
          <w:tcPr>
            <w:tcW w:w="1939" w:type="dxa"/>
            <w:vAlign w:val="center"/>
          </w:tcPr>
          <w:p>
            <w:pPr>
              <w:jc w:val="center"/>
              <w:rPr>
                <w:rFonts w:ascii="Times New Roman" w:hAnsi="Times New Roman" w:eastAsia="宋体" w:cs="Times New Roman"/>
                <w:b/>
                <w:color w:val="auto"/>
                <w:kern w:val="0"/>
                <w:sz w:val="20"/>
                <w:szCs w:val="21"/>
              </w:rPr>
            </w:pPr>
            <w:r>
              <w:rPr>
                <w:rFonts w:ascii="Times New Roman" w:hAnsi="Times New Roman" w:eastAsia="宋体" w:cs="Times New Roman"/>
                <w:b/>
                <w:color w:val="auto"/>
                <w:kern w:val="0"/>
                <w:sz w:val="20"/>
                <w:szCs w:val="21"/>
              </w:rPr>
              <w:t>检查情况</w:t>
            </w:r>
          </w:p>
        </w:tc>
        <w:tc>
          <w:tcPr>
            <w:tcW w:w="1808" w:type="dxa"/>
            <w:vAlign w:val="center"/>
          </w:tcPr>
          <w:p>
            <w:pPr>
              <w:jc w:val="center"/>
              <w:rPr>
                <w:rFonts w:ascii="Times New Roman" w:hAnsi="Times New Roman" w:eastAsia="宋体" w:cs="Times New Roman"/>
                <w:b/>
                <w:color w:val="auto"/>
                <w:kern w:val="0"/>
                <w:sz w:val="20"/>
                <w:szCs w:val="21"/>
              </w:rPr>
            </w:pPr>
            <w:r>
              <w:rPr>
                <w:rFonts w:ascii="Times New Roman" w:hAnsi="Times New Roman" w:eastAsia="宋体" w:cs="Times New Roman"/>
                <w:b/>
                <w:color w:val="auto"/>
                <w:kern w:val="0"/>
                <w:sz w:val="20"/>
                <w:szCs w:val="21"/>
              </w:rPr>
              <w:t>检查问题</w:t>
            </w:r>
          </w:p>
          <w:p>
            <w:pPr>
              <w:jc w:val="center"/>
              <w:rPr>
                <w:rFonts w:ascii="Times New Roman" w:hAnsi="Times New Roman" w:eastAsia="宋体" w:cs="Times New Roman"/>
                <w:b/>
                <w:color w:val="auto"/>
                <w:kern w:val="0"/>
                <w:sz w:val="20"/>
                <w:szCs w:val="21"/>
              </w:rPr>
            </w:pPr>
            <w:r>
              <w:rPr>
                <w:rFonts w:ascii="Times New Roman" w:hAnsi="Times New Roman" w:eastAsia="宋体" w:cs="Times New Roman"/>
                <w:b/>
                <w:color w:val="auto"/>
                <w:kern w:val="0"/>
                <w:sz w:val="20"/>
                <w:szCs w:val="21"/>
              </w:rPr>
              <w:t>（照片）</w:t>
            </w:r>
          </w:p>
        </w:tc>
        <w:tc>
          <w:tcPr>
            <w:tcW w:w="2077" w:type="dxa"/>
            <w:vAlign w:val="center"/>
          </w:tcPr>
          <w:p>
            <w:pPr>
              <w:jc w:val="center"/>
              <w:rPr>
                <w:rFonts w:ascii="Times New Roman" w:hAnsi="Times New Roman" w:eastAsia="宋体" w:cs="Times New Roman"/>
                <w:b/>
                <w:color w:val="auto"/>
                <w:kern w:val="0"/>
                <w:sz w:val="20"/>
                <w:szCs w:val="21"/>
              </w:rPr>
            </w:pPr>
            <w:r>
              <w:rPr>
                <w:rFonts w:ascii="Times New Roman" w:hAnsi="Times New Roman" w:eastAsia="宋体" w:cs="Times New Roman"/>
                <w:b/>
                <w:color w:val="auto"/>
                <w:kern w:val="0"/>
                <w:sz w:val="20"/>
                <w:szCs w:val="21"/>
              </w:rPr>
              <w:t>整改建议</w:t>
            </w:r>
          </w:p>
        </w:tc>
        <w:tc>
          <w:tcPr>
            <w:tcW w:w="701" w:type="dxa"/>
            <w:vAlign w:val="center"/>
          </w:tcPr>
          <w:p>
            <w:pPr>
              <w:jc w:val="center"/>
              <w:rPr>
                <w:rFonts w:ascii="Times New Roman" w:hAnsi="Times New Roman" w:eastAsia="宋体" w:cs="Times New Roman"/>
                <w:b/>
                <w:color w:val="auto"/>
                <w:kern w:val="0"/>
                <w:sz w:val="20"/>
                <w:szCs w:val="21"/>
              </w:rPr>
            </w:pPr>
            <w:r>
              <w:rPr>
                <w:rFonts w:ascii="Times New Roman" w:hAnsi="Times New Roman" w:eastAsia="宋体" w:cs="Times New Roman"/>
                <w:b/>
                <w:color w:val="auto"/>
                <w:kern w:val="0"/>
                <w:sz w:val="20"/>
                <w:szCs w:val="21"/>
              </w:rPr>
              <w:t>重大</w:t>
            </w:r>
          </w:p>
          <w:p>
            <w:pPr>
              <w:jc w:val="center"/>
              <w:rPr>
                <w:rFonts w:ascii="Times New Roman" w:hAnsi="Times New Roman" w:eastAsia="宋体" w:cs="Times New Roman"/>
                <w:b/>
                <w:color w:val="auto"/>
                <w:kern w:val="0"/>
                <w:sz w:val="20"/>
                <w:szCs w:val="21"/>
              </w:rPr>
            </w:pPr>
            <w:r>
              <w:rPr>
                <w:rFonts w:ascii="Times New Roman" w:hAnsi="Times New Roman" w:eastAsia="宋体" w:cs="Times New Roman"/>
                <w:b/>
                <w:color w:val="auto"/>
                <w:kern w:val="0"/>
                <w:sz w:val="20"/>
                <w:szCs w:val="21"/>
              </w:rPr>
              <w:t>隐患</w:t>
            </w:r>
          </w:p>
        </w:tc>
        <w:tc>
          <w:tcPr>
            <w:tcW w:w="782" w:type="dxa"/>
            <w:vAlign w:val="center"/>
          </w:tcPr>
          <w:p>
            <w:pPr>
              <w:jc w:val="center"/>
              <w:rPr>
                <w:rFonts w:ascii="Times New Roman" w:hAnsi="Times New Roman" w:eastAsia="宋体" w:cs="Times New Roman"/>
                <w:b/>
                <w:color w:val="auto"/>
                <w:kern w:val="0"/>
                <w:sz w:val="20"/>
                <w:szCs w:val="21"/>
              </w:rPr>
            </w:pPr>
            <w:r>
              <w:rPr>
                <w:rFonts w:ascii="Times New Roman" w:hAnsi="Times New Roman" w:eastAsia="宋体" w:cs="Times New Roman"/>
                <w:b/>
                <w:color w:val="auto"/>
                <w:kern w:val="0"/>
                <w:sz w:val="20"/>
                <w:szCs w:val="21"/>
              </w:rPr>
              <w:t>不符合项等级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1</w:t>
            </w:r>
          </w:p>
        </w:tc>
        <w:tc>
          <w:tcPr>
            <w:tcW w:w="563" w:type="dxa"/>
            <w:vMerge w:val="restart"/>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工艺风险评估和分析</w:t>
            </w:r>
          </w:p>
        </w:tc>
        <w:tc>
          <w:tcPr>
            <w:tcW w:w="2091"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新开发的危险化学品生产工艺应经小试、中试、工业化试验再进行工业化生产。国内首次采用的化工工艺，要通过省级有关部门组织专家组进行安全论证。</w:t>
            </w:r>
          </w:p>
        </w:tc>
        <w:tc>
          <w:tcPr>
            <w:tcW w:w="2387"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《关于危险化学品企业贯彻落实&lt;国务院关于进一步加强企业安全生产工作的通知&gt;的实施意见 》（安监总管三〔2010〕186 号 ）</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《化工和危险化学品生产经营企业重大生产安全事故隐患判定准则》（AQ 3067-2026）5.3.2</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《危险化学品生产企业安全生产许可证实施办法》（国家安全生产监督管理总局令第41号）第九条</w:t>
            </w:r>
          </w:p>
        </w:tc>
        <w:tc>
          <w:tcPr>
            <w:tcW w:w="1682"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 xml:space="preserve">查阅企业的相关技术转让、工艺包购买、专利使用等协议，核实其生产工艺来源的可靠性。 </w:t>
            </w:r>
          </w:p>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查阅企业的项目可行性研究报告、建设项目预评价报告、设计专篇、竣工验收、现状评价报告等资料，核实企业的生产工艺是否为新开发的危险化学品生产工艺、国内首次采用的化工工艺等。</w:t>
            </w:r>
          </w:p>
        </w:tc>
        <w:tc>
          <w:tcPr>
            <w:tcW w:w="1939" w:type="dxa"/>
          </w:tcPr>
          <w:p>
            <w:pPr>
              <w:jc w:val="center"/>
              <w:rPr>
                <w:rFonts w:ascii="Times New Roman" w:hAnsi="Times New Roman" w:eastAsia="宋体" w:cs="Times New Roman"/>
                <w:bCs/>
                <w:color w:val="auto"/>
                <w:kern w:val="0"/>
                <w:sz w:val="20"/>
                <w:szCs w:val="21"/>
              </w:rPr>
            </w:pPr>
          </w:p>
        </w:tc>
        <w:tc>
          <w:tcPr>
            <w:tcW w:w="1808" w:type="dxa"/>
          </w:tcPr>
          <w:p>
            <w:pPr>
              <w:jc w:val="center"/>
              <w:rPr>
                <w:rFonts w:ascii="Times New Roman" w:hAnsi="Times New Roman" w:eastAsia="宋体" w:cs="Times New Roman"/>
                <w:bCs/>
                <w:color w:val="auto"/>
                <w:kern w:val="0"/>
                <w:sz w:val="20"/>
                <w:szCs w:val="21"/>
              </w:rPr>
            </w:pPr>
          </w:p>
        </w:tc>
        <w:tc>
          <w:tcPr>
            <w:tcW w:w="2077" w:type="dxa"/>
          </w:tcPr>
          <w:p>
            <w:pPr>
              <w:jc w:val="center"/>
              <w:rPr>
                <w:rFonts w:ascii="Times New Roman" w:hAnsi="Times New Roman" w:eastAsia="宋体" w:cs="Times New Roman"/>
                <w:bCs/>
                <w:color w:val="auto"/>
                <w:kern w:val="0"/>
                <w:sz w:val="20"/>
                <w:szCs w:val="21"/>
              </w:rPr>
            </w:pPr>
          </w:p>
        </w:tc>
        <w:tc>
          <w:tcPr>
            <w:tcW w:w="701" w:type="dxa"/>
          </w:tcPr>
          <w:p>
            <w:pPr>
              <w:jc w:val="center"/>
              <w:rPr>
                <w:rFonts w:ascii="Times New Roman" w:hAnsi="Times New Roman" w:eastAsia="宋体" w:cs="Times New Roman"/>
                <w:bCs/>
                <w:color w:val="auto"/>
                <w:kern w:val="0"/>
                <w:sz w:val="20"/>
                <w:szCs w:val="21"/>
              </w:rPr>
            </w:pPr>
          </w:p>
        </w:tc>
        <w:tc>
          <w:tcPr>
            <w:tcW w:w="782" w:type="dxa"/>
            <w:vAlign w:val="center"/>
          </w:tcPr>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2</w:t>
            </w:r>
          </w:p>
        </w:tc>
        <w:tc>
          <w:tcPr>
            <w:tcW w:w="563" w:type="dxa"/>
            <w:vMerge w:val="continue"/>
            <w:vAlign w:val="center"/>
          </w:tcPr>
          <w:p>
            <w:pPr>
              <w:jc w:val="center"/>
              <w:rPr>
                <w:rFonts w:ascii="Times New Roman" w:hAnsi="Times New Roman" w:eastAsia="宋体" w:cs="Times New Roman"/>
                <w:bCs/>
                <w:color w:val="auto"/>
                <w:kern w:val="0"/>
                <w:sz w:val="20"/>
                <w:szCs w:val="21"/>
              </w:rPr>
            </w:pPr>
          </w:p>
        </w:tc>
        <w:tc>
          <w:tcPr>
            <w:tcW w:w="2091"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精细化工企业应按规范性文件要求开展反应安全风险评估。</w:t>
            </w:r>
          </w:p>
        </w:tc>
        <w:tc>
          <w:tcPr>
            <w:tcW w:w="2387"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《关于加强精细化工反应安全风险评估工作的指导意见》（安监总管三〔2017〕1号</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《化工和危险化学品生产经营企业重大生产安全事故隐患判定准则》（AQ 3067-2026）5.3.5</w:t>
            </w:r>
          </w:p>
        </w:tc>
        <w:tc>
          <w:tcPr>
            <w:tcW w:w="1682"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阅相关报告，如企业开展了反应风险评估，则需审查精细化工反应安全风险评估单位信息，是否是协会网站公布的单位，核实报告的内容是否符合《关于加强精细化工反应安全风险评估工作的指导意见》（安监总管三〔2017〕1 号）的要求；查看精细化工反应风险评估报告，核实企业是否按评估报告确定的工艺危险度等级完善风险管控措施、提出的建议措施是否得到落实，若发现高风险的建议措施没有得到采纳和整改，应在诊断报告中重点说明。</w:t>
            </w:r>
          </w:p>
        </w:tc>
        <w:tc>
          <w:tcPr>
            <w:tcW w:w="1939" w:type="dxa"/>
          </w:tcPr>
          <w:p>
            <w:pPr>
              <w:jc w:val="center"/>
              <w:rPr>
                <w:rFonts w:ascii="Times New Roman" w:hAnsi="Times New Roman" w:eastAsia="宋体" w:cs="Times New Roman"/>
                <w:bCs/>
                <w:color w:val="auto"/>
                <w:kern w:val="0"/>
                <w:sz w:val="20"/>
                <w:szCs w:val="21"/>
              </w:rPr>
            </w:pPr>
          </w:p>
        </w:tc>
        <w:tc>
          <w:tcPr>
            <w:tcW w:w="1808" w:type="dxa"/>
          </w:tcPr>
          <w:p>
            <w:pPr>
              <w:jc w:val="center"/>
              <w:rPr>
                <w:rFonts w:ascii="Times New Roman" w:hAnsi="Times New Roman" w:eastAsia="宋体" w:cs="Times New Roman"/>
                <w:bCs/>
                <w:color w:val="auto"/>
                <w:kern w:val="0"/>
                <w:sz w:val="20"/>
                <w:szCs w:val="21"/>
              </w:rPr>
            </w:pPr>
          </w:p>
        </w:tc>
        <w:tc>
          <w:tcPr>
            <w:tcW w:w="2077" w:type="dxa"/>
          </w:tcPr>
          <w:p>
            <w:pPr>
              <w:jc w:val="center"/>
              <w:rPr>
                <w:rFonts w:ascii="Times New Roman" w:hAnsi="Times New Roman" w:eastAsia="宋体" w:cs="Times New Roman"/>
                <w:bCs/>
                <w:color w:val="auto"/>
                <w:kern w:val="0"/>
                <w:sz w:val="20"/>
                <w:szCs w:val="21"/>
              </w:rPr>
            </w:pPr>
          </w:p>
        </w:tc>
        <w:tc>
          <w:tcPr>
            <w:tcW w:w="701" w:type="dxa"/>
          </w:tcPr>
          <w:p>
            <w:pPr>
              <w:jc w:val="center"/>
              <w:rPr>
                <w:rFonts w:ascii="Times New Roman" w:hAnsi="Times New Roman" w:eastAsia="宋体" w:cs="Times New Roman"/>
                <w:bCs/>
                <w:color w:val="auto"/>
                <w:kern w:val="0"/>
                <w:sz w:val="20"/>
                <w:szCs w:val="21"/>
              </w:rPr>
            </w:pPr>
          </w:p>
        </w:tc>
        <w:tc>
          <w:tcPr>
            <w:tcW w:w="782" w:type="dxa"/>
            <w:vAlign w:val="center"/>
          </w:tcPr>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0"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3</w:t>
            </w:r>
          </w:p>
        </w:tc>
        <w:tc>
          <w:tcPr>
            <w:tcW w:w="563" w:type="dxa"/>
            <w:vMerge w:val="continue"/>
            <w:vAlign w:val="center"/>
          </w:tcPr>
          <w:p>
            <w:pPr>
              <w:jc w:val="center"/>
              <w:rPr>
                <w:rFonts w:ascii="Times New Roman" w:hAnsi="Times New Roman" w:eastAsia="宋体" w:cs="Times New Roman"/>
                <w:bCs/>
                <w:color w:val="auto"/>
                <w:kern w:val="0"/>
                <w:sz w:val="20"/>
                <w:szCs w:val="21"/>
              </w:rPr>
            </w:pPr>
          </w:p>
        </w:tc>
        <w:tc>
          <w:tcPr>
            <w:tcW w:w="2091"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生产企业不得使用淘汰落后技术工艺目录列出的工艺。</w:t>
            </w:r>
          </w:p>
        </w:tc>
        <w:tc>
          <w:tcPr>
            <w:tcW w:w="2387"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《化工和危险化学品生产经营企业重大生产安全事故隐患判定准则》（AQ 3067-2026）第5.3.1条</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《安全生产法》第三十八条</w:t>
            </w:r>
          </w:p>
          <w:p>
            <w:pPr>
              <w:widowControl/>
              <w:spacing w:line="280" w:lineRule="exact"/>
              <w:textAlignment w:val="center"/>
              <w:rPr>
                <w:rFonts w:ascii="Times New Roman" w:hAnsi="Times New Roman" w:eastAsia="宋体" w:cs="Times New Roman"/>
                <w:bCs/>
                <w:color w:val="auto"/>
                <w:kern w:val="0"/>
                <w:sz w:val="20"/>
                <w:szCs w:val="21"/>
              </w:rPr>
            </w:pPr>
            <w:bookmarkStart w:id="61" w:name="OLE_LINK21"/>
            <w:r>
              <w:rPr>
                <w:rFonts w:ascii="Times New Roman" w:hAnsi="Times New Roman" w:eastAsia="宋体" w:cs="Times New Roman"/>
                <w:bCs/>
                <w:color w:val="auto"/>
                <w:kern w:val="0"/>
                <w:sz w:val="20"/>
                <w:szCs w:val="21"/>
              </w:rPr>
              <w:t>《关于印发淘汰落后安全技术装备目录（2015年第一批）的通知》（安监总科技〔2015〕75号）</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《淘汰落后安全技术工艺、设备目录（2016年）的通知》（安监总科技〔2016〕137号）</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《淘汰落后危险化学品安全生产工艺技术设备目录（第一批）》的通知（应急厅〔2020〕38号）</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《淘汰落后危险化学品安全生产工艺技术设备目录（第二批）》的通知（应急厅〔2024〕86号）</w:t>
            </w:r>
            <w:bookmarkEnd w:id="61"/>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《危险化学品生产企业安全生产许可证实施办法》（国家安全生产监督管理总局令第41号）第九条</w:t>
            </w:r>
          </w:p>
        </w:tc>
        <w:tc>
          <w:tcPr>
            <w:tcW w:w="1682"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阅资料和现场抽查核实企业是否存在使用《关于印发淘汰落后安全技术装备目录（2015年第一批）的通知》（安监总科技〔2015〕75号）、《淘汰落后安全技术工艺、设备目录（2016年）的通知》（安监总科技〔2016〕137号）、《淘汰落后危险化学品安全生产工艺技术设备目录（第一批）》的通知（应急厅〔2020〕38号）、《淘汰落后危险化学品安全生产工艺技术设备目录（第二批）》的通知（应急厅〔2024〕86号）文件中规定</w:t>
            </w:r>
          </w:p>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的淘汰落后技术工艺的情况。</w:t>
            </w:r>
          </w:p>
        </w:tc>
        <w:tc>
          <w:tcPr>
            <w:tcW w:w="1939" w:type="dxa"/>
          </w:tcPr>
          <w:p>
            <w:pPr>
              <w:jc w:val="center"/>
              <w:rPr>
                <w:rFonts w:ascii="Times New Roman" w:hAnsi="Times New Roman" w:eastAsia="宋体" w:cs="Times New Roman"/>
                <w:bCs/>
                <w:color w:val="auto"/>
                <w:kern w:val="0"/>
                <w:sz w:val="20"/>
                <w:szCs w:val="21"/>
              </w:rPr>
            </w:pPr>
          </w:p>
        </w:tc>
        <w:tc>
          <w:tcPr>
            <w:tcW w:w="1808" w:type="dxa"/>
          </w:tcPr>
          <w:p>
            <w:pPr>
              <w:jc w:val="center"/>
              <w:rPr>
                <w:rFonts w:ascii="Times New Roman" w:hAnsi="Times New Roman" w:eastAsia="宋体" w:cs="Times New Roman"/>
                <w:bCs/>
                <w:color w:val="auto"/>
                <w:kern w:val="0"/>
                <w:sz w:val="20"/>
                <w:szCs w:val="21"/>
              </w:rPr>
            </w:pPr>
          </w:p>
        </w:tc>
        <w:tc>
          <w:tcPr>
            <w:tcW w:w="2077" w:type="dxa"/>
          </w:tcPr>
          <w:p>
            <w:pPr>
              <w:jc w:val="center"/>
              <w:rPr>
                <w:rFonts w:ascii="Times New Roman" w:hAnsi="Times New Roman" w:eastAsia="宋体" w:cs="Times New Roman"/>
                <w:bCs/>
                <w:color w:val="auto"/>
                <w:kern w:val="0"/>
                <w:sz w:val="20"/>
                <w:szCs w:val="21"/>
              </w:rPr>
            </w:pPr>
          </w:p>
        </w:tc>
        <w:tc>
          <w:tcPr>
            <w:tcW w:w="701" w:type="dxa"/>
          </w:tcPr>
          <w:p>
            <w:pPr>
              <w:jc w:val="center"/>
              <w:rPr>
                <w:rFonts w:ascii="Times New Roman" w:hAnsi="Times New Roman" w:eastAsia="宋体" w:cs="Times New Roman"/>
                <w:bCs/>
                <w:color w:val="auto"/>
                <w:kern w:val="0"/>
                <w:sz w:val="20"/>
                <w:szCs w:val="21"/>
              </w:rPr>
            </w:pPr>
          </w:p>
        </w:tc>
        <w:tc>
          <w:tcPr>
            <w:tcW w:w="782" w:type="dxa"/>
            <w:vAlign w:val="center"/>
          </w:tcPr>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4</w:t>
            </w:r>
          </w:p>
        </w:tc>
        <w:tc>
          <w:tcPr>
            <w:tcW w:w="563" w:type="dxa"/>
            <w:vMerge w:val="continue"/>
            <w:vAlign w:val="center"/>
          </w:tcPr>
          <w:p>
            <w:pPr>
              <w:jc w:val="center"/>
              <w:rPr>
                <w:rFonts w:ascii="Times New Roman" w:hAnsi="Times New Roman" w:eastAsia="宋体" w:cs="Times New Roman"/>
                <w:bCs/>
                <w:color w:val="auto"/>
                <w:kern w:val="0"/>
                <w:sz w:val="20"/>
                <w:szCs w:val="21"/>
              </w:rPr>
            </w:pPr>
          </w:p>
        </w:tc>
        <w:tc>
          <w:tcPr>
            <w:tcW w:w="2091"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应对涉及“两重点一重大”的生产、储存装置每3年运用HAZOP分析法进行一次安全风险辨识分析，编制HAZOP分析报告。其他化工生产装置应每5年至少开展一次工艺风险分析，编制工艺风险分析报告。企业对HAZOP分析报告识别出的危险和可操作性问题提出的补偿或减缓的措施，应有采纳落实的意见。</w:t>
            </w:r>
          </w:p>
          <w:p>
            <w:pPr>
              <w:widowControl/>
              <w:spacing w:line="280" w:lineRule="exact"/>
              <w:textAlignment w:val="center"/>
              <w:rPr>
                <w:rFonts w:ascii="Times New Roman" w:hAnsi="Times New Roman" w:eastAsia="宋体" w:cs="Times New Roman"/>
                <w:bCs/>
                <w:color w:val="auto"/>
                <w:kern w:val="0"/>
                <w:sz w:val="20"/>
                <w:szCs w:val="21"/>
              </w:rPr>
            </w:pPr>
          </w:p>
        </w:tc>
        <w:tc>
          <w:tcPr>
            <w:tcW w:w="2387"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《国家安全监管总局关于加强化工过程安全管理的指导意见》（安监总管三〔2013〕88号）第五条</w:t>
            </w:r>
          </w:p>
        </w:tc>
        <w:tc>
          <w:tcPr>
            <w:tcW w:w="1682"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查阅</w:t>
            </w:r>
            <w:r>
              <w:rPr>
                <w:rFonts w:ascii="Times New Roman" w:hAnsi="Times New Roman" w:eastAsia="宋体" w:cs="Times New Roman"/>
                <w:bCs/>
                <w:color w:val="auto"/>
                <w:kern w:val="0"/>
                <w:sz w:val="20"/>
                <w:szCs w:val="21"/>
              </w:rPr>
              <w:t>HAZOP分析报告及报告建议措施的落实情况。</w:t>
            </w:r>
          </w:p>
        </w:tc>
        <w:tc>
          <w:tcPr>
            <w:tcW w:w="1939" w:type="dxa"/>
          </w:tcPr>
          <w:p>
            <w:pPr>
              <w:jc w:val="center"/>
              <w:rPr>
                <w:rFonts w:ascii="Times New Roman" w:hAnsi="Times New Roman" w:eastAsia="宋体" w:cs="Times New Roman"/>
                <w:bCs/>
                <w:color w:val="auto"/>
                <w:kern w:val="0"/>
                <w:sz w:val="20"/>
                <w:szCs w:val="21"/>
              </w:rPr>
            </w:pPr>
          </w:p>
        </w:tc>
        <w:tc>
          <w:tcPr>
            <w:tcW w:w="1808" w:type="dxa"/>
          </w:tcPr>
          <w:p>
            <w:pPr>
              <w:jc w:val="center"/>
              <w:rPr>
                <w:rFonts w:ascii="Times New Roman" w:hAnsi="Times New Roman" w:eastAsia="宋体" w:cs="Times New Roman"/>
                <w:bCs/>
                <w:color w:val="auto"/>
                <w:kern w:val="0"/>
                <w:sz w:val="20"/>
                <w:szCs w:val="21"/>
              </w:rPr>
            </w:pPr>
          </w:p>
        </w:tc>
        <w:tc>
          <w:tcPr>
            <w:tcW w:w="2077" w:type="dxa"/>
          </w:tcPr>
          <w:p>
            <w:pPr>
              <w:jc w:val="center"/>
              <w:rPr>
                <w:rFonts w:ascii="Times New Roman" w:hAnsi="Times New Roman" w:eastAsia="宋体" w:cs="Times New Roman"/>
                <w:bCs/>
                <w:color w:val="auto"/>
                <w:kern w:val="0"/>
                <w:sz w:val="20"/>
                <w:szCs w:val="21"/>
              </w:rPr>
            </w:pPr>
          </w:p>
        </w:tc>
        <w:tc>
          <w:tcPr>
            <w:tcW w:w="701" w:type="dxa"/>
          </w:tcPr>
          <w:p>
            <w:pPr>
              <w:jc w:val="center"/>
              <w:rPr>
                <w:rFonts w:ascii="Times New Roman" w:hAnsi="Times New Roman" w:eastAsia="宋体" w:cs="Times New Roman"/>
                <w:bCs/>
                <w:color w:val="auto"/>
                <w:kern w:val="0"/>
                <w:sz w:val="20"/>
                <w:szCs w:val="21"/>
              </w:rPr>
            </w:pPr>
          </w:p>
        </w:tc>
        <w:tc>
          <w:tcPr>
            <w:tcW w:w="782" w:type="dxa"/>
            <w:vAlign w:val="center"/>
          </w:tcPr>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B级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5</w:t>
            </w:r>
          </w:p>
        </w:tc>
        <w:tc>
          <w:tcPr>
            <w:tcW w:w="563" w:type="dxa"/>
            <w:vMerge w:val="continue"/>
            <w:vAlign w:val="center"/>
          </w:tcPr>
          <w:p>
            <w:pPr>
              <w:jc w:val="center"/>
              <w:rPr>
                <w:rFonts w:ascii="Times New Roman" w:hAnsi="Times New Roman" w:eastAsia="宋体" w:cs="Times New Roman"/>
                <w:bCs/>
                <w:color w:val="auto"/>
                <w:kern w:val="0"/>
                <w:sz w:val="20"/>
                <w:szCs w:val="21"/>
              </w:rPr>
            </w:pPr>
          </w:p>
        </w:tc>
        <w:tc>
          <w:tcPr>
            <w:tcW w:w="2091" w:type="dxa"/>
            <w:vAlign w:val="center"/>
          </w:tcPr>
          <w:p>
            <w:pPr>
              <w:widowControl/>
              <w:spacing w:line="280" w:lineRule="exact"/>
              <w:textAlignment w:val="center"/>
              <w:rPr>
                <w:rFonts w:ascii="Times New Roman" w:hAnsi="Times New Roman" w:eastAsia="宋体" w:cs="Times New Roman"/>
                <w:bCs/>
                <w:color w:val="auto"/>
                <w:kern w:val="0"/>
                <w:sz w:val="20"/>
                <w:szCs w:val="21"/>
              </w:rPr>
            </w:pPr>
            <w:bookmarkStart w:id="62" w:name="OLE_LINK22"/>
            <w:r>
              <w:rPr>
                <w:rFonts w:ascii="Times New Roman" w:hAnsi="Times New Roman" w:eastAsia="宋体" w:cs="Times New Roman"/>
                <w:bCs/>
                <w:color w:val="auto"/>
                <w:kern w:val="0"/>
                <w:sz w:val="20"/>
                <w:szCs w:val="21"/>
              </w:rPr>
              <w:t>不同的工艺尾气</w:t>
            </w:r>
            <w:bookmarkEnd w:id="62"/>
            <w:r>
              <w:rPr>
                <w:rFonts w:ascii="Times New Roman" w:hAnsi="Times New Roman" w:eastAsia="宋体" w:cs="Times New Roman"/>
                <w:bCs/>
                <w:color w:val="auto"/>
                <w:kern w:val="0"/>
                <w:sz w:val="20"/>
                <w:szCs w:val="21"/>
              </w:rPr>
              <w:t>排入同一尾气处理系统，应进行安全风险分析。甲、乙、丙类化学品储罐尾气连通公用回收系统的，应经安全论证合格并落实尾气管道阻爆轰措施。</w:t>
            </w:r>
          </w:p>
        </w:tc>
        <w:tc>
          <w:tcPr>
            <w:tcW w:w="2387"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《危险化学品企业安全风险隐患排查治理导则》（应急〔2019〕78号）</w:t>
            </w:r>
          </w:p>
        </w:tc>
        <w:tc>
          <w:tcPr>
            <w:tcW w:w="1682"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查阅企业提供的安全设计专篇、安全现状评估报告、PID 图，核实企业是否涉及不同工艺的尾气排入同一尾气处理系统、是否存在多个储罐的尾气联通进行回收，若存在上述情况，则要求企业提供安全风险分析报告。</w:t>
            </w:r>
          </w:p>
        </w:tc>
        <w:tc>
          <w:tcPr>
            <w:tcW w:w="1939" w:type="dxa"/>
          </w:tcPr>
          <w:p>
            <w:pPr>
              <w:jc w:val="center"/>
              <w:rPr>
                <w:rFonts w:ascii="Times New Roman" w:hAnsi="Times New Roman" w:eastAsia="宋体" w:cs="Times New Roman"/>
                <w:bCs/>
                <w:color w:val="auto"/>
                <w:kern w:val="0"/>
                <w:sz w:val="20"/>
                <w:szCs w:val="21"/>
              </w:rPr>
            </w:pPr>
          </w:p>
        </w:tc>
        <w:tc>
          <w:tcPr>
            <w:tcW w:w="1808" w:type="dxa"/>
          </w:tcPr>
          <w:p>
            <w:pPr>
              <w:jc w:val="center"/>
              <w:rPr>
                <w:rFonts w:ascii="Times New Roman" w:hAnsi="Times New Roman" w:eastAsia="宋体" w:cs="Times New Roman"/>
                <w:bCs/>
                <w:color w:val="auto"/>
                <w:kern w:val="0"/>
                <w:sz w:val="20"/>
                <w:szCs w:val="21"/>
              </w:rPr>
            </w:pPr>
          </w:p>
        </w:tc>
        <w:tc>
          <w:tcPr>
            <w:tcW w:w="2077" w:type="dxa"/>
          </w:tcPr>
          <w:p>
            <w:pPr>
              <w:jc w:val="center"/>
              <w:rPr>
                <w:rFonts w:ascii="Times New Roman" w:hAnsi="Times New Roman" w:eastAsia="宋体" w:cs="Times New Roman"/>
                <w:bCs/>
                <w:color w:val="auto"/>
                <w:kern w:val="0"/>
                <w:sz w:val="20"/>
                <w:szCs w:val="21"/>
              </w:rPr>
            </w:pPr>
          </w:p>
        </w:tc>
        <w:tc>
          <w:tcPr>
            <w:tcW w:w="701" w:type="dxa"/>
          </w:tcPr>
          <w:p>
            <w:pPr>
              <w:jc w:val="center"/>
              <w:rPr>
                <w:rFonts w:ascii="Times New Roman" w:hAnsi="Times New Roman" w:eastAsia="宋体" w:cs="Times New Roman"/>
                <w:bCs/>
                <w:color w:val="auto"/>
                <w:kern w:val="0"/>
                <w:sz w:val="20"/>
                <w:szCs w:val="21"/>
              </w:rPr>
            </w:pPr>
          </w:p>
        </w:tc>
        <w:tc>
          <w:tcPr>
            <w:tcW w:w="782" w:type="dxa"/>
            <w:vAlign w:val="center"/>
          </w:tcPr>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B级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6</w:t>
            </w:r>
          </w:p>
        </w:tc>
        <w:tc>
          <w:tcPr>
            <w:tcW w:w="563" w:type="dxa"/>
            <w:vMerge w:val="restart"/>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操作规程与工艺卡片</w:t>
            </w:r>
          </w:p>
        </w:tc>
        <w:tc>
          <w:tcPr>
            <w:tcW w:w="2091"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企业应当根据危险化学品的生产工艺、技术、设备特点和原辅料、产品的危险性编制岗位操作安全规程；所有化工和危险化学品生产装置、储存设施、危化品作业和配套生产单元均应制定操作规程和</w:t>
            </w:r>
            <w:bookmarkStart w:id="63" w:name="OLE_LINK23"/>
            <w:r>
              <w:rPr>
                <w:rFonts w:ascii="Times New Roman" w:hAnsi="Times New Roman" w:eastAsia="宋体" w:cs="Times New Roman"/>
                <w:bCs/>
                <w:color w:val="auto"/>
                <w:kern w:val="0"/>
                <w:sz w:val="20"/>
                <w:szCs w:val="21"/>
              </w:rPr>
              <w:t>工艺控制指标</w:t>
            </w:r>
            <w:bookmarkEnd w:id="63"/>
            <w:r>
              <w:rPr>
                <w:rFonts w:ascii="Times New Roman" w:hAnsi="Times New Roman" w:eastAsia="宋体" w:cs="Times New Roman"/>
                <w:bCs/>
                <w:color w:val="auto"/>
                <w:kern w:val="0"/>
                <w:sz w:val="20"/>
                <w:szCs w:val="21"/>
              </w:rPr>
              <w:t>。</w:t>
            </w:r>
          </w:p>
        </w:tc>
        <w:tc>
          <w:tcPr>
            <w:tcW w:w="2387"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《化工过程安全管理导则》AQ/T3034-2022第4.9.1条</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《化工和危险化学品生产经营企业重大生产安全事故隐患判定准则》（AQ 3067-2026）第5.5.2条</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《危险化学品生产企业安全生产许可证实施办法》（国家安全生产监督管理总局令第41号）第十五条</w:t>
            </w:r>
          </w:p>
        </w:tc>
        <w:tc>
          <w:tcPr>
            <w:tcW w:w="1682"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查操作规程、工艺卡片、访谈。</w:t>
            </w:r>
          </w:p>
        </w:tc>
        <w:tc>
          <w:tcPr>
            <w:tcW w:w="1939" w:type="dxa"/>
          </w:tcPr>
          <w:p>
            <w:pPr>
              <w:jc w:val="center"/>
              <w:rPr>
                <w:rFonts w:ascii="Times New Roman" w:hAnsi="Times New Roman" w:eastAsia="宋体" w:cs="Times New Roman"/>
                <w:bCs/>
                <w:color w:val="auto"/>
                <w:kern w:val="0"/>
                <w:sz w:val="20"/>
                <w:szCs w:val="21"/>
              </w:rPr>
            </w:pPr>
          </w:p>
        </w:tc>
        <w:tc>
          <w:tcPr>
            <w:tcW w:w="1808" w:type="dxa"/>
          </w:tcPr>
          <w:p>
            <w:pPr>
              <w:jc w:val="center"/>
              <w:rPr>
                <w:rFonts w:ascii="Times New Roman" w:hAnsi="Times New Roman" w:eastAsia="宋体" w:cs="Times New Roman"/>
                <w:bCs/>
                <w:color w:val="auto"/>
                <w:kern w:val="0"/>
                <w:sz w:val="20"/>
                <w:szCs w:val="21"/>
              </w:rPr>
            </w:pPr>
          </w:p>
        </w:tc>
        <w:tc>
          <w:tcPr>
            <w:tcW w:w="2077" w:type="dxa"/>
          </w:tcPr>
          <w:p>
            <w:pPr>
              <w:jc w:val="center"/>
              <w:rPr>
                <w:rFonts w:ascii="Times New Roman" w:hAnsi="Times New Roman" w:eastAsia="宋体" w:cs="Times New Roman"/>
                <w:bCs/>
                <w:color w:val="auto"/>
                <w:kern w:val="0"/>
                <w:sz w:val="20"/>
                <w:szCs w:val="21"/>
              </w:rPr>
            </w:pPr>
          </w:p>
        </w:tc>
        <w:tc>
          <w:tcPr>
            <w:tcW w:w="701" w:type="dxa"/>
          </w:tcPr>
          <w:p>
            <w:pPr>
              <w:jc w:val="center"/>
              <w:rPr>
                <w:rFonts w:ascii="Times New Roman" w:hAnsi="Times New Roman" w:eastAsia="宋体" w:cs="Times New Roman"/>
                <w:bCs/>
                <w:color w:val="auto"/>
                <w:kern w:val="0"/>
                <w:sz w:val="20"/>
                <w:szCs w:val="21"/>
              </w:rPr>
            </w:pPr>
          </w:p>
        </w:tc>
        <w:tc>
          <w:tcPr>
            <w:tcW w:w="782" w:type="dxa"/>
            <w:vAlign w:val="center"/>
          </w:tcPr>
          <w:p>
            <w:pPr>
              <w:spacing w:line="280" w:lineRule="exact"/>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0"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7</w:t>
            </w:r>
          </w:p>
        </w:tc>
        <w:tc>
          <w:tcPr>
            <w:tcW w:w="563" w:type="dxa"/>
            <w:vMerge w:val="continue"/>
            <w:vAlign w:val="center"/>
          </w:tcPr>
          <w:p>
            <w:pPr>
              <w:jc w:val="center"/>
              <w:rPr>
                <w:rFonts w:ascii="Times New Roman" w:hAnsi="Times New Roman" w:eastAsia="宋体" w:cs="Times New Roman"/>
                <w:bCs/>
                <w:color w:val="auto"/>
                <w:kern w:val="0"/>
                <w:sz w:val="20"/>
                <w:szCs w:val="21"/>
              </w:rPr>
            </w:pPr>
          </w:p>
        </w:tc>
        <w:tc>
          <w:tcPr>
            <w:tcW w:w="2091"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 xml:space="preserve">操作规程的内容至少应包括： </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 xml:space="preserve">1.岗位生产工艺流程，工艺原理，物料平衡表、能量平衡表，关键工艺参数的正常控制范围，偏离正常工况的后果，防止和纠正偏离正常工况的方法及步骤； </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 xml:space="preserve">2.装置正常开车、正常操作、临时操作、应急操作、正常停车和紧急停车的操作步骤和安全要求； </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 xml:space="preserve">3.工艺参数一览表，包括设计值、正常控制范围、报警值及联锁值； </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4.岗位涉及的危险化学品危害信息、应急处理原则以及操作时的人身安全保障、职业健康注意事项。</w:t>
            </w:r>
          </w:p>
        </w:tc>
        <w:tc>
          <w:tcPr>
            <w:tcW w:w="2387"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《国家安全监管总局关于加强化工过程安全管理的指导意见》（安监总管三〔2013〕88 号）第八条</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《化工过程安全管理导则》AQ/T3034-2022第4.9.1条</w:t>
            </w:r>
          </w:p>
        </w:tc>
        <w:tc>
          <w:tcPr>
            <w:tcW w:w="1682"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查操作规程、工艺卡片、访谈。</w:t>
            </w:r>
          </w:p>
        </w:tc>
        <w:tc>
          <w:tcPr>
            <w:tcW w:w="1939" w:type="dxa"/>
          </w:tcPr>
          <w:p>
            <w:pPr>
              <w:jc w:val="center"/>
              <w:rPr>
                <w:rFonts w:ascii="Times New Roman" w:hAnsi="Times New Roman" w:eastAsia="宋体" w:cs="Times New Roman"/>
                <w:bCs/>
                <w:color w:val="auto"/>
                <w:kern w:val="0"/>
                <w:sz w:val="20"/>
                <w:szCs w:val="21"/>
              </w:rPr>
            </w:pPr>
          </w:p>
        </w:tc>
        <w:tc>
          <w:tcPr>
            <w:tcW w:w="1808" w:type="dxa"/>
          </w:tcPr>
          <w:p>
            <w:pPr>
              <w:jc w:val="center"/>
              <w:rPr>
                <w:rFonts w:ascii="Times New Roman" w:hAnsi="Times New Roman" w:eastAsia="宋体" w:cs="Times New Roman"/>
                <w:bCs/>
                <w:color w:val="auto"/>
                <w:kern w:val="0"/>
                <w:sz w:val="20"/>
                <w:szCs w:val="21"/>
              </w:rPr>
            </w:pPr>
          </w:p>
        </w:tc>
        <w:tc>
          <w:tcPr>
            <w:tcW w:w="2077" w:type="dxa"/>
          </w:tcPr>
          <w:p>
            <w:pPr>
              <w:jc w:val="center"/>
              <w:rPr>
                <w:rFonts w:ascii="Times New Roman" w:hAnsi="Times New Roman" w:eastAsia="宋体" w:cs="Times New Roman"/>
                <w:bCs/>
                <w:color w:val="auto"/>
                <w:kern w:val="0"/>
                <w:sz w:val="20"/>
                <w:szCs w:val="21"/>
              </w:rPr>
            </w:pPr>
          </w:p>
        </w:tc>
        <w:tc>
          <w:tcPr>
            <w:tcW w:w="701" w:type="dxa"/>
          </w:tcPr>
          <w:p>
            <w:pPr>
              <w:jc w:val="center"/>
              <w:rPr>
                <w:rFonts w:ascii="Times New Roman" w:hAnsi="Times New Roman" w:eastAsia="宋体" w:cs="Times New Roman"/>
                <w:bCs/>
                <w:color w:val="auto"/>
                <w:kern w:val="0"/>
                <w:sz w:val="20"/>
                <w:szCs w:val="21"/>
              </w:rPr>
            </w:pPr>
          </w:p>
        </w:tc>
        <w:tc>
          <w:tcPr>
            <w:tcW w:w="782" w:type="dxa"/>
            <w:vAlign w:val="center"/>
          </w:tcPr>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8</w:t>
            </w:r>
          </w:p>
        </w:tc>
        <w:tc>
          <w:tcPr>
            <w:tcW w:w="563" w:type="dxa"/>
            <w:vMerge w:val="continue"/>
            <w:vAlign w:val="center"/>
          </w:tcPr>
          <w:p>
            <w:pPr>
              <w:jc w:val="center"/>
              <w:rPr>
                <w:rFonts w:ascii="Times New Roman" w:hAnsi="Times New Roman" w:eastAsia="宋体" w:cs="Times New Roman"/>
                <w:bCs/>
                <w:color w:val="auto"/>
                <w:kern w:val="0"/>
                <w:sz w:val="20"/>
                <w:szCs w:val="21"/>
              </w:rPr>
            </w:pPr>
          </w:p>
        </w:tc>
        <w:tc>
          <w:tcPr>
            <w:tcW w:w="2091"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操作规程中有关工艺参数的正常控制范围及报警、联锁值不应超过对应的设计值。工艺卡片中有关重要控制指标、报警和联锁值应与操作规程一致。</w:t>
            </w:r>
          </w:p>
        </w:tc>
        <w:tc>
          <w:tcPr>
            <w:tcW w:w="2387"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《化工过程安全管理导则》AQ/T3034-2022第4.9.1条</w:t>
            </w:r>
          </w:p>
        </w:tc>
        <w:tc>
          <w:tcPr>
            <w:tcW w:w="1682"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查操作规程、工艺卡片、访谈。</w:t>
            </w:r>
          </w:p>
        </w:tc>
        <w:tc>
          <w:tcPr>
            <w:tcW w:w="1939" w:type="dxa"/>
          </w:tcPr>
          <w:p>
            <w:pPr>
              <w:jc w:val="center"/>
              <w:rPr>
                <w:rFonts w:ascii="Times New Roman" w:hAnsi="Times New Roman" w:eastAsia="宋体" w:cs="Times New Roman"/>
                <w:bCs/>
                <w:color w:val="auto"/>
                <w:kern w:val="0"/>
                <w:sz w:val="20"/>
                <w:szCs w:val="21"/>
              </w:rPr>
            </w:pPr>
          </w:p>
        </w:tc>
        <w:tc>
          <w:tcPr>
            <w:tcW w:w="1808" w:type="dxa"/>
          </w:tcPr>
          <w:p>
            <w:pPr>
              <w:jc w:val="center"/>
              <w:rPr>
                <w:rFonts w:ascii="Times New Roman" w:hAnsi="Times New Roman" w:eastAsia="宋体" w:cs="Times New Roman"/>
                <w:bCs/>
                <w:color w:val="auto"/>
                <w:kern w:val="0"/>
                <w:sz w:val="20"/>
                <w:szCs w:val="21"/>
              </w:rPr>
            </w:pPr>
          </w:p>
        </w:tc>
        <w:tc>
          <w:tcPr>
            <w:tcW w:w="2077" w:type="dxa"/>
          </w:tcPr>
          <w:p>
            <w:pPr>
              <w:jc w:val="center"/>
              <w:rPr>
                <w:rFonts w:ascii="Times New Roman" w:hAnsi="Times New Roman" w:eastAsia="宋体" w:cs="Times New Roman"/>
                <w:bCs/>
                <w:color w:val="auto"/>
                <w:kern w:val="0"/>
                <w:sz w:val="20"/>
                <w:szCs w:val="21"/>
              </w:rPr>
            </w:pPr>
          </w:p>
        </w:tc>
        <w:tc>
          <w:tcPr>
            <w:tcW w:w="701" w:type="dxa"/>
          </w:tcPr>
          <w:p>
            <w:pPr>
              <w:jc w:val="center"/>
              <w:rPr>
                <w:rFonts w:ascii="Times New Roman" w:hAnsi="Times New Roman" w:eastAsia="宋体" w:cs="Times New Roman"/>
                <w:bCs/>
                <w:color w:val="auto"/>
                <w:kern w:val="0"/>
                <w:sz w:val="20"/>
                <w:szCs w:val="21"/>
              </w:rPr>
            </w:pPr>
          </w:p>
        </w:tc>
        <w:tc>
          <w:tcPr>
            <w:tcW w:w="782" w:type="dxa"/>
            <w:vAlign w:val="center"/>
          </w:tcPr>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9</w:t>
            </w:r>
          </w:p>
        </w:tc>
        <w:tc>
          <w:tcPr>
            <w:tcW w:w="563" w:type="dxa"/>
            <w:vMerge w:val="continue"/>
            <w:vAlign w:val="center"/>
          </w:tcPr>
          <w:p>
            <w:pPr>
              <w:jc w:val="center"/>
              <w:rPr>
                <w:rFonts w:ascii="Times New Roman" w:hAnsi="Times New Roman" w:eastAsia="宋体" w:cs="Times New Roman"/>
                <w:bCs/>
                <w:color w:val="auto"/>
                <w:kern w:val="0"/>
                <w:sz w:val="20"/>
                <w:szCs w:val="21"/>
              </w:rPr>
            </w:pPr>
          </w:p>
        </w:tc>
        <w:tc>
          <w:tcPr>
            <w:tcW w:w="2091"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内浮顶储罐的低低液位报警值未按照标准规范设置或正常运行时浮顶落底。</w:t>
            </w:r>
          </w:p>
        </w:tc>
        <w:tc>
          <w:tcPr>
            <w:tcW w:w="2387"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《化工（危险化学品）企业安全检查重点指导目录》（安监总管三〔2015〕113号）</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《化工和危险化学品生产经营企业重大生产安全事故隐患判定准则》（AQ 3067-2026）第5.5.12条、</w:t>
            </w:r>
          </w:p>
        </w:tc>
        <w:tc>
          <w:tcPr>
            <w:tcW w:w="1682"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查现场</w:t>
            </w:r>
          </w:p>
        </w:tc>
        <w:tc>
          <w:tcPr>
            <w:tcW w:w="1939" w:type="dxa"/>
          </w:tcPr>
          <w:p>
            <w:pPr>
              <w:jc w:val="center"/>
              <w:rPr>
                <w:rFonts w:ascii="Times New Roman" w:hAnsi="Times New Roman" w:eastAsia="宋体" w:cs="Times New Roman"/>
                <w:bCs/>
                <w:color w:val="auto"/>
                <w:kern w:val="0"/>
                <w:sz w:val="20"/>
                <w:szCs w:val="21"/>
              </w:rPr>
            </w:pPr>
          </w:p>
        </w:tc>
        <w:tc>
          <w:tcPr>
            <w:tcW w:w="1808" w:type="dxa"/>
          </w:tcPr>
          <w:p>
            <w:pPr>
              <w:jc w:val="center"/>
              <w:rPr>
                <w:rFonts w:ascii="Times New Roman" w:hAnsi="Times New Roman" w:eastAsia="宋体" w:cs="Times New Roman"/>
                <w:bCs/>
                <w:color w:val="auto"/>
                <w:kern w:val="0"/>
                <w:sz w:val="20"/>
                <w:szCs w:val="21"/>
              </w:rPr>
            </w:pPr>
          </w:p>
        </w:tc>
        <w:tc>
          <w:tcPr>
            <w:tcW w:w="2077" w:type="dxa"/>
          </w:tcPr>
          <w:p>
            <w:pPr>
              <w:jc w:val="center"/>
              <w:rPr>
                <w:rFonts w:ascii="Times New Roman" w:hAnsi="Times New Roman" w:eastAsia="宋体" w:cs="Times New Roman"/>
                <w:bCs/>
                <w:color w:val="auto"/>
                <w:kern w:val="0"/>
                <w:sz w:val="20"/>
                <w:szCs w:val="21"/>
              </w:rPr>
            </w:pPr>
          </w:p>
        </w:tc>
        <w:tc>
          <w:tcPr>
            <w:tcW w:w="701" w:type="dxa"/>
          </w:tcPr>
          <w:p>
            <w:pPr>
              <w:jc w:val="center"/>
              <w:rPr>
                <w:rFonts w:ascii="Times New Roman" w:hAnsi="Times New Roman" w:eastAsia="宋体" w:cs="Times New Roman"/>
                <w:bCs/>
                <w:color w:val="auto"/>
                <w:kern w:val="0"/>
                <w:sz w:val="20"/>
                <w:szCs w:val="21"/>
              </w:rPr>
            </w:pPr>
          </w:p>
        </w:tc>
        <w:tc>
          <w:tcPr>
            <w:tcW w:w="782" w:type="dxa"/>
            <w:vAlign w:val="center"/>
          </w:tcPr>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10</w:t>
            </w:r>
          </w:p>
        </w:tc>
        <w:tc>
          <w:tcPr>
            <w:tcW w:w="563" w:type="dxa"/>
            <w:vMerge w:val="continue"/>
            <w:vAlign w:val="center"/>
          </w:tcPr>
          <w:p>
            <w:pPr>
              <w:jc w:val="center"/>
              <w:rPr>
                <w:rFonts w:ascii="Times New Roman" w:hAnsi="Times New Roman" w:eastAsia="宋体" w:cs="Times New Roman"/>
                <w:bCs/>
                <w:color w:val="auto"/>
                <w:kern w:val="0"/>
                <w:sz w:val="20"/>
                <w:szCs w:val="21"/>
              </w:rPr>
            </w:pPr>
          </w:p>
        </w:tc>
        <w:tc>
          <w:tcPr>
            <w:tcW w:w="2091"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应根据操作规程中确定的重要控制指标，编制工艺卡片。</w:t>
            </w:r>
          </w:p>
        </w:tc>
        <w:tc>
          <w:tcPr>
            <w:tcW w:w="2387"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《化工过程安全管理导则》AQ/T3034-2022第4.9.1.3条</w:t>
            </w:r>
          </w:p>
        </w:tc>
        <w:tc>
          <w:tcPr>
            <w:tcW w:w="1682"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查操作规程、工艺卡片</w:t>
            </w:r>
          </w:p>
        </w:tc>
        <w:tc>
          <w:tcPr>
            <w:tcW w:w="1939" w:type="dxa"/>
          </w:tcPr>
          <w:p>
            <w:pPr>
              <w:jc w:val="center"/>
              <w:rPr>
                <w:rFonts w:ascii="Times New Roman" w:hAnsi="Times New Roman" w:eastAsia="宋体" w:cs="Times New Roman"/>
                <w:bCs/>
                <w:color w:val="auto"/>
                <w:kern w:val="0"/>
                <w:sz w:val="20"/>
                <w:szCs w:val="21"/>
              </w:rPr>
            </w:pPr>
          </w:p>
        </w:tc>
        <w:tc>
          <w:tcPr>
            <w:tcW w:w="1808" w:type="dxa"/>
          </w:tcPr>
          <w:p>
            <w:pPr>
              <w:jc w:val="center"/>
              <w:rPr>
                <w:rFonts w:ascii="Times New Roman" w:hAnsi="Times New Roman" w:eastAsia="宋体" w:cs="Times New Roman"/>
                <w:bCs/>
                <w:color w:val="auto"/>
                <w:kern w:val="0"/>
                <w:sz w:val="20"/>
                <w:szCs w:val="21"/>
              </w:rPr>
            </w:pPr>
          </w:p>
        </w:tc>
        <w:tc>
          <w:tcPr>
            <w:tcW w:w="2077" w:type="dxa"/>
          </w:tcPr>
          <w:p>
            <w:pPr>
              <w:jc w:val="center"/>
              <w:rPr>
                <w:rFonts w:ascii="Times New Roman" w:hAnsi="Times New Roman" w:eastAsia="宋体" w:cs="Times New Roman"/>
                <w:bCs/>
                <w:color w:val="auto"/>
                <w:kern w:val="0"/>
                <w:sz w:val="20"/>
                <w:szCs w:val="21"/>
              </w:rPr>
            </w:pPr>
          </w:p>
        </w:tc>
        <w:tc>
          <w:tcPr>
            <w:tcW w:w="701" w:type="dxa"/>
          </w:tcPr>
          <w:p>
            <w:pPr>
              <w:jc w:val="center"/>
              <w:rPr>
                <w:rFonts w:ascii="Times New Roman" w:hAnsi="Times New Roman" w:eastAsia="宋体" w:cs="Times New Roman"/>
                <w:bCs/>
                <w:color w:val="auto"/>
                <w:kern w:val="0"/>
                <w:sz w:val="20"/>
                <w:szCs w:val="21"/>
              </w:rPr>
            </w:pPr>
          </w:p>
        </w:tc>
        <w:tc>
          <w:tcPr>
            <w:tcW w:w="782" w:type="dxa"/>
            <w:vAlign w:val="center"/>
          </w:tcPr>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0"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11</w:t>
            </w:r>
          </w:p>
        </w:tc>
        <w:tc>
          <w:tcPr>
            <w:tcW w:w="563" w:type="dxa"/>
            <w:vMerge w:val="continue"/>
            <w:vAlign w:val="center"/>
          </w:tcPr>
          <w:p>
            <w:pPr>
              <w:jc w:val="center"/>
              <w:rPr>
                <w:rFonts w:ascii="Times New Roman" w:hAnsi="Times New Roman" w:eastAsia="宋体" w:cs="Times New Roman"/>
                <w:bCs/>
                <w:color w:val="auto"/>
                <w:kern w:val="0"/>
                <w:sz w:val="20"/>
                <w:szCs w:val="21"/>
              </w:rPr>
            </w:pPr>
          </w:p>
        </w:tc>
        <w:tc>
          <w:tcPr>
            <w:tcW w:w="2091"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应每年对操作规程进行适用性和有效性审核，至少每3年对操作规程进行1次全面修订。</w:t>
            </w:r>
          </w:p>
        </w:tc>
        <w:tc>
          <w:tcPr>
            <w:tcW w:w="2387"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《化工过程安全管理导则》AQ/T3034-2022第4.9.1.4条</w:t>
            </w:r>
          </w:p>
        </w:tc>
        <w:tc>
          <w:tcPr>
            <w:tcW w:w="1682"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查操作规程</w:t>
            </w:r>
          </w:p>
        </w:tc>
        <w:tc>
          <w:tcPr>
            <w:tcW w:w="1939" w:type="dxa"/>
          </w:tcPr>
          <w:p>
            <w:pPr>
              <w:jc w:val="center"/>
              <w:rPr>
                <w:rFonts w:ascii="Times New Roman" w:hAnsi="Times New Roman" w:eastAsia="宋体" w:cs="Times New Roman"/>
                <w:bCs/>
                <w:color w:val="auto"/>
                <w:kern w:val="0"/>
                <w:sz w:val="20"/>
                <w:szCs w:val="21"/>
              </w:rPr>
            </w:pPr>
          </w:p>
        </w:tc>
        <w:tc>
          <w:tcPr>
            <w:tcW w:w="1808" w:type="dxa"/>
          </w:tcPr>
          <w:p>
            <w:pPr>
              <w:jc w:val="center"/>
              <w:rPr>
                <w:rFonts w:ascii="Times New Roman" w:hAnsi="Times New Roman" w:eastAsia="宋体" w:cs="Times New Roman"/>
                <w:bCs/>
                <w:color w:val="auto"/>
                <w:kern w:val="0"/>
                <w:sz w:val="20"/>
                <w:szCs w:val="21"/>
              </w:rPr>
            </w:pPr>
          </w:p>
        </w:tc>
        <w:tc>
          <w:tcPr>
            <w:tcW w:w="2077" w:type="dxa"/>
          </w:tcPr>
          <w:p>
            <w:pPr>
              <w:jc w:val="center"/>
              <w:rPr>
                <w:rFonts w:ascii="Times New Roman" w:hAnsi="Times New Roman" w:eastAsia="宋体" w:cs="Times New Roman"/>
                <w:bCs/>
                <w:color w:val="auto"/>
                <w:kern w:val="0"/>
                <w:sz w:val="20"/>
                <w:szCs w:val="21"/>
              </w:rPr>
            </w:pPr>
          </w:p>
        </w:tc>
        <w:tc>
          <w:tcPr>
            <w:tcW w:w="701" w:type="dxa"/>
          </w:tcPr>
          <w:p>
            <w:pPr>
              <w:jc w:val="center"/>
              <w:rPr>
                <w:rFonts w:ascii="Times New Roman" w:hAnsi="Times New Roman" w:eastAsia="宋体" w:cs="Times New Roman"/>
                <w:bCs/>
                <w:color w:val="auto"/>
                <w:kern w:val="0"/>
                <w:sz w:val="20"/>
                <w:szCs w:val="21"/>
              </w:rPr>
            </w:pPr>
          </w:p>
        </w:tc>
        <w:tc>
          <w:tcPr>
            <w:tcW w:w="782" w:type="dxa"/>
            <w:vAlign w:val="center"/>
          </w:tcPr>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12</w:t>
            </w:r>
          </w:p>
        </w:tc>
        <w:tc>
          <w:tcPr>
            <w:tcW w:w="563" w:type="dxa"/>
            <w:vMerge w:val="continue"/>
            <w:vAlign w:val="center"/>
          </w:tcPr>
          <w:p>
            <w:pPr>
              <w:jc w:val="center"/>
              <w:rPr>
                <w:rFonts w:ascii="Times New Roman" w:hAnsi="Times New Roman" w:eastAsia="宋体" w:cs="Times New Roman"/>
                <w:bCs/>
                <w:color w:val="auto"/>
                <w:kern w:val="0"/>
                <w:sz w:val="20"/>
                <w:szCs w:val="21"/>
              </w:rPr>
            </w:pPr>
          </w:p>
        </w:tc>
        <w:tc>
          <w:tcPr>
            <w:tcW w:w="2091"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企业应定期对岗位人员开展操作规程培训和考核。</w:t>
            </w:r>
          </w:p>
        </w:tc>
        <w:tc>
          <w:tcPr>
            <w:tcW w:w="2387"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《安全生产法》第二十八条</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《化工过程安全管理导则》AQ/T3034-2022第4.9.1.6条</w:t>
            </w:r>
          </w:p>
        </w:tc>
        <w:tc>
          <w:tcPr>
            <w:tcW w:w="1682"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 xml:space="preserve">通过查阅员工培训记录、考核记录，核实企业是否组织员工开展操作规程方面的培训，核对考核内容是否与所培训的操作规程的相符合。 </w:t>
            </w:r>
          </w:p>
        </w:tc>
        <w:tc>
          <w:tcPr>
            <w:tcW w:w="1939" w:type="dxa"/>
          </w:tcPr>
          <w:p>
            <w:pPr>
              <w:jc w:val="center"/>
              <w:rPr>
                <w:rFonts w:ascii="Times New Roman" w:hAnsi="Times New Roman" w:eastAsia="宋体" w:cs="Times New Roman"/>
                <w:bCs/>
                <w:color w:val="auto"/>
                <w:kern w:val="0"/>
                <w:sz w:val="20"/>
                <w:szCs w:val="21"/>
              </w:rPr>
            </w:pPr>
          </w:p>
        </w:tc>
        <w:tc>
          <w:tcPr>
            <w:tcW w:w="1808" w:type="dxa"/>
          </w:tcPr>
          <w:p>
            <w:pPr>
              <w:jc w:val="center"/>
              <w:rPr>
                <w:rFonts w:ascii="Times New Roman" w:hAnsi="Times New Roman" w:eastAsia="宋体" w:cs="Times New Roman"/>
                <w:bCs/>
                <w:color w:val="auto"/>
                <w:kern w:val="0"/>
                <w:sz w:val="20"/>
                <w:szCs w:val="21"/>
              </w:rPr>
            </w:pPr>
          </w:p>
        </w:tc>
        <w:tc>
          <w:tcPr>
            <w:tcW w:w="2077" w:type="dxa"/>
          </w:tcPr>
          <w:p>
            <w:pPr>
              <w:jc w:val="center"/>
              <w:rPr>
                <w:rFonts w:ascii="Times New Roman" w:hAnsi="Times New Roman" w:eastAsia="宋体" w:cs="Times New Roman"/>
                <w:bCs/>
                <w:color w:val="auto"/>
                <w:kern w:val="0"/>
                <w:sz w:val="20"/>
                <w:szCs w:val="21"/>
              </w:rPr>
            </w:pPr>
          </w:p>
        </w:tc>
        <w:tc>
          <w:tcPr>
            <w:tcW w:w="701" w:type="dxa"/>
          </w:tcPr>
          <w:p>
            <w:pPr>
              <w:jc w:val="center"/>
              <w:rPr>
                <w:rFonts w:ascii="Times New Roman" w:hAnsi="Times New Roman" w:eastAsia="宋体" w:cs="Times New Roman"/>
                <w:bCs/>
                <w:color w:val="auto"/>
                <w:kern w:val="0"/>
                <w:sz w:val="20"/>
                <w:szCs w:val="21"/>
              </w:rPr>
            </w:pPr>
          </w:p>
        </w:tc>
        <w:tc>
          <w:tcPr>
            <w:tcW w:w="782" w:type="dxa"/>
            <w:vAlign w:val="center"/>
          </w:tcPr>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13</w:t>
            </w:r>
          </w:p>
        </w:tc>
        <w:tc>
          <w:tcPr>
            <w:tcW w:w="563" w:type="dxa"/>
            <w:vMerge w:val="continue"/>
            <w:vAlign w:val="center"/>
          </w:tcPr>
          <w:p>
            <w:pPr>
              <w:jc w:val="center"/>
              <w:rPr>
                <w:rFonts w:ascii="Times New Roman" w:hAnsi="Times New Roman" w:eastAsia="宋体" w:cs="Times New Roman"/>
                <w:bCs/>
                <w:color w:val="auto"/>
                <w:kern w:val="0"/>
                <w:sz w:val="20"/>
                <w:szCs w:val="21"/>
              </w:rPr>
            </w:pPr>
          </w:p>
        </w:tc>
        <w:tc>
          <w:tcPr>
            <w:tcW w:w="2091"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正常运行期间，操作人员应严格执行操作规程和工艺卡片要求，工艺运行参数符合工艺卡片要求。建立岗位</w:t>
            </w:r>
            <w:bookmarkStart w:id="64" w:name="OLE_LINK25"/>
            <w:r>
              <w:rPr>
                <w:rFonts w:ascii="Times New Roman" w:hAnsi="Times New Roman" w:eastAsia="宋体" w:cs="Times New Roman"/>
                <w:bCs/>
                <w:color w:val="auto"/>
                <w:kern w:val="0"/>
                <w:sz w:val="20"/>
                <w:szCs w:val="21"/>
              </w:rPr>
              <w:t>操作记录</w:t>
            </w:r>
            <w:bookmarkEnd w:id="64"/>
            <w:r>
              <w:rPr>
                <w:rFonts w:ascii="Times New Roman" w:hAnsi="Times New Roman" w:eastAsia="宋体" w:cs="Times New Roman"/>
                <w:bCs/>
                <w:color w:val="auto"/>
                <w:kern w:val="0"/>
                <w:sz w:val="20"/>
                <w:szCs w:val="21"/>
              </w:rPr>
              <w:t>和交接班记录。</w:t>
            </w:r>
          </w:p>
        </w:tc>
        <w:tc>
          <w:tcPr>
            <w:tcW w:w="2387"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《化工过程安全管理导则》AQ/T3034-2022第4.9.2.1条</w:t>
            </w:r>
          </w:p>
        </w:tc>
        <w:tc>
          <w:tcPr>
            <w:tcW w:w="1682"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查操作规程、工艺卡片;查阅企业交接班管理制度，查看交接班记录、操作记录等。</w:t>
            </w:r>
          </w:p>
        </w:tc>
        <w:tc>
          <w:tcPr>
            <w:tcW w:w="1939" w:type="dxa"/>
          </w:tcPr>
          <w:p>
            <w:pPr>
              <w:jc w:val="center"/>
              <w:rPr>
                <w:rFonts w:ascii="Times New Roman" w:hAnsi="Times New Roman" w:eastAsia="宋体" w:cs="Times New Roman"/>
                <w:bCs/>
                <w:color w:val="auto"/>
                <w:kern w:val="0"/>
                <w:sz w:val="20"/>
                <w:szCs w:val="21"/>
              </w:rPr>
            </w:pPr>
          </w:p>
        </w:tc>
        <w:tc>
          <w:tcPr>
            <w:tcW w:w="1808" w:type="dxa"/>
          </w:tcPr>
          <w:p>
            <w:pPr>
              <w:jc w:val="center"/>
              <w:rPr>
                <w:rFonts w:ascii="Times New Roman" w:hAnsi="Times New Roman" w:eastAsia="宋体" w:cs="Times New Roman"/>
                <w:bCs/>
                <w:color w:val="auto"/>
                <w:kern w:val="0"/>
                <w:sz w:val="20"/>
                <w:szCs w:val="21"/>
              </w:rPr>
            </w:pPr>
          </w:p>
        </w:tc>
        <w:tc>
          <w:tcPr>
            <w:tcW w:w="2077" w:type="dxa"/>
          </w:tcPr>
          <w:p>
            <w:pPr>
              <w:jc w:val="center"/>
              <w:rPr>
                <w:rFonts w:ascii="Times New Roman" w:hAnsi="Times New Roman" w:eastAsia="宋体" w:cs="Times New Roman"/>
                <w:bCs/>
                <w:color w:val="auto"/>
                <w:kern w:val="0"/>
                <w:sz w:val="20"/>
                <w:szCs w:val="21"/>
              </w:rPr>
            </w:pPr>
          </w:p>
        </w:tc>
        <w:tc>
          <w:tcPr>
            <w:tcW w:w="701" w:type="dxa"/>
          </w:tcPr>
          <w:p>
            <w:pPr>
              <w:jc w:val="center"/>
              <w:rPr>
                <w:rFonts w:ascii="Times New Roman" w:hAnsi="Times New Roman" w:eastAsia="宋体" w:cs="Times New Roman"/>
                <w:bCs/>
                <w:color w:val="auto"/>
                <w:kern w:val="0"/>
                <w:sz w:val="20"/>
                <w:szCs w:val="21"/>
              </w:rPr>
            </w:pPr>
          </w:p>
        </w:tc>
        <w:tc>
          <w:tcPr>
            <w:tcW w:w="782" w:type="dxa"/>
            <w:vAlign w:val="center"/>
          </w:tcPr>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B级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14</w:t>
            </w:r>
          </w:p>
        </w:tc>
        <w:tc>
          <w:tcPr>
            <w:tcW w:w="563" w:type="dxa"/>
            <w:vMerge w:val="continue"/>
            <w:vAlign w:val="center"/>
          </w:tcPr>
          <w:p>
            <w:pPr>
              <w:jc w:val="center"/>
              <w:rPr>
                <w:rFonts w:ascii="Times New Roman" w:hAnsi="Times New Roman" w:eastAsia="宋体" w:cs="Times New Roman"/>
                <w:bCs/>
                <w:color w:val="auto"/>
                <w:kern w:val="0"/>
                <w:sz w:val="20"/>
                <w:szCs w:val="21"/>
              </w:rPr>
            </w:pPr>
          </w:p>
        </w:tc>
        <w:tc>
          <w:tcPr>
            <w:tcW w:w="2091"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岗位操作人员应按要求对生产装置进行巡检，涉及“两重点一重大”的装置应1小时</w:t>
            </w:r>
            <w:bookmarkStart w:id="65" w:name="OLE_LINK24"/>
            <w:r>
              <w:rPr>
                <w:rFonts w:ascii="Times New Roman" w:hAnsi="Times New Roman" w:eastAsia="宋体" w:cs="Times New Roman"/>
                <w:bCs/>
                <w:color w:val="auto"/>
                <w:kern w:val="0"/>
                <w:sz w:val="20"/>
                <w:szCs w:val="21"/>
              </w:rPr>
              <w:t>巡检一次</w:t>
            </w:r>
            <w:bookmarkEnd w:id="65"/>
            <w:r>
              <w:rPr>
                <w:rFonts w:ascii="Times New Roman" w:hAnsi="Times New Roman" w:eastAsia="宋体" w:cs="Times New Roman"/>
                <w:bCs/>
                <w:color w:val="auto"/>
                <w:kern w:val="0"/>
                <w:sz w:val="20"/>
                <w:szCs w:val="21"/>
              </w:rPr>
              <w:t>，建立巡回检查记录。</w:t>
            </w:r>
          </w:p>
        </w:tc>
        <w:tc>
          <w:tcPr>
            <w:tcW w:w="2387"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《化工过程安全管理导则》AQ/T3034-2022第4.9.2.3条</w:t>
            </w:r>
          </w:p>
        </w:tc>
        <w:tc>
          <w:tcPr>
            <w:tcW w:w="1682"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查巡检、检查记录，是否定期对高风险地区的管控措施进行定期巡查。</w:t>
            </w:r>
          </w:p>
        </w:tc>
        <w:tc>
          <w:tcPr>
            <w:tcW w:w="1939" w:type="dxa"/>
          </w:tcPr>
          <w:p>
            <w:pPr>
              <w:jc w:val="center"/>
              <w:rPr>
                <w:rFonts w:ascii="Times New Roman" w:hAnsi="Times New Roman" w:eastAsia="宋体" w:cs="Times New Roman"/>
                <w:bCs/>
                <w:color w:val="auto"/>
                <w:kern w:val="0"/>
                <w:sz w:val="20"/>
                <w:szCs w:val="21"/>
              </w:rPr>
            </w:pPr>
          </w:p>
        </w:tc>
        <w:tc>
          <w:tcPr>
            <w:tcW w:w="1808" w:type="dxa"/>
          </w:tcPr>
          <w:p>
            <w:pPr>
              <w:jc w:val="center"/>
              <w:rPr>
                <w:rFonts w:ascii="Times New Roman" w:hAnsi="Times New Roman" w:eastAsia="宋体" w:cs="Times New Roman"/>
                <w:bCs/>
                <w:color w:val="auto"/>
                <w:kern w:val="0"/>
                <w:sz w:val="20"/>
                <w:szCs w:val="21"/>
              </w:rPr>
            </w:pPr>
          </w:p>
        </w:tc>
        <w:tc>
          <w:tcPr>
            <w:tcW w:w="2077" w:type="dxa"/>
          </w:tcPr>
          <w:p>
            <w:pPr>
              <w:jc w:val="center"/>
              <w:rPr>
                <w:rFonts w:ascii="Times New Roman" w:hAnsi="Times New Roman" w:eastAsia="宋体" w:cs="Times New Roman"/>
                <w:bCs/>
                <w:color w:val="auto"/>
                <w:kern w:val="0"/>
                <w:sz w:val="20"/>
                <w:szCs w:val="21"/>
              </w:rPr>
            </w:pPr>
          </w:p>
        </w:tc>
        <w:tc>
          <w:tcPr>
            <w:tcW w:w="701" w:type="dxa"/>
          </w:tcPr>
          <w:p>
            <w:pPr>
              <w:jc w:val="center"/>
              <w:rPr>
                <w:rFonts w:ascii="Times New Roman" w:hAnsi="Times New Roman" w:eastAsia="宋体" w:cs="Times New Roman"/>
                <w:bCs/>
                <w:color w:val="auto"/>
                <w:kern w:val="0"/>
                <w:sz w:val="20"/>
                <w:szCs w:val="21"/>
              </w:rPr>
            </w:pPr>
          </w:p>
        </w:tc>
        <w:tc>
          <w:tcPr>
            <w:tcW w:w="782" w:type="dxa"/>
            <w:vAlign w:val="center"/>
          </w:tcPr>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0"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15</w:t>
            </w:r>
          </w:p>
        </w:tc>
        <w:tc>
          <w:tcPr>
            <w:tcW w:w="563" w:type="dxa"/>
            <w:vMerge w:val="restart"/>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工艺安全控制与运行管理</w:t>
            </w:r>
          </w:p>
        </w:tc>
        <w:tc>
          <w:tcPr>
            <w:tcW w:w="2091"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1.企业涉及重点监管的危险化工工艺装置，应装设</w:t>
            </w:r>
            <w:bookmarkStart w:id="66" w:name="OLE_LINK26"/>
            <w:r>
              <w:rPr>
                <w:rFonts w:ascii="Times New Roman" w:hAnsi="Times New Roman" w:eastAsia="宋体" w:cs="Times New Roman"/>
                <w:bCs/>
                <w:color w:val="auto"/>
                <w:kern w:val="0"/>
                <w:sz w:val="20"/>
                <w:szCs w:val="21"/>
              </w:rPr>
              <w:t>自动化控制系统</w:t>
            </w:r>
            <w:bookmarkEnd w:id="66"/>
            <w:r>
              <w:rPr>
                <w:rFonts w:ascii="Times New Roman" w:hAnsi="Times New Roman" w:eastAsia="宋体" w:cs="Times New Roman"/>
                <w:bCs/>
                <w:color w:val="auto"/>
                <w:kern w:val="0"/>
                <w:sz w:val="20"/>
                <w:szCs w:val="21"/>
              </w:rPr>
              <w:t>。</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2.涉及危险化工工艺的</w:t>
            </w:r>
            <w:r>
              <w:rPr>
                <w:rFonts w:ascii="Times New Roman" w:hAnsi="Times New Roman" w:eastAsia="宋体" w:cs="Times New Roman"/>
                <w:bCs/>
                <w:color w:val="auto"/>
                <w:kern w:val="0"/>
                <w:sz w:val="20"/>
                <w:szCs w:val="21"/>
              </w:rPr>
              <w:t xml:space="preserve">大型化工装置应装设紧急停车系统； </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3.危险化工工艺装置的自动化控制和紧急停车系统应正常投入使用。</w:t>
            </w:r>
          </w:p>
        </w:tc>
        <w:tc>
          <w:tcPr>
            <w:tcW w:w="2387"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 xml:space="preserve">《关于开展提升危险化学品领域本质安全水平专项行动的通知》（安监总管三〔2012〕87 号） </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 xml:space="preserve">《首批重点监管的危险化工工艺目录的通知》（安监总管三〔2009〕116 号） </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《第二批重点监管危险化工工艺目录和调整首批重点监管危险化工工艺中部分典型工艺》（安监总管三〔2013〕3 号）</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《化工和危险化学品生产经营企业重大生产安全事故隐患判定准则》（AQ 3067-2026）第5.5.3、5.5.4条</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《危险化学品生产企业安全生产许可证实施办法》（国家安全生产监督管理总局令第41号）第九条</w:t>
            </w:r>
          </w:p>
        </w:tc>
        <w:tc>
          <w:tcPr>
            <w:tcW w:w="1682"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核实企业是否设置自动化控制系统。核实企业是否对重点监控工艺参数进行了控制，设置的工艺参数控制范围（包括高报、高高报、低报、低低报）是否符合设计要求，是否建立了工艺报警记录，并对报警进行有效管理；设置的自动化控制系统及联锁是否按设计要求投用。</w:t>
            </w:r>
          </w:p>
        </w:tc>
        <w:tc>
          <w:tcPr>
            <w:tcW w:w="1939" w:type="dxa"/>
          </w:tcPr>
          <w:p>
            <w:pPr>
              <w:jc w:val="center"/>
              <w:rPr>
                <w:rFonts w:ascii="Times New Roman" w:hAnsi="Times New Roman" w:eastAsia="宋体" w:cs="Times New Roman"/>
                <w:bCs/>
                <w:color w:val="auto"/>
                <w:kern w:val="0"/>
                <w:sz w:val="20"/>
                <w:szCs w:val="21"/>
              </w:rPr>
            </w:pPr>
          </w:p>
        </w:tc>
        <w:tc>
          <w:tcPr>
            <w:tcW w:w="1808" w:type="dxa"/>
          </w:tcPr>
          <w:p>
            <w:pPr>
              <w:jc w:val="center"/>
              <w:rPr>
                <w:rFonts w:ascii="Times New Roman" w:hAnsi="Times New Roman" w:eastAsia="宋体" w:cs="Times New Roman"/>
                <w:bCs/>
                <w:color w:val="auto"/>
                <w:kern w:val="0"/>
                <w:sz w:val="20"/>
                <w:szCs w:val="21"/>
              </w:rPr>
            </w:pPr>
          </w:p>
        </w:tc>
        <w:tc>
          <w:tcPr>
            <w:tcW w:w="2077" w:type="dxa"/>
          </w:tcPr>
          <w:p>
            <w:pPr>
              <w:jc w:val="center"/>
              <w:rPr>
                <w:rFonts w:ascii="Times New Roman" w:hAnsi="Times New Roman" w:eastAsia="宋体" w:cs="Times New Roman"/>
                <w:bCs/>
                <w:color w:val="auto"/>
                <w:kern w:val="0"/>
                <w:sz w:val="20"/>
                <w:szCs w:val="21"/>
              </w:rPr>
            </w:pPr>
          </w:p>
        </w:tc>
        <w:tc>
          <w:tcPr>
            <w:tcW w:w="701" w:type="dxa"/>
          </w:tcPr>
          <w:p>
            <w:pPr>
              <w:jc w:val="center"/>
              <w:rPr>
                <w:rFonts w:ascii="Times New Roman" w:hAnsi="Times New Roman" w:eastAsia="宋体" w:cs="Times New Roman"/>
                <w:bCs/>
                <w:color w:val="auto"/>
                <w:kern w:val="0"/>
                <w:sz w:val="20"/>
                <w:szCs w:val="21"/>
              </w:rPr>
            </w:pPr>
          </w:p>
        </w:tc>
        <w:tc>
          <w:tcPr>
            <w:tcW w:w="782" w:type="dxa"/>
            <w:vAlign w:val="center"/>
          </w:tcPr>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16</w:t>
            </w:r>
          </w:p>
        </w:tc>
        <w:tc>
          <w:tcPr>
            <w:tcW w:w="563" w:type="dxa"/>
            <w:vMerge w:val="continue"/>
            <w:vAlign w:val="center"/>
          </w:tcPr>
          <w:p>
            <w:pPr>
              <w:jc w:val="center"/>
              <w:rPr>
                <w:rFonts w:ascii="Times New Roman" w:hAnsi="Times New Roman" w:eastAsia="宋体" w:cs="Times New Roman"/>
                <w:bCs/>
                <w:color w:val="auto"/>
                <w:kern w:val="0"/>
                <w:sz w:val="20"/>
                <w:szCs w:val="21"/>
              </w:rPr>
            </w:pPr>
          </w:p>
        </w:tc>
        <w:tc>
          <w:tcPr>
            <w:tcW w:w="2091"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危险化工工艺的安全控制应按照重点监管的危险化工工艺安全控制要求、重点监控参数及推荐的控制方案的要求，并结合</w:t>
            </w:r>
            <w:bookmarkStart w:id="67" w:name="OLE_LINK27"/>
            <w:r>
              <w:rPr>
                <w:rFonts w:ascii="Times New Roman" w:hAnsi="Times New Roman" w:eastAsia="宋体" w:cs="Times New Roman"/>
                <w:bCs/>
                <w:color w:val="auto"/>
                <w:kern w:val="0"/>
                <w:sz w:val="20"/>
                <w:szCs w:val="21"/>
              </w:rPr>
              <w:t>HAZO</w:t>
            </w:r>
            <w:bookmarkEnd w:id="67"/>
            <w:r>
              <w:rPr>
                <w:rFonts w:ascii="Times New Roman" w:hAnsi="Times New Roman" w:eastAsia="宋体" w:cs="Times New Roman"/>
                <w:bCs/>
                <w:color w:val="auto"/>
                <w:kern w:val="0"/>
                <w:sz w:val="20"/>
                <w:szCs w:val="21"/>
              </w:rPr>
              <w:t>P分析结果进行设置。</w:t>
            </w:r>
          </w:p>
        </w:tc>
        <w:tc>
          <w:tcPr>
            <w:tcW w:w="2387"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《危险化学品企业安全风险隐患排查治理导则》（应急〔2019〕78号）</w:t>
            </w:r>
          </w:p>
        </w:tc>
        <w:tc>
          <w:tcPr>
            <w:tcW w:w="1682"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对照重点监管的危险化工工艺安全控制要求、重点监控参数及推荐的控制方案，核实企业的安全设计专篇、安全现状评估报告中提出的工艺安全控制要求、重点监控参数及推荐的控制方案是否合理，是否采取了 HAZOP 分析报告中提出的工艺安全控制的建议，并根据 PID 图纸在现场 DCS 和操作规程中对重点监管的危险化工工艺装置进行核查，确认企业工艺安全控制要求、重点监控参数及推荐的控制方案的设置是否满足安全控制的基本要求。</w:t>
            </w:r>
          </w:p>
        </w:tc>
        <w:tc>
          <w:tcPr>
            <w:tcW w:w="1939" w:type="dxa"/>
          </w:tcPr>
          <w:p>
            <w:pPr>
              <w:jc w:val="center"/>
              <w:rPr>
                <w:rFonts w:ascii="Times New Roman" w:hAnsi="Times New Roman" w:eastAsia="宋体" w:cs="Times New Roman"/>
                <w:bCs/>
                <w:color w:val="auto"/>
                <w:kern w:val="0"/>
                <w:sz w:val="20"/>
                <w:szCs w:val="21"/>
              </w:rPr>
            </w:pPr>
          </w:p>
        </w:tc>
        <w:tc>
          <w:tcPr>
            <w:tcW w:w="1808" w:type="dxa"/>
          </w:tcPr>
          <w:p>
            <w:pPr>
              <w:jc w:val="center"/>
              <w:rPr>
                <w:rFonts w:ascii="Times New Roman" w:hAnsi="Times New Roman" w:eastAsia="宋体" w:cs="Times New Roman"/>
                <w:bCs/>
                <w:color w:val="auto"/>
                <w:kern w:val="0"/>
                <w:sz w:val="20"/>
                <w:szCs w:val="21"/>
              </w:rPr>
            </w:pPr>
          </w:p>
        </w:tc>
        <w:tc>
          <w:tcPr>
            <w:tcW w:w="2077" w:type="dxa"/>
          </w:tcPr>
          <w:p>
            <w:pPr>
              <w:jc w:val="center"/>
              <w:rPr>
                <w:rFonts w:ascii="Times New Roman" w:hAnsi="Times New Roman" w:eastAsia="宋体" w:cs="Times New Roman"/>
                <w:bCs/>
                <w:color w:val="auto"/>
                <w:kern w:val="0"/>
                <w:sz w:val="20"/>
                <w:szCs w:val="21"/>
              </w:rPr>
            </w:pPr>
          </w:p>
        </w:tc>
        <w:tc>
          <w:tcPr>
            <w:tcW w:w="701" w:type="dxa"/>
          </w:tcPr>
          <w:p>
            <w:pPr>
              <w:jc w:val="center"/>
              <w:rPr>
                <w:rFonts w:ascii="Times New Roman" w:hAnsi="Times New Roman" w:eastAsia="宋体" w:cs="Times New Roman"/>
                <w:bCs/>
                <w:color w:val="auto"/>
                <w:kern w:val="0"/>
                <w:sz w:val="20"/>
                <w:szCs w:val="21"/>
              </w:rPr>
            </w:pPr>
          </w:p>
        </w:tc>
        <w:tc>
          <w:tcPr>
            <w:tcW w:w="782" w:type="dxa"/>
            <w:vAlign w:val="center"/>
          </w:tcPr>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B级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17</w:t>
            </w:r>
          </w:p>
        </w:tc>
        <w:tc>
          <w:tcPr>
            <w:tcW w:w="563" w:type="dxa"/>
            <w:vMerge w:val="continue"/>
            <w:vAlign w:val="center"/>
          </w:tcPr>
          <w:p>
            <w:pPr>
              <w:jc w:val="center"/>
              <w:rPr>
                <w:rFonts w:ascii="Times New Roman" w:hAnsi="Times New Roman" w:eastAsia="宋体" w:cs="Times New Roman"/>
                <w:bCs/>
                <w:color w:val="auto"/>
                <w:kern w:val="0"/>
                <w:sz w:val="20"/>
                <w:szCs w:val="21"/>
              </w:rPr>
            </w:pPr>
          </w:p>
        </w:tc>
        <w:tc>
          <w:tcPr>
            <w:tcW w:w="2091"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对于</w:t>
            </w:r>
            <w:bookmarkStart w:id="68" w:name="OLE_LINK29"/>
            <w:r>
              <w:rPr>
                <w:rFonts w:ascii="Times New Roman" w:hAnsi="Times New Roman" w:eastAsia="宋体" w:cs="Times New Roman"/>
                <w:bCs/>
                <w:color w:val="auto"/>
                <w:kern w:val="0"/>
                <w:sz w:val="20"/>
                <w:szCs w:val="21"/>
              </w:rPr>
              <w:t>加氢</w:t>
            </w:r>
            <w:bookmarkEnd w:id="68"/>
            <w:r>
              <w:rPr>
                <w:rFonts w:ascii="Times New Roman" w:hAnsi="Times New Roman" w:eastAsia="宋体" w:cs="Times New Roman"/>
                <w:bCs/>
                <w:color w:val="auto"/>
                <w:kern w:val="0"/>
                <w:sz w:val="20"/>
                <w:szCs w:val="21"/>
              </w:rPr>
              <w:t>等带压反应工艺的生产装置，应开展高压串低压的工艺风险分析，设置防止串压引发超压爆炸的自动控制和联锁设施。</w:t>
            </w:r>
          </w:p>
        </w:tc>
        <w:tc>
          <w:tcPr>
            <w:tcW w:w="2387"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《危险化学品生产使用企业老旧装置检查表》</w:t>
            </w:r>
          </w:p>
        </w:tc>
        <w:tc>
          <w:tcPr>
            <w:tcW w:w="1682"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查设计资料、评价报告、现场</w:t>
            </w:r>
          </w:p>
        </w:tc>
        <w:tc>
          <w:tcPr>
            <w:tcW w:w="1939" w:type="dxa"/>
          </w:tcPr>
          <w:p>
            <w:pPr>
              <w:jc w:val="center"/>
              <w:rPr>
                <w:rFonts w:ascii="Times New Roman" w:hAnsi="Times New Roman" w:eastAsia="宋体" w:cs="Times New Roman"/>
                <w:bCs/>
                <w:color w:val="auto"/>
                <w:kern w:val="0"/>
                <w:sz w:val="20"/>
                <w:szCs w:val="21"/>
              </w:rPr>
            </w:pPr>
          </w:p>
        </w:tc>
        <w:tc>
          <w:tcPr>
            <w:tcW w:w="1808" w:type="dxa"/>
          </w:tcPr>
          <w:p>
            <w:pPr>
              <w:jc w:val="center"/>
              <w:rPr>
                <w:rFonts w:ascii="Times New Roman" w:hAnsi="Times New Roman" w:eastAsia="宋体" w:cs="Times New Roman"/>
                <w:bCs/>
                <w:color w:val="auto"/>
                <w:kern w:val="0"/>
                <w:sz w:val="20"/>
                <w:szCs w:val="21"/>
              </w:rPr>
            </w:pPr>
          </w:p>
        </w:tc>
        <w:tc>
          <w:tcPr>
            <w:tcW w:w="2077" w:type="dxa"/>
          </w:tcPr>
          <w:p>
            <w:pPr>
              <w:jc w:val="center"/>
              <w:rPr>
                <w:rFonts w:ascii="Times New Roman" w:hAnsi="Times New Roman" w:eastAsia="宋体" w:cs="Times New Roman"/>
                <w:bCs/>
                <w:color w:val="auto"/>
                <w:kern w:val="0"/>
                <w:sz w:val="20"/>
                <w:szCs w:val="21"/>
              </w:rPr>
            </w:pPr>
          </w:p>
        </w:tc>
        <w:tc>
          <w:tcPr>
            <w:tcW w:w="701" w:type="dxa"/>
          </w:tcPr>
          <w:p>
            <w:pPr>
              <w:jc w:val="center"/>
              <w:rPr>
                <w:rFonts w:ascii="Times New Roman" w:hAnsi="Times New Roman" w:eastAsia="宋体" w:cs="Times New Roman"/>
                <w:bCs/>
                <w:color w:val="auto"/>
                <w:kern w:val="0"/>
                <w:sz w:val="20"/>
                <w:szCs w:val="21"/>
              </w:rPr>
            </w:pPr>
          </w:p>
        </w:tc>
        <w:tc>
          <w:tcPr>
            <w:tcW w:w="782" w:type="dxa"/>
            <w:vAlign w:val="center"/>
          </w:tcPr>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B级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18</w:t>
            </w:r>
          </w:p>
        </w:tc>
        <w:tc>
          <w:tcPr>
            <w:tcW w:w="563" w:type="dxa"/>
            <w:vMerge w:val="continue"/>
            <w:vAlign w:val="center"/>
          </w:tcPr>
          <w:p>
            <w:pPr>
              <w:jc w:val="center"/>
              <w:rPr>
                <w:rFonts w:ascii="Times New Roman" w:hAnsi="Times New Roman" w:eastAsia="宋体" w:cs="Times New Roman"/>
                <w:bCs/>
                <w:color w:val="auto"/>
                <w:kern w:val="0"/>
                <w:sz w:val="20"/>
                <w:szCs w:val="21"/>
              </w:rPr>
            </w:pPr>
          </w:p>
        </w:tc>
        <w:tc>
          <w:tcPr>
            <w:tcW w:w="2091"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企业应建立岗位</w:t>
            </w:r>
            <w:bookmarkStart w:id="69" w:name="OLE_LINK30"/>
            <w:r>
              <w:rPr>
                <w:rFonts w:ascii="Times New Roman" w:hAnsi="Times New Roman" w:eastAsia="宋体" w:cs="Times New Roman"/>
                <w:bCs/>
                <w:color w:val="auto"/>
                <w:kern w:val="0"/>
                <w:sz w:val="20"/>
                <w:szCs w:val="21"/>
              </w:rPr>
              <w:t>操作记录</w:t>
            </w:r>
            <w:bookmarkEnd w:id="69"/>
            <w:r>
              <w:rPr>
                <w:rFonts w:ascii="Times New Roman" w:hAnsi="Times New Roman" w:eastAsia="宋体" w:cs="Times New Roman"/>
                <w:bCs/>
                <w:color w:val="auto"/>
                <w:kern w:val="0"/>
                <w:sz w:val="20"/>
                <w:szCs w:val="21"/>
              </w:rPr>
              <w:t>，对运行工况定时 进行监测、检查，并及时处置</w:t>
            </w:r>
            <w:bookmarkStart w:id="70" w:name="OLE_LINK31"/>
            <w:r>
              <w:rPr>
                <w:rFonts w:ascii="Times New Roman" w:hAnsi="Times New Roman" w:eastAsia="宋体" w:cs="Times New Roman"/>
                <w:bCs/>
                <w:color w:val="auto"/>
                <w:kern w:val="0"/>
                <w:sz w:val="20"/>
                <w:szCs w:val="21"/>
              </w:rPr>
              <w:t>工艺报警并记录</w:t>
            </w:r>
            <w:bookmarkEnd w:id="70"/>
            <w:r>
              <w:rPr>
                <w:rFonts w:ascii="Times New Roman" w:hAnsi="Times New Roman" w:eastAsia="宋体" w:cs="Times New Roman"/>
                <w:bCs/>
                <w:color w:val="auto"/>
                <w:kern w:val="0"/>
                <w:sz w:val="20"/>
                <w:szCs w:val="21"/>
              </w:rPr>
              <w:t>。</w:t>
            </w:r>
          </w:p>
        </w:tc>
        <w:tc>
          <w:tcPr>
            <w:tcW w:w="2387"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《关于加强化工过程安全管理的指导意见》（安监总管三〔2013〕88号）第九条</w:t>
            </w:r>
          </w:p>
        </w:tc>
        <w:tc>
          <w:tcPr>
            <w:tcW w:w="1682"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专家应通过查阅企业工艺报警、联锁管理制度，了解工艺报警、联锁管理的要求；通过调取工艺操作记录、交接班记录、查看DCS 历史记录，了解企业是否存在工艺报警、联锁摘除/投用现象。 通过现场检查或访谈员工，核实企业是否建立工艺报警记录和台账，并对出现的工艺报警进行处置。 通过查阅工艺报警记录，核实企业是否对报警进行统计和开展原因分析，并采取相应的控制措施。</w:t>
            </w:r>
          </w:p>
        </w:tc>
        <w:tc>
          <w:tcPr>
            <w:tcW w:w="1939" w:type="dxa"/>
          </w:tcPr>
          <w:p>
            <w:pPr>
              <w:jc w:val="center"/>
              <w:rPr>
                <w:rFonts w:ascii="Times New Roman" w:hAnsi="Times New Roman" w:eastAsia="宋体" w:cs="Times New Roman"/>
                <w:bCs/>
                <w:color w:val="auto"/>
                <w:kern w:val="0"/>
                <w:sz w:val="20"/>
                <w:szCs w:val="21"/>
              </w:rPr>
            </w:pPr>
          </w:p>
        </w:tc>
        <w:tc>
          <w:tcPr>
            <w:tcW w:w="1808" w:type="dxa"/>
          </w:tcPr>
          <w:p>
            <w:pPr>
              <w:jc w:val="center"/>
              <w:rPr>
                <w:rFonts w:ascii="Times New Roman" w:hAnsi="Times New Roman" w:eastAsia="宋体" w:cs="Times New Roman"/>
                <w:bCs/>
                <w:color w:val="auto"/>
                <w:kern w:val="0"/>
                <w:sz w:val="20"/>
                <w:szCs w:val="21"/>
              </w:rPr>
            </w:pPr>
          </w:p>
        </w:tc>
        <w:tc>
          <w:tcPr>
            <w:tcW w:w="2077" w:type="dxa"/>
          </w:tcPr>
          <w:p>
            <w:pPr>
              <w:jc w:val="center"/>
              <w:rPr>
                <w:rFonts w:ascii="Times New Roman" w:hAnsi="Times New Roman" w:eastAsia="宋体" w:cs="Times New Roman"/>
                <w:bCs/>
                <w:color w:val="auto"/>
                <w:kern w:val="0"/>
                <w:sz w:val="20"/>
                <w:szCs w:val="21"/>
              </w:rPr>
            </w:pPr>
          </w:p>
        </w:tc>
        <w:tc>
          <w:tcPr>
            <w:tcW w:w="701" w:type="dxa"/>
          </w:tcPr>
          <w:p>
            <w:pPr>
              <w:jc w:val="center"/>
              <w:rPr>
                <w:rFonts w:ascii="Times New Roman" w:hAnsi="Times New Roman" w:eastAsia="宋体" w:cs="Times New Roman"/>
                <w:bCs/>
                <w:color w:val="auto"/>
                <w:kern w:val="0"/>
                <w:sz w:val="20"/>
                <w:szCs w:val="21"/>
              </w:rPr>
            </w:pPr>
          </w:p>
        </w:tc>
        <w:tc>
          <w:tcPr>
            <w:tcW w:w="782" w:type="dxa"/>
            <w:vAlign w:val="center"/>
          </w:tcPr>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B级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0"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19</w:t>
            </w:r>
          </w:p>
        </w:tc>
        <w:tc>
          <w:tcPr>
            <w:tcW w:w="563" w:type="dxa"/>
            <w:vMerge w:val="continue"/>
            <w:vAlign w:val="center"/>
          </w:tcPr>
          <w:p>
            <w:pPr>
              <w:jc w:val="center"/>
              <w:rPr>
                <w:rFonts w:ascii="Times New Roman" w:hAnsi="Times New Roman" w:eastAsia="宋体" w:cs="Times New Roman"/>
                <w:bCs/>
                <w:color w:val="auto"/>
                <w:kern w:val="0"/>
                <w:sz w:val="20"/>
                <w:szCs w:val="21"/>
              </w:rPr>
            </w:pPr>
          </w:p>
        </w:tc>
        <w:tc>
          <w:tcPr>
            <w:tcW w:w="2091"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企业应当按照《</w:t>
            </w:r>
            <w:r>
              <w:rPr>
                <w:color w:val="auto"/>
              </w:rPr>
              <w:fldChar w:fldCharType="begin"/>
            </w:r>
            <w:r>
              <w:rPr>
                <w:color w:val="auto"/>
              </w:rPr>
              <w:instrText xml:space="preserve"> HYPERLINK "https://baike.baidu.com/item/%E5%8D%B1%E9%99%A9%E5%8C%96%E5%AD%A6%E5%93%81%E9%87%8D%E5%A4%A7%E5%8D%B1%E9%99%A9%E6%BA%90%E8%BE%A8%E8%AF%86/6438883" \t "/home/user/文档x/_blank" </w:instrText>
            </w:r>
            <w:r>
              <w:rPr>
                <w:color w:val="auto"/>
              </w:rPr>
              <w:fldChar w:fldCharType="separate"/>
            </w:r>
            <w:r>
              <w:rPr>
                <w:rFonts w:ascii="Times New Roman" w:hAnsi="Times New Roman" w:eastAsia="宋体" w:cs="Times New Roman"/>
                <w:bCs/>
                <w:color w:val="auto"/>
                <w:kern w:val="0"/>
                <w:sz w:val="20"/>
                <w:szCs w:val="21"/>
              </w:rPr>
              <w:t>危险化学品重大危险源辨识</w:t>
            </w:r>
            <w:r>
              <w:rPr>
                <w:rFonts w:ascii="Times New Roman" w:hAnsi="Times New Roman" w:eastAsia="宋体" w:cs="Times New Roman"/>
                <w:bCs/>
                <w:color w:val="auto"/>
                <w:kern w:val="0"/>
                <w:sz w:val="20"/>
                <w:szCs w:val="21"/>
              </w:rPr>
              <w:fldChar w:fldCharType="end"/>
            </w:r>
            <w:r>
              <w:rPr>
                <w:rFonts w:ascii="Times New Roman" w:hAnsi="Times New Roman" w:eastAsia="宋体" w:cs="Times New Roman"/>
                <w:bCs/>
                <w:color w:val="auto"/>
                <w:kern w:val="0"/>
                <w:sz w:val="20"/>
                <w:szCs w:val="21"/>
              </w:rPr>
              <w:t>》标准，对本单位的危险化学品生产、经营、储存和使用装置、设施或者场所进行</w:t>
            </w:r>
            <w:bookmarkStart w:id="71" w:name="OLE_LINK36"/>
            <w:r>
              <w:rPr>
                <w:rFonts w:ascii="Times New Roman" w:hAnsi="Times New Roman" w:eastAsia="宋体" w:cs="Times New Roman"/>
                <w:bCs/>
                <w:color w:val="auto"/>
                <w:kern w:val="0"/>
                <w:sz w:val="20"/>
                <w:szCs w:val="21"/>
              </w:rPr>
              <w:t>重大危险源</w:t>
            </w:r>
            <w:bookmarkEnd w:id="71"/>
            <w:r>
              <w:rPr>
                <w:rFonts w:ascii="Times New Roman" w:hAnsi="Times New Roman" w:eastAsia="宋体" w:cs="Times New Roman"/>
                <w:bCs/>
                <w:color w:val="auto"/>
                <w:kern w:val="0"/>
                <w:sz w:val="20"/>
                <w:szCs w:val="21"/>
              </w:rPr>
              <w:t>辨识、评估、登记建档。</w:t>
            </w:r>
          </w:p>
        </w:tc>
        <w:tc>
          <w:tcPr>
            <w:tcW w:w="2387"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《危险化学品重大危险源监督管理暂行规定》（国家安全生产监督管理总局令第40号）第七条、第八条</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《危险化学品重大危险源辨识》GB18218-2018</w:t>
            </w:r>
          </w:p>
        </w:tc>
        <w:tc>
          <w:tcPr>
            <w:tcW w:w="1682"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查阅重大危险源评价报告</w:t>
            </w:r>
          </w:p>
        </w:tc>
        <w:tc>
          <w:tcPr>
            <w:tcW w:w="1939" w:type="dxa"/>
          </w:tcPr>
          <w:p>
            <w:pPr>
              <w:jc w:val="center"/>
              <w:rPr>
                <w:rFonts w:ascii="Times New Roman" w:hAnsi="Times New Roman" w:eastAsia="宋体" w:cs="Times New Roman"/>
                <w:bCs/>
                <w:color w:val="auto"/>
                <w:kern w:val="0"/>
                <w:sz w:val="20"/>
                <w:szCs w:val="21"/>
              </w:rPr>
            </w:pPr>
          </w:p>
        </w:tc>
        <w:tc>
          <w:tcPr>
            <w:tcW w:w="1808" w:type="dxa"/>
          </w:tcPr>
          <w:p>
            <w:pPr>
              <w:jc w:val="center"/>
              <w:rPr>
                <w:rFonts w:ascii="Times New Roman" w:hAnsi="Times New Roman" w:eastAsia="宋体" w:cs="Times New Roman"/>
                <w:bCs/>
                <w:color w:val="auto"/>
                <w:kern w:val="0"/>
                <w:sz w:val="20"/>
                <w:szCs w:val="21"/>
              </w:rPr>
            </w:pPr>
          </w:p>
        </w:tc>
        <w:tc>
          <w:tcPr>
            <w:tcW w:w="2077" w:type="dxa"/>
          </w:tcPr>
          <w:p>
            <w:pPr>
              <w:jc w:val="center"/>
              <w:rPr>
                <w:rFonts w:ascii="Times New Roman" w:hAnsi="Times New Roman" w:eastAsia="宋体" w:cs="Times New Roman"/>
                <w:bCs/>
                <w:color w:val="auto"/>
                <w:kern w:val="0"/>
                <w:sz w:val="20"/>
                <w:szCs w:val="21"/>
              </w:rPr>
            </w:pPr>
          </w:p>
        </w:tc>
        <w:tc>
          <w:tcPr>
            <w:tcW w:w="701" w:type="dxa"/>
          </w:tcPr>
          <w:p>
            <w:pPr>
              <w:jc w:val="center"/>
              <w:rPr>
                <w:rFonts w:ascii="Times New Roman" w:hAnsi="Times New Roman" w:eastAsia="宋体" w:cs="Times New Roman"/>
                <w:bCs/>
                <w:color w:val="auto"/>
                <w:kern w:val="0"/>
                <w:sz w:val="20"/>
                <w:szCs w:val="21"/>
              </w:rPr>
            </w:pPr>
          </w:p>
        </w:tc>
        <w:tc>
          <w:tcPr>
            <w:tcW w:w="782" w:type="dxa"/>
            <w:vAlign w:val="center"/>
          </w:tcPr>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20</w:t>
            </w:r>
          </w:p>
        </w:tc>
        <w:tc>
          <w:tcPr>
            <w:tcW w:w="563" w:type="dxa"/>
            <w:vMerge w:val="continue"/>
            <w:vAlign w:val="center"/>
          </w:tcPr>
          <w:p>
            <w:pPr>
              <w:jc w:val="center"/>
              <w:rPr>
                <w:rFonts w:ascii="Times New Roman" w:hAnsi="Times New Roman" w:eastAsia="宋体" w:cs="Times New Roman"/>
                <w:bCs/>
                <w:color w:val="auto"/>
                <w:kern w:val="0"/>
                <w:sz w:val="20"/>
                <w:szCs w:val="21"/>
              </w:rPr>
            </w:pPr>
          </w:p>
        </w:tc>
        <w:tc>
          <w:tcPr>
            <w:tcW w:w="2091"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企业应明确每一处重大危险源的主要负责人、技术负责人和操作负责人。建立重大危险源主要负责人、技术负责人、操作负责人的</w:t>
            </w:r>
            <w:bookmarkStart w:id="72" w:name="OLE_LINK39"/>
            <w:r>
              <w:rPr>
                <w:rFonts w:ascii="Times New Roman" w:hAnsi="Times New Roman" w:eastAsia="宋体" w:cs="Times New Roman"/>
                <w:bCs/>
                <w:color w:val="auto"/>
                <w:kern w:val="0"/>
                <w:sz w:val="20"/>
                <w:szCs w:val="21"/>
              </w:rPr>
              <w:t>安全包保</w:t>
            </w:r>
            <w:bookmarkEnd w:id="72"/>
            <w:r>
              <w:rPr>
                <w:rFonts w:ascii="Times New Roman" w:hAnsi="Times New Roman" w:eastAsia="宋体" w:cs="Times New Roman"/>
                <w:bCs/>
                <w:color w:val="auto"/>
                <w:kern w:val="0"/>
                <w:sz w:val="20"/>
                <w:szCs w:val="21"/>
              </w:rPr>
              <w:t>履职记录，企业的安全管理机构应当对包保责任人履职情况进行评估，纳入企业安全生产责任制考核与绩效管理。</w:t>
            </w:r>
          </w:p>
        </w:tc>
        <w:tc>
          <w:tcPr>
            <w:tcW w:w="2387"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《危险化学品重大危险源安全包保责任管理要求》（AQ 3072—2026）第4.2、4.6、4.8条</w:t>
            </w:r>
          </w:p>
        </w:tc>
        <w:tc>
          <w:tcPr>
            <w:tcW w:w="1682"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查履职记录、查隐患排查表、查隐患排查记录</w:t>
            </w:r>
          </w:p>
        </w:tc>
        <w:tc>
          <w:tcPr>
            <w:tcW w:w="1939" w:type="dxa"/>
          </w:tcPr>
          <w:p>
            <w:pPr>
              <w:jc w:val="center"/>
              <w:rPr>
                <w:rFonts w:ascii="Times New Roman" w:hAnsi="Times New Roman" w:eastAsia="宋体" w:cs="Times New Roman"/>
                <w:bCs/>
                <w:color w:val="auto"/>
                <w:kern w:val="0"/>
                <w:sz w:val="20"/>
                <w:szCs w:val="21"/>
              </w:rPr>
            </w:pPr>
          </w:p>
        </w:tc>
        <w:tc>
          <w:tcPr>
            <w:tcW w:w="1808" w:type="dxa"/>
          </w:tcPr>
          <w:p>
            <w:pPr>
              <w:jc w:val="center"/>
              <w:rPr>
                <w:rFonts w:ascii="Times New Roman" w:hAnsi="Times New Roman" w:eastAsia="宋体" w:cs="Times New Roman"/>
                <w:bCs/>
                <w:color w:val="auto"/>
                <w:kern w:val="0"/>
                <w:sz w:val="20"/>
                <w:szCs w:val="21"/>
              </w:rPr>
            </w:pPr>
          </w:p>
        </w:tc>
        <w:tc>
          <w:tcPr>
            <w:tcW w:w="2077" w:type="dxa"/>
          </w:tcPr>
          <w:p>
            <w:pPr>
              <w:jc w:val="center"/>
              <w:rPr>
                <w:rFonts w:ascii="Times New Roman" w:hAnsi="Times New Roman" w:eastAsia="宋体" w:cs="Times New Roman"/>
                <w:bCs/>
                <w:color w:val="auto"/>
                <w:kern w:val="0"/>
                <w:sz w:val="20"/>
                <w:szCs w:val="21"/>
              </w:rPr>
            </w:pPr>
          </w:p>
        </w:tc>
        <w:tc>
          <w:tcPr>
            <w:tcW w:w="701" w:type="dxa"/>
          </w:tcPr>
          <w:p>
            <w:pPr>
              <w:jc w:val="center"/>
              <w:rPr>
                <w:rFonts w:ascii="Times New Roman" w:hAnsi="Times New Roman" w:eastAsia="宋体" w:cs="Times New Roman"/>
                <w:bCs/>
                <w:color w:val="auto"/>
                <w:kern w:val="0"/>
                <w:sz w:val="20"/>
                <w:szCs w:val="21"/>
              </w:rPr>
            </w:pPr>
          </w:p>
        </w:tc>
        <w:tc>
          <w:tcPr>
            <w:tcW w:w="782" w:type="dxa"/>
            <w:vAlign w:val="center"/>
          </w:tcPr>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21</w:t>
            </w:r>
          </w:p>
        </w:tc>
        <w:tc>
          <w:tcPr>
            <w:tcW w:w="563" w:type="dxa"/>
            <w:vMerge w:val="continue"/>
            <w:vAlign w:val="center"/>
          </w:tcPr>
          <w:p>
            <w:pPr>
              <w:jc w:val="center"/>
              <w:rPr>
                <w:rFonts w:ascii="Times New Roman" w:hAnsi="Times New Roman" w:eastAsia="宋体" w:cs="Times New Roman"/>
                <w:bCs/>
                <w:color w:val="auto"/>
                <w:kern w:val="0"/>
                <w:sz w:val="20"/>
                <w:szCs w:val="21"/>
              </w:rPr>
            </w:pPr>
          </w:p>
        </w:tc>
        <w:tc>
          <w:tcPr>
            <w:tcW w:w="2091"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企业应当在</w:t>
            </w:r>
            <w:r>
              <w:rPr>
                <w:color w:val="auto"/>
              </w:rPr>
              <w:fldChar w:fldCharType="begin"/>
            </w:r>
            <w:r>
              <w:rPr>
                <w:color w:val="auto"/>
              </w:rPr>
              <w:instrText xml:space="preserve"> HYPERLINK "https://baike.baidu.com/item/%E9%87%8D%E5%A4%A7%E5%8D%B1%E9%99%A9%E6%BA%90/10983922" \t "/home/user/文档x/_blank" </w:instrText>
            </w:r>
            <w:r>
              <w:rPr>
                <w:color w:val="auto"/>
              </w:rPr>
              <w:fldChar w:fldCharType="separate"/>
            </w:r>
            <w:r>
              <w:rPr>
                <w:rFonts w:ascii="Times New Roman" w:hAnsi="Times New Roman" w:eastAsia="宋体" w:cs="Times New Roman"/>
                <w:bCs/>
                <w:color w:val="auto"/>
                <w:kern w:val="0"/>
                <w:sz w:val="20"/>
                <w:szCs w:val="21"/>
              </w:rPr>
              <w:t>重大危险源</w:t>
            </w:r>
            <w:r>
              <w:rPr>
                <w:rFonts w:ascii="Times New Roman" w:hAnsi="Times New Roman" w:eastAsia="宋体" w:cs="Times New Roman"/>
                <w:bCs/>
                <w:color w:val="auto"/>
                <w:kern w:val="0"/>
                <w:sz w:val="20"/>
                <w:szCs w:val="21"/>
              </w:rPr>
              <w:fldChar w:fldCharType="end"/>
            </w:r>
            <w:r>
              <w:rPr>
                <w:rFonts w:ascii="Times New Roman" w:hAnsi="Times New Roman" w:eastAsia="宋体" w:cs="Times New Roman"/>
                <w:bCs/>
                <w:color w:val="auto"/>
                <w:kern w:val="0"/>
                <w:sz w:val="20"/>
                <w:szCs w:val="21"/>
              </w:rPr>
              <w:t>所在场所设置明显的安全警示标志，写明紧急情况下的应急处置办法。应设立重大危险源安全包保公示牌，公示牌信息应包括主要负责人、技术负责人、操作负责人的姓名、职务、对应的安全包保责任及联系方式。</w:t>
            </w:r>
          </w:p>
        </w:tc>
        <w:tc>
          <w:tcPr>
            <w:tcW w:w="2387"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《危险化学品重大危险源监督管理暂行规定》（国家安全生产监督管理总局令第40号）第十八条</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《危险化学品重大危险源安全包保责任管理要求》（AQ 3072—2026）第4.10条</w:t>
            </w:r>
          </w:p>
        </w:tc>
        <w:tc>
          <w:tcPr>
            <w:tcW w:w="1682" w:type="dxa"/>
            <w:vAlign w:val="center"/>
          </w:tcPr>
          <w:p>
            <w:pP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查重大危险源所在场所安全警示标志</w:t>
            </w:r>
          </w:p>
        </w:tc>
        <w:tc>
          <w:tcPr>
            <w:tcW w:w="1939" w:type="dxa"/>
          </w:tcPr>
          <w:p>
            <w:pPr>
              <w:jc w:val="center"/>
              <w:rPr>
                <w:rFonts w:ascii="Times New Roman" w:hAnsi="Times New Roman" w:eastAsia="宋体" w:cs="Times New Roman"/>
                <w:bCs/>
                <w:color w:val="auto"/>
                <w:kern w:val="0"/>
                <w:sz w:val="20"/>
                <w:szCs w:val="21"/>
              </w:rPr>
            </w:pPr>
          </w:p>
        </w:tc>
        <w:tc>
          <w:tcPr>
            <w:tcW w:w="1808" w:type="dxa"/>
          </w:tcPr>
          <w:p>
            <w:pPr>
              <w:jc w:val="center"/>
              <w:rPr>
                <w:rFonts w:ascii="Times New Roman" w:hAnsi="Times New Roman" w:eastAsia="宋体" w:cs="Times New Roman"/>
                <w:bCs/>
                <w:color w:val="auto"/>
                <w:kern w:val="0"/>
                <w:sz w:val="20"/>
                <w:szCs w:val="21"/>
              </w:rPr>
            </w:pPr>
          </w:p>
        </w:tc>
        <w:tc>
          <w:tcPr>
            <w:tcW w:w="2077" w:type="dxa"/>
          </w:tcPr>
          <w:p>
            <w:pPr>
              <w:jc w:val="center"/>
              <w:rPr>
                <w:rFonts w:ascii="Times New Roman" w:hAnsi="Times New Roman" w:eastAsia="宋体" w:cs="Times New Roman"/>
                <w:bCs/>
                <w:color w:val="auto"/>
                <w:kern w:val="0"/>
                <w:sz w:val="20"/>
                <w:szCs w:val="21"/>
              </w:rPr>
            </w:pPr>
          </w:p>
        </w:tc>
        <w:tc>
          <w:tcPr>
            <w:tcW w:w="701" w:type="dxa"/>
          </w:tcPr>
          <w:p>
            <w:pPr>
              <w:jc w:val="center"/>
              <w:rPr>
                <w:rFonts w:ascii="Times New Roman" w:hAnsi="Times New Roman" w:eastAsia="宋体" w:cs="Times New Roman"/>
                <w:bCs/>
                <w:color w:val="auto"/>
                <w:kern w:val="0"/>
                <w:sz w:val="20"/>
                <w:szCs w:val="21"/>
              </w:rPr>
            </w:pPr>
          </w:p>
        </w:tc>
        <w:tc>
          <w:tcPr>
            <w:tcW w:w="782" w:type="dxa"/>
            <w:vAlign w:val="center"/>
          </w:tcPr>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22</w:t>
            </w:r>
          </w:p>
        </w:tc>
        <w:tc>
          <w:tcPr>
            <w:tcW w:w="563" w:type="dxa"/>
            <w:vMerge w:val="continue"/>
            <w:vAlign w:val="center"/>
          </w:tcPr>
          <w:p>
            <w:pPr>
              <w:jc w:val="center"/>
              <w:rPr>
                <w:rFonts w:ascii="Times New Roman" w:hAnsi="Times New Roman" w:eastAsia="宋体" w:cs="Times New Roman"/>
                <w:bCs/>
                <w:color w:val="auto"/>
                <w:kern w:val="0"/>
                <w:sz w:val="20"/>
                <w:szCs w:val="21"/>
              </w:rPr>
            </w:pPr>
          </w:p>
        </w:tc>
        <w:tc>
          <w:tcPr>
            <w:tcW w:w="2091"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重大危险源生产装置、储存设施应装备和使用紧急切断装置、自动化控制系统。重大危险源应配备温度、压力、液位、流量等信息的不间断采集和监测系统，并具备信息远传、记录、安全预警、信息存储等功能。对重大危险源中的毒性气体、剧毒液体和易燃气体等重点设施，设置紧急切断装置。一、二级重大危险源具备紧急切断功能。</w:t>
            </w:r>
          </w:p>
        </w:tc>
        <w:tc>
          <w:tcPr>
            <w:tcW w:w="2387"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《危险化学品重大危险源企业安全专项检查细则（试行）》</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《危险化学品重大危险源安全监控技术规范》（GB17681-2024）</w:t>
            </w:r>
          </w:p>
        </w:tc>
        <w:tc>
          <w:tcPr>
            <w:tcW w:w="1682"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现场检查及控制室 DCS/SIS 中核实，企业重大危险源是否按照实际情况，配备了温度、压力、液位、流量、组份等信息（结合企业实际）的不间断采集和监测系统以及可燃气体和有毒有害气体泄漏检测报警装置，并具备信息远传、连续记录、事故预警、信息存储等功能；记录的电子数据保存时间是否不少于 30 天</w:t>
            </w:r>
          </w:p>
        </w:tc>
        <w:tc>
          <w:tcPr>
            <w:tcW w:w="1939" w:type="dxa"/>
          </w:tcPr>
          <w:p>
            <w:pPr>
              <w:jc w:val="center"/>
              <w:rPr>
                <w:rFonts w:ascii="Times New Roman" w:hAnsi="Times New Roman" w:eastAsia="宋体" w:cs="Times New Roman"/>
                <w:bCs/>
                <w:color w:val="auto"/>
                <w:kern w:val="0"/>
                <w:sz w:val="20"/>
                <w:szCs w:val="21"/>
              </w:rPr>
            </w:pPr>
          </w:p>
        </w:tc>
        <w:tc>
          <w:tcPr>
            <w:tcW w:w="1808" w:type="dxa"/>
          </w:tcPr>
          <w:p>
            <w:pPr>
              <w:jc w:val="center"/>
              <w:rPr>
                <w:rFonts w:ascii="Times New Roman" w:hAnsi="Times New Roman" w:eastAsia="宋体" w:cs="Times New Roman"/>
                <w:bCs/>
                <w:color w:val="auto"/>
                <w:kern w:val="0"/>
                <w:sz w:val="20"/>
                <w:szCs w:val="21"/>
              </w:rPr>
            </w:pPr>
          </w:p>
        </w:tc>
        <w:tc>
          <w:tcPr>
            <w:tcW w:w="2077" w:type="dxa"/>
          </w:tcPr>
          <w:p>
            <w:pPr>
              <w:jc w:val="center"/>
              <w:rPr>
                <w:rFonts w:ascii="Times New Roman" w:hAnsi="Times New Roman" w:eastAsia="宋体" w:cs="Times New Roman"/>
                <w:bCs/>
                <w:color w:val="auto"/>
                <w:kern w:val="0"/>
                <w:sz w:val="20"/>
                <w:szCs w:val="21"/>
              </w:rPr>
            </w:pPr>
          </w:p>
        </w:tc>
        <w:tc>
          <w:tcPr>
            <w:tcW w:w="701" w:type="dxa"/>
          </w:tcPr>
          <w:p>
            <w:pPr>
              <w:jc w:val="center"/>
              <w:rPr>
                <w:rFonts w:ascii="Times New Roman" w:hAnsi="Times New Roman" w:eastAsia="宋体" w:cs="Times New Roman"/>
                <w:bCs/>
                <w:color w:val="auto"/>
                <w:kern w:val="0"/>
                <w:sz w:val="20"/>
                <w:szCs w:val="21"/>
              </w:rPr>
            </w:pPr>
          </w:p>
        </w:tc>
        <w:tc>
          <w:tcPr>
            <w:tcW w:w="782" w:type="dxa"/>
            <w:vAlign w:val="center"/>
          </w:tcPr>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B级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0"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23</w:t>
            </w:r>
          </w:p>
        </w:tc>
        <w:tc>
          <w:tcPr>
            <w:tcW w:w="563" w:type="dxa"/>
            <w:vMerge w:val="restart"/>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工艺报警及处置</w:t>
            </w:r>
          </w:p>
        </w:tc>
        <w:tc>
          <w:tcPr>
            <w:tcW w:w="2091"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操作人员应对温度、液位、压力等重要参数超限运行工况及</w:t>
            </w:r>
            <w:bookmarkStart w:id="73" w:name="OLE_LINK40"/>
            <w:r>
              <w:rPr>
                <w:rFonts w:ascii="Times New Roman" w:hAnsi="Times New Roman" w:eastAsia="宋体" w:cs="Times New Roman"/>
                <w:bCs/>
                <w:color w:val="auto"/>
                <w:kern w:val="0"/>
                <w:sz w:val="20"/>
                <w:szCs w:val="21"/>
              </w:rPr>
              <w:t>工艺报警</w:t>
            </w:r>
            <w:bookmarkEnd w:id="73"/>
            <w:r>
              <w:rPr>
                <w:rFonts w:ascii="Times New Roman" w:hAnsi="Times New Roman" w:eastAsia="宋体" w:cs="Times New Roman"/>
                <w:bCs/>
                <w:color w:val="auto"/>
                <w:kern w:val="0"/>
                <w:sz w:val="20"/>
                <w:szCs w:val="21"/>
              </w:rPr>
              <w:t>情况及时响应、处置，建立工艺报警处置记录，工艺报警处置记录应包括工艺报警位号、报警信息、发生时间、报警原因、处置情况、恢复时间、责任人等内容。</w:t>
            </w:r>
          </w:p>
        </w:tc>
        <w:tc>
          <w:tcPr>
            <w:tcW w:w="2387"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《化工过程安全管理导则》AQ/T3034-2022第4.9.4条</w:t>
            </w:r>
          </w:p>
        </w:tc>
        <w:tc>
          <w:tcPr>
            <w:tcW w:w="1682"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通过现场检查或访谈员工，核实企业是否建立工艺报警记录和台账，并对出现的工艺报警进行处置。 通过查阅工艺报警记录，核实企业是否对报警进行统计和开展原因分析，并采取相应的控制措施。</w:t>
            </w:r>
          </w:p>
        </w:tc>
        <w:tc>
          <w:tcPr>
            <w:tcW w:w="1939" w:type="dxa"/>
          </w:tcPr>
          <w:p>
            <w:pPr>
              <w:jc w:val="center"/>
              <w:rPr>
                <w:rFonts w:ascii="Times New Roman" w:hAnsi="Times New Roman" w:eastAsia="宋体" w:cs="Times New Roman"/>
                <w:bCs/>
                <w:color w:val="auto"/>
                <w:kern w:val="0"/>
                <w:sz w:val="20"/>
                <w:szCs w:val="21"/>
              </w:rPr>
            </w:pPr>
          </w:p>
        </w:tc>
        <w:tc>
          <w:tcPr>
            <w:tcW w:w="1808" w:type="dxa"/>
          </w:tcPr>
          <w:p>
            <w:pPr>
              <w:jc w:val="center"/>
              <w:rPr>
                <w:rFonts w:ascii="Times New Roman" w:hAnsi="Times New Roman" w:eastAsia="宋体" w:cs="Times New Roman"/>
                <w:bCs/>
                <w:color w:val="auto"/>
                <w:kern w:val="0"/>
                <w:sz w:val="20"/>
                <w:szCs w:val="21"/>
              </w:rPr>
            </w:pPr>
          </w:p>
        </w:tc>
        <w:tc>
          <w:tcPr>
            <w:tcW w:w="2077" w:type="dxa"/>
          </w:tcPr>
          <w:p>
            <w:pPr>
              <w:jc w:val="center"/>
              <w:rPr>
                <w:rFonts w:ascii="Times New Roman" w:hAnsi="Times New Roman" w:eastAsia="宋体" w:cs="Times New Roman"/>
                <w:bCs/>
                <w:color w:val="auto"/>
                <w:kern w:val="0"/>
                <w:sz w:val="20"/>
                <w:szCs w:val="21"/>
              </w:rPr>
            </w:pPr>
          </w:p>
        </w:tc>
        <w:tc>
          <w:tcPr>
            <w:tcW w:w="701" w:type="dxa"/>
          </w:tcPr>
          <w:p>
            <w:pPr>
              <w:jc w:val="center"/>
              <w:rPr>
                <w:rFonts w:ascii="Times New Roman" w:hAnsi="Times New Roman" w:eastAsia="宋体" w:cs="Times New Roman"/>
                <w:bCs/>
                <w:color w:val="auto"/>
                <w:kern w:val="0"/>
                <w:sz w:val="20"/>
                <w:szCs w:val="21"/>
              </w:rPr>
            </w:pPr>
          </w:p>
        </w:tc>
        <w:tc>
          <w:tcPr>
            <w:tcW w:w="782" w:type="dxa"/>
            <w:vAlign w:val="center"/>
          </w:tcPr>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B级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24</w:t>
            </w:r>
          </w:p>
        </w:tc>
        <w:tc>
          <w:tcPr>
            <w:tcW w:w="563" w:type="dxa"/>
            <w:vMerge w:val="continue"/>
            <w:vAlign w:val="center"/>
          </w:tcPr>
          <w:p>
            <w:pPr>
              <w:jc w:val="center"/>
              <w:rPr>
                <w:rFonts w:ascii="Times New Roman" w:hAnsi="Times New Roman" w:eastAsia="宋体" w:cs="Times New Roman"/>
                <w:bCs/>
                <w:color w:val="auto"/>
                <w:kern w:val="0"/>
                <w:sz w:val="20"/>
                <w:szCs w:val="21"/>
              </w:rPr>
            </w:pPr>
          </w:p>
        </w:tc>
        <w:tc>
          <w:tcPr>
            <w:tcW w:w="2091"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企业应建立《化工企业生产过程</w:t>
            </w:r>
            <w:bookmarkStart w:id="74" w:name="OLE_LINK43"/>
            <w:r>
              <w:rPr>
                <w:rFonts w:ascii="Times New Roman" w:hAnsi="Times New Roman" w:eastAsia="宋体" w:cs="Times New Roman"/>
                <w:bCs/>
                <w:color w:val="auto"/>
                <w:kern w:val="0"/>
                <w:sz w:val="20"/>
                <w:szCs w:val="21"/>
              </w:rPr>
              <w:t>异常工况</w:t>
            </w:r>
            <w:bookmarkEnd w:id="74"/>
            <w:r>
              <w:rPr>
                <w:rFonts w:ascii="Times New Roman" w:hAnsi="Times New Roman" w:eastAsia="宋体" w:cs="Times New Roman"/>
                <w:bCs/>
                <w:color w:val="auto"/>
                <w:kern w:val="0"/>
                <w:sz w:val="20"/>
                <w:szCs w:val="21"/>
              </w:rPr>
              <w:t>应急处置准则》，对生产运行阶段的装置开停车、非计划检维修、操作参数异常、非正常操作或设备设施故障及其他存在能量意外释放风险的情况，建立异常工况处置程序，明确处置步骤、安全措施、停车条件，开展培训和演练。</w:t>
            </w:r>
          </w:p>
        </w:tc>
        <w:tc>
          <w:tcPr>
            <w:tcW w:w="2387"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应急管理部办公厅关于印发《化工企业生产过程异常工况安全处置准则（试行）》的通知（应急厅〔2024〕17号）</w:t>
            </w:r>
          </w:p>
        </w:tc>
        <w:tc>
          <w:tcPr>
            <w:tcW w:w="1682"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查企业异常工况处置机制</w:t>
            </w:r>
          </w:p>
        </w:tc>
        <w:tc>
          <w:tcPr>
            <w:tcW w:w="1939" w:type="dxa"/>
          </w:tcPr>
          <w:p>
            <w:pPr>
              <w:jc w:val="center"/>
              <w:rPr>
                <w:rFonts w:ascii="Times New Roman" w:hAnsi="Times New Roman" w:eastAsia="宋体" w:cs="Times New Roman"/>
                <w:bCs/>
                <w:color w:val="auto"/>
                <w:kern w:val="0"/>
                <w:sz w:val="20"/>
                <w:szCs w:val="21"/>
              </w:rPr>
            </w:pPr>
          </w:p>
        </w:tc>
        <w:tc>
          <w:tcPr>
            <w:tcW w:w="1808" w:type="dxa"/>
          </w:tcPr>
          <w:p>
            <w:pPr>
              <w:jc w:val="center"/>
              <w:rPr>
                <w:rFonts w:ascii="Times New Roman" w:hAnsi="Times New Roman" w:eastAsia="宋体" w:cs="Times New Roman"/>
                <w:bCs/>
                <w:color w:val="auto"/>
                <w:kern w:val="0"/>
                <w:sz w:val="20"/>
                <w:szCs w:val="21"/>
              </w:rPr>
            </w:pPr>
          </w:p>
        </w:tc>
        <w:tc>
          <w:tcPr>
            <w:tcW w:w="2077" w:type="dxa"/>
          </w:tcPr>
          <w:p>
            <w:pPr>
              <w:jc w:val="center"/>
              <w:rPr>
                <w:rFonts w:ascii="Times New Roman" w:hAnsi="Times New Roman" w:eastAsia="宋体" w:cs="Times New Roman"/>
                <w:bCs/>
                <w:color w:val="auto"/>
                <w:kern w:val="0"/>
                <w:sz w:val="20"/>
                <w:szCs w:val="21"/>
              </w:rPr>
            </w:pPr>
          </w:p>
        </w:tc>
        <w:tc>
          <w:tcPr>
            <w:tcW w:w="701" w:type="dxa"/>
          </w:tcPr>
          <w:p>
            <w:pPr>
              <w:jc w:val="center"/>
              <w:rPr>
                <w:rFonts w:ascii="Times New Roman" w:hAnsi="Times New Roman" w:eastAsia="宋体" w:cs="Times New Roman"/>
                <w:bCs/>
                <w:color w:val="auto"/>
                <w:kern w:val="0"/>
                <w:sz w:val="20"/>
                <w:szCs w:val="21"/>
              </w:rPr>
            </w:pPr>
          </w:p>
        </w:tc>
        <w:tc>
          <w:tcPr>
            <w:tcW w:w="782" w:type="dxa"/>
            <w:vAlign w:val="center"/>
          </w:tcPr>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B级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25</w:t>
            </w:r>
          </w:p>
        </w:tc>
        <w:tc>
          <w:tcPr>
            <w:tcW w:w="563" w:type="dxa"/>
            <w:vMerge w:val="continue"/>
            <w:vAlign w:val="center"/>
          </w:tcPr>
          <w:p>
            <w:pPr>
              <w:jc w:val="center"/>
              <w:rPr>
                <w:rFonts w:ascii="Times New Roman" w:hAnsi="Times New Roman" w:eastAsia="宋体" w:cs="Times New Roman"/>
                <w:bCs/>
                <w:color w:val="auto"/>
                <w:kern w:val="0"/>
                <w:sz w:val="20"/>
                <w:szCs w:val="21"/>
              </w:rPr>
            </w:pPr>
          </w:p>
        </w:tc>
        <w:tc>
          <w:tcPr>
            <w:tcW w:w="2091"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企业应明确工艺报警、可燃和有毒气体报警管理的</w:t>
            </w:r>
            <w:bookmarkStart w:id="75" w:name="OLE_LINK44"/>
            <w:r>
              <w:rPr>
                <w:rFonts w:ascii="Times New Roman" w:hAnsi="Times New Roman" w:eastAsia="宋体" w:cs="Times New Roman"/>
                <w:bCs/>
                <w:color w:val="auto"/>
                <w:kern w:val="0"/>
                <w:sz w:val="20"/>
                <w:szCs w:val="21"/>
              </w:rPr>
              <w:t>责任部门</w:t>
            </w:r>
            <w:bookmarkEnd w:id="75"/>
            <w:r>
              <w:rPr>
                <w:rFonts w:ascii="Times New Roman" w:hAnsi="Times New Roman" w:eastAsia="宋体" w:cs="Times New Roman"/>
                <w:bCs/>
                <w:color w:val="auto"/>
                <w:kern w:val="0"/>
                <w:sz w:val="20"/>
                <w:szCs w:val="21"/>
              </w:rPr>
              <w:t>，建立考核机制并按要求执行。</w:t>
            </w:r>
          </w:p>
        </w:tc>
        <w:tc>
          <w:tcPr>
            <w:tcW w:w="2387"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《危险化学品企业安全生产标准化通用规范》（GB 45673-2025）第5.2条</w:t>
            </w:r>
          </w:p>
        </w:tc>
        <w:tc>
          <w:tcPr>
            <w:tcW w:w="1682"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查企业是否建立相关管理制度</w:t>
            </w:r>
          </w:p>
        </w:tc>
        <w:tc>
          <w:tcPr>
            <w:tcW w:w="1939" w:type="dxa"/>
          </w:tcPr>
          <w:p>
            <w:pPr>
              <w:jc w:val="center"/>
              <w:rPr>
                <w:rFonts w:ascii="Times New Roman" w:hAnsi="Times New Roman" w:eastAsia="宋体" w:cs="Times New Roman"/>
                <w:bCs/>
                <w:color w:val="auto"/>
                <w:kern w:val="0"/>
                <w:sz w:val="20"/>
                <w:szCs w:val="21"/>
              </w:rPr>
            </w:pPr>
          </w:p>
        </w:tc>
        <w:tc>
          <w:tcPr>
            <w:tcW w:w="1808" w:type="dxa"/>
          </w:tcPr>
          <w:p>
            <w:pPr>
              <w:jc w:val="center"/>
              <w:rPr>
                <w:rFonts w:ascii="Times New Roman" w:hAnsi="Times New Roman" w:eastAsia="宋体" w:cs="Times New Roman"/>
                <w:bCs/>
                <w:color w:val="auto"/>
                <w:kern w:val="0"/>
                <w:sz w:val="20"/>
                <w:szCs w:val="21"/>
              </w:rPr>
            </w:pPr>
          </w:p>
        </w:tc>
        <w:tc>
          <w:tcPr>
            <w:tcW w:w="2077" w:type="dxa"/>
          </w:tcPr>
          <w:p>
            <w:pPr>
              <w:jc w:val="center"/>
              <w:rPr>
                <w:rFonts w:ascii="Times New Roman" w:hAnsi="Times New Roman" w:eastAsia="宋体" w:cs="Times New Roman"/>
                <w:bCs/>
                <w:color w:val="auto"/>
                <w:kern w:val="0"/>
                <w:sz w:val="20"/>
                <w:szCs w:val="21"/>
              </w:rPr>
            </w:pPr>
          </w:p>
        </w:tc>
        <w:tc>
          <w:tcPr>
            <w:tcW w:w="701" w:type="dxa"/>
          </w:tcPr>
          <w:p>
            <w:pPr>
              <w:jc w:val="center"/>
              <w:rPr>
                <w:rFonts w:ascii="Times New Roman" w:hAnsi="Times New Roman" w:eastAsia="宋体" w:cs="Times New Roman"/>
                <w:bCs/>
                <w:color w:val="auto"/>
                <w:kern w:val="0"/>
                <w:sz w:val="20"/>
                <w:szCs w:val="21"/>
              </w:rPr>
            </w:pPr>
          </w:p>
        </w:tc>
        <w:tc>
          <w:tcPr>
            <w:tcW w:w="782" w:type="dxa"/>
            <w:vAlign w:val="center"/>
          </w:tcPr>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26</w:t>
            </w:r>
          </w:p>
        </w:tc>
        <w:tc>
          <w:tcPr>
            <w:tcW w:w="563" w:type="dxa"/>
            <w:vMerge w:val="continue"/>
            <w:vAlign w:val="center"/>
          </w:tcPr>
          <w:p>
            <w:pPr>
              <w:jc w:val="center"/>
              <w:rPr>
                <w:rFonts w:ascii="Times New Roman" w:hAnsi="Times New Roman" w:eastAsia="宋体" w:cs="Times New Roman"/>
                <w:bCs/>
                <w:color w:val="auto"/>
                <w:kern w:val="0"/>
                <w:sz w:val="20"/>
                <w:szCs w:val="21"/>
              </w:rPr>
            </w:pPr>
          </w:p>
        </w:tc>
        <w:tc>
          <w:tcPr>
            <w:tcW w:w="2091"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企业应根据安全风险分析结果及工艺、设备的安全设计保护要求，设置工艺参数的报警。</w:t>
            </w:r>
          </w:p>
        </w:tc>
        <w:tc>
          <w:tcPr>
            <w:tcW w:w="2387"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《危险化学品企业安全生产标准化通用规范》（GB 45673-2025）第.7.4.1条</w:t>
            </w:r>
          </w:p>
        </w:tc>
        <w:tc>
          <w:tcPr>
            <w:tcW w:w="1682"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查设计资料、报警管理制度</w:t>
            </w:r>
          </w:p>
        </w:tc>
        <w:tc>
          <w:tcPr>
            <w:tcW w:w="1939" w:type="dxa"/>
          </w:tcPr>
          <w:p>
            <w:pPr>
              <w:jc w:val="center"/>
              <w:rPr>
                <w:rFonts w:ascii="Times New Roman" w:hAnsi="Times New Roman" w:eastAsia="宋体" w:cs="Times New Roman"/>
                <w:bCs/>
                <w:color w:val="auto"/>
                <w:kern w:val="0"/>
                <w:sz w:val="20"/>
                <w:szCs w:val="21"/>
              </w:rPr>
            </w:pPr>
          </w:p>
        </w:tc>
        <w:tc>
          <w:tcPr>
            <w:tcW w:w="1808" w:type="dxa"/>
          </w:tcPr>
          <w:p>
            <w:pPr>
              <w:jc w:val="center"/>
              <w:rPr>
                <w:rFonts w:ascii="Times New Roman" w:hAnsi="Times New Roman" w:eastAsia="宋体" w:cs="Times New Roman"/>
                <w:bCs/>
                <w:color w:val="auto"/>
                <w:kern w:val="0"/>
                <w:sz w:val="20"/>
                <w:szCs w:val="21"/>
              </w:rPr>
            </w:pPr>
          </w:p>
        </w:tc>
        <w:tc>
          <w:tcPr>
            <w:tcW w:w="2077" w:type="dxa"/>
          </w:tcPr>
          <w:p>
            <w:pPr>
              <w:jc w:val="center"/>
              <w:rPr>
                <w:rFonts w:ascii="Times New Roman" w:hAnsi="Times New Roman" w:eastAsia="宋体" w:cs="Times New Roman"/>
                <w:bCs/>
                <w:color w:val="auto"/>
                <w:kern w:val="0"/>
                <w:sz w:val="20"/>
                <w:szCs w:val="21"/>
              </w:rPr>
            </w:pPr>
          </w:p>
        </w:tc>
        <w:tc>
          <w:tcPr>
            <w:tcW w:w="701" w:type="dxa"/>
          </w:tcPr>
          <w:p>
            <w:pPr>
              <w:jc w:val="center"/>
              <w:rPr>
                <w:rFonts w:ascii="Times New Roman" w:hAnsi="Times New Roman" w:eastAsia="宋体" w:cs="Times New Roman"/>
                <w:bCs/>
                <w:color w:val="auto"/>
                <w:kern w:val="0"/>
                <w:sz w:val="20"/>
                <w:szCs w:val="21"/>
              </w:rPr>
            </w:pPr>
          </w:p>
        </w:tc>
        <w:tc>
          <w:tcPr>
            <w:tcW w:w="782" w:type="dxa"/>
            <w:vAlign w:val="center"/>
          </w:tcPr>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0"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27</w:t>
            </w:r>
          </w:p>
        </w:tc>
        <w:tc>
          <w:tcPr>
            <w:tcW w:w="563" w:type="dxa"/>
            <w:vMerge w:val="continue"/>
            <w:vAlign w:val="center"/>
          </w:tcPr>
          <w:p>
            <w:pPr>
              <w:jc w:val="center"/>
              <w:rPr>
                <w:rFonts w:ascii="Times New Roman" w:hAnsi="Times New Roman" w:eastAsia="宋体" w:cs="Times New Roman"/>
                <w:bCs/>
                <w:color w:val="auto"/>
                <w:kern w:val="0"/>
                <w:sz w:val="20"/>
                <w:szCs w:val="21"/>
              </w:rPr>
            </w:pPr>
          </w:p>
        </w:tc>
        <w:tc>
          <w:tcPr>
            <w:tcW w:w="2091"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1.企业应优化报警设置，对装置的工艺报警进行分级、分类管理，并投用报警功能。</w:t>
            </w:r>
            <w:r>
              <w:rPr>
                <w:rFonts w:ascii="Times New Roman" w:hAnsi="Times New Roman" w:eastAsia="宋体" w:cs="Times New Roman"/>
                <w:bCs/>
                <w:color w:val="auto"/>
                <w:kern w:val="0"/>
                <w:sz w:val="20"/>
                <w:szCs w:val="21"/>
              </w:rPr>
              <w:br w:type="textWrapping"/>
            </w:r>
            <w:r>
              <w:rPr>
                <w:rFonts w:ascii="Times New Roman" w:hAnsi="Times New Roman" w:eastAsia="宋体" w:cs="Times New Roman"/>
                <w:bCs/>
                <w:color w:val="auto"/>
                <w:kern w:val="0"/>
                <w:sz w:val="20"/>
                <w:szCs w:val="21"/>
              </w:rPr>
              <w:t>2.应统计分析报警数据，根据报警频率、持续时间等建立报警管理指标，查找和分析高频报警原因，优化报警管理。</w:t>
            </w:r>
            <w:r>
              <w:rPr>
                <w:rFonts w:ascii="Times New Roman" w:hAnsi="Times New Roman" w:eastAsia="宋体" w:cs="Times New Roman"/>
                <w:bCs/>
                <w:color w:val="auto"/>
                <w:kern w:val="0"/>
                <w:sz w:val="20"/>
                <w:szCs w:val="21"/>
              </w:rPr>
              <w:br w:type="textWrapping"/>
            </w:r>
            <w:r>
              <w:rPr>
                <w:rFonts w:ascii="Times New Roman" w:hAnsi="Times New Roman" w:eastAsia="宋体" w:cs="Times New Roman"/>
                <w:bCs/>
                <w:color w:val="auto"/>
                <w:kern w:val="0"/>
                <w:sz w:val="20"/>
                <w:szCs w:val="21"/>
              </w:rPr>
              <w:t>3.一级、二级危险化学品重大危险源(仓库除外)企业建设报警优化管理场景，实现报警管理、处置的规范化、智能化。</w:t>
            </w:r>
          </w:p>
        </w:tc>
        <w:tc>
          <w:tcPr>
            <w:tcW w:w="2387"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《化工过程安全管理导则》（AQ/T3034-2022）第4.9.4.1条</w:t>
            </w:r>
            <w:r>
              <w:rPr>
                <w:rFonts w:ascii="Times New Roman" w:hAnsi="Times New Roman" w:eastAsia="宋体" w:cs="Times New Roman"/>
                <w:bCs/>
                <w:color w:val="auto"/>
                <w:kern w:val="0"/>
                <w:sz w:val="20"/>
                <w:szCs w:val="21"/>
              </w:rPr>
              <w:br w:type="textWrapping"/>
            </w:r>
            <w:r>
              <w:rPr>
                <w:rFonts w:ascii="Times New Roman" w:hAnsi="Times New Roman" w:eastAsia="宋体" w:cs="Times New Roman"/>
                <w:bCs/>
                <w:color w:val="auto"/>
                <w:kern w:val="0"/>
                <w:sz w:val="20"/>
                <w:szCs w:val="21"/>
              </w:rPr>
              <w:t>《危险化学品重大危险源安全监控技术规范》（GB 17681-2024）第10.3条</w:t>
            </w:r>
          </w:p>
        </w:tc>
        <w:tc>
          <w:tcPr>
            <w:tcW w:w="1682"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查企业报警管理制度</w:t>
            </w:r>
          </w:p>
        </w:tc>
        <w:tc>
          <w:tcPr>
            <w:tcW w:w="1939" w:type="dxa"/>
          </w:tcPr>
          <w:p>
            <w:pPr>
              <w:jc w:val="center"/>
              <w:rPr>
                <w:rFonts w:ascii="Times New Roman" w:hAnsi="Times New Roman" w:eastAsia="宋体" w:cs="Times New Roman"/>
                <w:bCs/>
                <w:color w:val="auto"/>
                <w:kern w:val="0"/>
                <w:sz w:val="20"/>
                <w:szCs w:val="21"/>
              </w:rPr>
            </w:pPr>
          </w:p>
        </w:tc>
        <w:tc>
          <w:tcPr>
            <w:tcW w:w="1808" w:type="dxa"/>
          </w:tcPr>
          <w:p>
            <w:pPr>
              <w:jc w:val="center"/>
              <w:rPr>
                <w:rFonts w:ascii="Times New Roman" w:hAnsi="Times New Roman" w:eastAsia="宋体" w:cs="Times New Roman"/>
                <w:bCs/>
                <w:color w:val="auto"/>
                <w:kern w:val="0"/>
                <w:sz w:val="20"/>
                <w:szCs w:val="21"/>
              </w:rPr>
            </w:pPr>
          </w:p>
        </w:tc>
        <w:tc>
          <w:tcPr>
            <w:tcW w:w="2077" w:type="dxa"/>
          </w:tcPr>
          <w:p>
            <w:pPr>
              <w:jc w:val="center"/>
              <w:rPr>
                <w:rFonts w:ascii="Times New Roman" w:hAnsi="Times New Roman" w:eastAsia="宋体" w:cs="Times New Roman"/>
                <w:bCs/>
                <w:color w:val="auto"/>
                <w:kern w:val="0"/>
                <w:sz w:val="20"/>
                <w:szCs w:val="21"/>
              </w:rPr>
            </w:pPr>
          </w:p>
        </w:tc>
        <w:tc>
          <w:tcPr>
            <w:tcW w:w="701" w:type="dxa"/>
          </w:tcPr>
          <w:p>
            <w:pPr>
              <w:jc w:val="center"/>
              <w:rPr>
                <w:rFonts w:ascii="Times New Roman" w:hAnsi="Times New Roman" w:eastAsia="宋体" w:cs="Times New Roman"/>
                <w:bCs/>
                <w:color w:val="auto"/>
                <w:kern w:val="0"/>
                <w:sz w:val="20"/>
                <w:szCs w:val="21"/>
              </w:rPr>
            </w:pPr>
          </w:p>
        </w:tc>
        <w:tc>
          <w:tcPr>
            <w:tcW w:w="782" w:type="dxa"/>
            <w:vAlign w:val="center"/>
          </w:tcPr>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28</w:t>
            </w:r>
          </w:p>
        </w:tc>
        <w:tc>
          <w:tcPr>
            <w:tcW w:w="563" w:type="dxa"/>
            <w:vMerge w:val="continue"/>
            <w:vAlign w:val="center"/>
          </w:tcPr>
          <w:p>
            <w:pPr>
              <w:jc w:val="center"/>
              <w:rPr>
                <w:rFonts w:ascii="Times New Roman" w:hAnsi="Times New Roman" w:eastAsia="宋体" w:cs="Times New Roman"/>
                <w:bCs/>
                <w:color w:val="auto"/>
                <w:kern w:val="0"/>
                <w:sz w:val="20"/>
                <w:szCs w:val="21"/>
              </w:rPr>
            </w:pPr>
          </w:p>
        </w:tc>
        <w:tc>
          <w:tcPr>
            <w:tcW w:w="2091"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应按照操作规程即时响应和处置重要工艺报警，重要报警要有报警原因分析及处置记录。</w:t>
            </w:r>
          </w:p>
        </w:tc>
        <w:tc>
          <w:tcPr>
            <w:tcW w:w="2387"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《化工过程安全管理导则》（AQ/T3034-2022）第 4.9.4.2 条</w:t>
            </w:r>
          </w:p>
        </w:tc>
        <w:tc>
          <w:tcPr>
            <w:tcW w:w="1682"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查企业报警管理制度和报警记录</w:t>
            </w:r>
          </w:p>
        </w:tc>
        <w:tc>
          <w:tcPr>
            <w:tcW w:w="1939" w:type="dxa"/>
          </w:tcPr>
          <w:p>
            <w:pPr>
              <w:jc w:val="center"/>
              <w:rPr>
                <w:rFonts w:ascii="Times New Roman" w:hAnsi="Times New Roman" w:eastAsia="宋体" w:cs="Times New Roman"/>
                <w:bCs/>
                <w:color w:val="auto"/>
                <w:kern w:val="0"/>
                <w:sz w:val="20"/>
                <w:szCs w:val="21"/>
              </w:rPr>
            </w:pPr>
          </w:p>
        </w:tc>
        <w:tc>
          <w:tcPr>
            <w:tcW w:w="1808" w:type="dxa"/>
          </w:tcPr>
          <w:p>
            <w:pPr>
              <w:jc w:val="center"/>
              <w:rPr>
                <w:rFonts w:ascii="Times New Roman" w:hAnsi="Times New Roman" w:eastAsia="宋体" w:cs="Times New Roman"/>
                <w:bCs/>
                <w:color w:val="auto"/>
                <w:kern w:val="0"/>
                <w:sz w:val="20"/>
                <w:szCs w:val="21"/>
              </w:rPr>
            </w:pPr>
          </w:p>
        </w:tc>
        <w:tc>
          <w:tcPr>
            <w:tcW w:w="2077" w:type="dxa"/>
          </w:tcPr>
          <w:p>
            <w:pPr>
              <w:jc w:val="center"/>
              <w:rPr>
                <w:rFonts w:ascii="Times New Roman" w:hAnsi="Times New Roman" w:eastAsia="宋体" w:cs="Times New Roman"/>
                <w:bCs/>
                <w:color w:val="auto"/>
                <w:kern w:val="0"/>
                <w:sz w:val="20"/>
                <w:szCs w:val="21"/>
              </w:rPr>
            </w:pPr>
          </w:p>
        </w:tc>
        <w:tc>
          <w:tcPr>
            <w:tcW w:w="701" w:type="dxa"/>
          </w:tcPr>
          <w:p>
            <w:pPr>
              <w:jc w:val="center"/>
              <w:rPr>
                <w:rFonts w:ascii="Times New Roman" w:hAnsi="Times New Roman" w:eastAsia="宋体" w:cs="Times New Roman"/>
                <w:bCs/>
                <w:color w:val="auto"/>
                <w:kern w:val="0"/>
                <w:sz w:val="20"/>
                <w:szCs w:val="21"/>
              </w:rPr>
            </w:pPr>
          </w:p>
        </w:tc>
        <w:tc>
          <w:tcPr>
            <w:tcW w:w="782" w:type="dxa"/>
            <w:vAlign w:val="center"/>
          </w:tcPr>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29</w:t>
            </w:r>
          </w:p>
        </w:tc>
        <w:tc>
          <w:tcPr>
            <w:tcW w:w="563" w:type="dxa"/>
            <w:vMerge w:val="continue"/>
            <w:vAlign w:val="center"/>
          </w:tcPr>
          <w:p>
            <w:pPr>
              <w:jc w:val="center"/>
              <w:rPr>
                <w:rFonts w:ascii="Times New Roman" w:hAnsi="Times New Roman" w:eastAsia="宋体" w:cs="Times New Roman"/>
                <w:bCs/>
                <w:color w:val="auto"/>
                <w:kern w:val="0"/>
                <w:sz w:val="20"/>
                <w:szCs w:val="21"/>
              </w:rPr>
            </w:pPr>
          </w:p>
        </w:tc>
        <w:tc>
          <w:tcPr>
            <w:tcW w:w="2091" w:type="dxa"/>
            <w:vAlign w:val="center"/>
          </w:tcPr>
          <w:p>
            <w:pPr>
              <w:widowControl/>
              <w:spacing w:line="280" w:lineRule="exact"/>
              <w:textAlignment w:val="center"/>
              <w:rPr>
                <w:rFonts w:ascii="Times New Roman" w:hAnsi="Times New Roman" w:eastAsia="宋体" w:cs="Times New Roman"/>
                <w:bCs/>
                <w:color w:val="auto"/>
                <w:kern w:val="0"/>
                <w:sz w:val="20"/>
                <w:szCs w:val="21"/>
              </w:rPr>
            </w:pPr>
            <w:bookmarkStart w:id="76" w:name="OLE_LINK47"/>
            <w:r>
              <w:rPr>
                <w:rFonts w:ascii="Times New Roman" w:hAnsi="Times New Roman" w:eastAsia="宋体" w:cs="Times New Roman"/>
                <w:bCs/>
                <w:color w:val="auto"/>
                <w:kern w:val="0"/>
                <w:sz w:val="20"/>
                <w:szCs w:val="21"/>
              </w:rPr>
              <w:t>气体检测报警</w:t>
            </w:r>
            <w:bookmarkEnd w:id="76"/>
            <w:r>
              <w:rPr>
                <w:rFonts w:ascii="Times New Roman" w:hAnsi="Times New Roman" w:eastAsia="宋体" w:cs="Times New Roman"/>
                <w:bCs/>
                <w:color w:val="auto"/>
                <w:kern w:val="0"/>
                <w:sz w:val="20"/>
                <w:szCs w:val="21"/>
              </w:rPr>
              <w:t>系统应正常投用。</w:t>
            </w:r>
          </w:p>
        </w:tc>
        <w:tc>
          <w:tcPr>
            <w:tcW w:w="2387"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《中华人民共和国危险化学品安全法》（中华人民共和国主席令第六十四号）第三十八条</w:t>
            </w:r>
          </w:p>
        </w:tc>
        <w:tc>
          <w:tcPr>
            <w:tcW w:w="1682"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通过查阅检测器检测点布置图、现场实地检查，核实气体检测器安装位置是否符合要求，现场的气体检测器是否完好和投运。</w:t>
            </w:r>
          </w:p>
        </w:tc>
        <w:tc>
          <w:tcPr>
            <w:tcW w:w="1939" w:type="dxa"/>
          </w:tcPr>
          <w:p>
            <w:pPr>
              <w:jc w:val="center"/>
              <w:rPr>
                <w:rFonts w:ascii="Times New Roman" w:hAnsi="Times New Roman" w:eastAsia="宋体" w:cs="Times New Roman"/>
                <w:bCs/>
                <w:color w:val="auto"/>
                <w:kern w:val="0"/>
                <w:sz w:val="20"/>
                <w:szCs w:val="21"/>
              </w:rPr>
            </w:pPr>
          </w:p>
        </w:tc>
        <w:tc>
          <w:tcPr>
            <w:tcW w:w="1808" w:type="dxa"/>
          </w:tcPr>
          <w:p>
            <w:pPr>
              <w:jc w:val="center"/>
              <w:rPr>
                <w:rFonts w:ascii="Times New Roman" w:hAnsi="Times New Roman" w:eastAsia="宋体" w:cs="Times New Roman"/>
                <w:bCs/>
                <w:color w:val="auto"/>
                <w:kern w:val="0"/>
                <w:sz w:val="20"/>
                <w:szCs w:val="21"/>
              </w:rPr>
            </w:pPr>
          </w:p>
        </w:tc>
        <w:tc>
          <w:tcPr>
            <w:tcW w:w="2077" w:type="dxa"/>
          </w:tcPr>
          <w:p>
            <w:pPr>
              <w:jc w:val="center"/>
              <w:rPr>
                <w:rFonts w:ascii="Times New Roman" w:hAnsi="Times New Roman" w:eastAsia="宋体" w:cs="Times New Roman"/>
                <w:bCs/>
                <w:color w:val="auto"/>
                <w:kern w:val="0"/>
                <w:sz w:val="20"/>
                <w:szCs w:val="21"/>
              </w:rPr>
            </w:pPr>
          </w:p>
        </w:tc>
        <w:tc>
          <w:tcPr>
            <w:tcW w:w="701" w:type="dxa"/>
          </w:tcPr>
          <w:p>
            <w:pPr>
              <w:jc w:val="center"/>
              <w:rPr>
                <w:rFonts w:ascii="Times New Roman" w:hAnsi="Times New Roman" w:eastAsia="宋体" w:cs="Times New Roman"/>
                <w:bCs/>
                <w:color w:val="auto"/>
                <w:kern w:val="0"/>
                <w:sz w:val="20"/>
                <w:szCs w:val="21"/>
              </w:rPr>
            </w:pPr>
          </w:p>
        </w:tc>
        <w:tc>
          <w:tcPr>
            <w:tcW w:w="782" w:type="dxa"/>
            <w:vAlign w:val="center"/>
          </w:tcPr>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B级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30</w:t>
            </w:r>
          </w:p>
        </w:tc>
        <w:tc>
          <w:tcPr>
            <w:tcW w:w="563" w:type="dxa"/>
            <w:vMerge w:val="continue"/>
            <w:vAlign w:val="center"/>
          </w:tcPr>
          <w:p>
            <w:pPr>
              <w:jc w:val="center"/>
              <w:rPr>
                <w:rFonts w:ascii="Times New Roman" w:hAnsi="Times New Roman" w:eastAsia="宋体" w:cs="Times New Roman"/>
                <w:bCs/>
                <w:color w:val="auto"/>
                <w:kern w:val="0"/>
                <w:sz w:val="20"/>
                <w:szCs w:val="21"/>
              </w:rPr>
            </w:pPr>
          </w:p>
        </w:tc>
        <w:tc>
          <w:tcPr>
            <w:tcW w:w="2091"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1.应将可燃、有毒气体检测报警信号发送至有操作人员常驻的控制室、现场操作室进行报警；控制室操作区应设置可燃气体和有毒气体声、光报警，并处于投用状态。</w:t>
            </w:r>
            <w:r>
              <w:rPr>
                <w:rFonts w:ascii="Times New Roman" w:hAnsi="Times New Roman" w:eastAsia="宋体" w:cs="Times New Roman"/>
                <w:bCs/>
                <w:color w:val="auto"/>
                <w:kern w:val="0"/>
                <w:sz w:val="20"/>
                <w:szCs w:val="21"/>
              </w:rPr>
              <w:br w:type="textWrapping"/>
            </w:r>
            <w:r>
              <w:rPr>
                <w:rFonts w:ascii="Times New Roman" w:hAnsi="Times New Roman" w:eastAsia="宋体" w:cs="Times New Roman"/>
                <w:bCs/>
                <w:color w:val="auto"/>
                <w:kern w:val="0"/>
                <w:sz w:val="20"/>
                <w:szCs w:val="21"/>
              </w:rPr>
              <w:t>2.建立可燃和有毒气体检测报警与处警记录，对报警原因进行分析。</w:t>
            </w:r>
          </w:p>
        </w:tc>
        <w:tc>
          <w:tcPr>
            <w:tcW w:w="2387"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《石油化工可燃气体和有毒气体检测 报警设计标准》</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 GB/T50493-2019）</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第3.0.3条、第 3.0.4条</w:t>
            </w:r>
            <w:r>
              <w:rPr>
                <w:rFonts w:ascii="Times New Roman" w:hAnsi="Times New Roman" w:eastAsia="宋体" w:cs="Times New Roman"/>
                <w:bCs/>
                <w:color w:val="auto"/>
                <w:kern w:val="0"/>
                <w:sz w:val="20"/>
                <w:szCs w:val="21"/>
              </w:rPr>
              <w:br w:type="textWrapping"/>
            </w:r>
            <w:r>
              <w:rPr>
                <w:rFonts w:ascii="Times New Roman" w:hAnsi="Times New Roman" w:eastAsia="宋体" w:cs="Times New Roman"/>
                <w:bCs/>
                <w:color w:val="auto"/>
                <w:kern w:val="0"/>
                <w:sz w:val="20"/>
                <w:szCs w:val="21"/>
              </w:rPr>
              <w:t>《关于加强化工企业泄漏管理的指导意见》（安监总管三〔2014〕94号）第（十九）条</w:t>
            </w:r>
          </w:p>
        </w:tc>
        <w:tc>
          <w:tcPr>
            <w:tcW w:w="1682"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查企业报警管理制度和报警记录</w:t>
            </w:r>
          </w:p>
        </w:tc>
        <w:tc>
          <w:tcPr>
            <w:tcW w:w="1939" w:type="dxa"/>
          </w:tcPr>
          <w:p>
            <w:pPr>
              <w:jc w:val="center"/>
              <w:rPr>
                <w:rFonts w:ascii="Times New Roman" w:hAnsi="Times New Roman" w:eastAsia="宋体" w:cs="Times New Roman"/>
                <w:bCs/>
                <w:color w:val="auto"/>
                <w:kern w:val="0"/>
                <w:sz w:val="20"/>
                <w:szCs w:val="21"/>
              </w:rPr>
            </w:pPr>
          </w:p>
        </w:tc>
        <w:tc>
          <w:tcPr>
            <w:tcW w:w="1808" w:type="dxa"/>
          </w:tcPr>
          <w:p>
            <w:pPr>
              <w:jc w:val="center"/>
              <w:rPr>
                <w:rFonts w:ascii="Times New Roman" w:hAnsi="Times New Roman" w:eastAsia="宋体" w:cs="Times New Roman"/>
                <w:bCs/>
                <w:color w:val="auto"/>
                <w:kern w:val="0"/>
                <w:sz w:val="20"/>
                <w:szCs w:val="21"/>
              </w:rPr>
            </w:pPr>
          </w:p>
        </w:tc>
        <w:tc>
          <w:tcPr>
            <w:tcW w:w="2077" w:type="dxa"/>
          </w:tcPr>
          <w:p>
            <w:pPr>
              <w:jc w:val="center"/>
              <w:rPr>
                <w:rFonts w:ascii="Times New Roman" w:hAnsi="Times New Roman" w:eastAsia="宋体" w:cs="Times New Roman"/>
                <w:bCs/>
                <w:color w:val="auto"/>
                <w:kern w:val="0"/>
                <w:sz w:val="20"/>
                <w:szCs w:val="21"/>
              </w:rPr>
            </w:pPr>
          </w:p>
        </w:tc>
        <w:tc>
          <w:tcPr>
            <w:tcW w:w="701" w:type="dxa"/>
          </w:tcPr>
          <w:p>
            <w:pPr>
              <w:jc w:val="center"/>
              <w:rPr>
                <w:rFonts w:ascii="Times New Roman" w:hAnsi="Times New Roman" w:eastAsia="宋体" w:cs="Times New Roman"/>
                <w:bCs/>
                <w:color w:val="auto"/>
                <w:kern w:val="0"/>
                <w:sz w:val="20"/>
                <w:szCs w:val="21"/>
              </w:rPr>
            </w:pPr>
          </w:p>
        </w:tc>
        <w:tc>
          <w:tcPr>
            <w:tcW w:w="782" w:type="dxa"/>
            <w:vAlign w:val="center"/>
          </w:tcPr>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0"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31</w:t>
            </w:r>
          </w:p>
        </w:tc>
        <w:tc>
          <w:tcPr>
            <w:tcW w:w="563" w:type="dxa"/>
            <w:vMerge w:val="continue"/>
            <w:vAlign w:val="center"/>
          </w:tcPr>
          <w:p>
            <w:pPr>
              <w:jc w:val="center"/>
              <w:rPr>
                <w:rFonts w:ascii="Times New Roman" w:hAnsi="Times New Roman" w:eastAsia="宋体" w:cs="Times New Roman"/>
                <w:bCs/>
                <w:color w:val="auto"/>
                <w:kern w:val="0"/>
                <w:sz w:val="20"/>
                <w:szCs w:val="21"/>
              </w:rPr>
            </w:pPr>
          </w:p>
        </w:tc>
        <w:tc>
          <w:tcPr>
            <w:tcW w:w="2091"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企业异常工况现场处置时，同一装置区内超过6人或无关人员进人处置现场；涉及高危工艺和工艺危险度4级及以上的其他危险化工工艺的精细化工厂房（含装置）内同一时间现场人员超过2人（厂房采用符合抗爆设计的防爆墙分隔的，防爆墙两侧按照不同区域处理）</w:t>
            </w:r>
          </w:p>
        </w:tc>
        <w:tc>
          <w:tcPr>
            <w:tcW w:w="2387"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《化工和危险化学品生产经营企业重大生产安全事故隐患判定准则》（AQ 3067-2026）</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第5.7.4条</w:t>
            </w:r>
          </w:p>
        </w:tc>
        <w:tc>
          <w:tcPr>
            <w:tcW w:w="1682"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查企业异常工况处置机制和人员定位系统</w:t>
            </w:r>
          </w:p>
        </w:tc>
        <w:tc>
          <w:tcPr>
            <w:tcW w:w="1939" w:type="dxa"/>
          </w:tcPr>
          <w:p>
            <w:pPr>
              <w:jc w:val="center"/>
              <w:rPr>
                <w:rFonts w:ascii="Times New Roman" w:hAnsi="Times New Roman" w:eastAsia="宋体" w:cs="Times New Roman"/>
                <w:bCs/>
                <w:color w:val="auto"/>
                <w:kern w:val="0"/>
                <w:sz w:val="20"/>
                <w:szCs w:val="21"/>
              </w:rPr>
            </w:pPr>
          </w:p>
        </w:tc>
        <w:tc>
          <w:tcPr>
            <w:tcW w:w="1808" w:type="dxa"/>
          </w:tcPr>
          <w:p>
            <w:pPr>
              <w:jc w:val="center"/>
              <w:rPr>
                <w:rFonts w:ascii="Times New Roman" w:hAnsi="Times New Roman" w:eastAsia="宋体" w:cs="Times New Roman"/>
                <w:bCs/>
                <w:color w:val="auto"/>
                <w:kern w:val="0"/>
                <w:sz w:val="20"/>
                <w:szCs w:val="21"/>
              </w:rPr>
            </w:pPr>
          </w:p>
        </w:tc>
        <w:tc>
          <w:tcPr>
            <w:tcW w:w="2077" w:type="dxa"/>
          </w:tcPr>
          <w:p>
            <w:pPr>
              <w:jc w:val="center"/>
              <w:rPr>
                <w:rFonts w:ascii="Times New Roman" w:hAnsi="Times New Roman" w:eastAsia="宋体" w:cs="Times New Roman"/>
                <w:bCs/>
                <w:color w:val="auto"/>
                <w:kern w:val="0"/>
                <w:sz w:val="20"/>
                <w:szCs w:val="21"/>
              </w:rPr>
            </w:pPr>
          </w:p>
        </w:tc>
        <w:tc>
          <w:tcPr>
            <w:tcW w:w="701" w:type="dxa"/>
          </w:tcPr>
          <w:p>
            <w:pPr>
              <w:jc w:val="center"/>
              <w:rPr>
                <w:rFonts w:ascii="Times New Roman" w:hAnsi="Times New Roman" w:eastAsia="宋体" w:cs="Times New Roman"/>
                <w:bCs/>
                <w:color w:val="auto"/>
                <w:kern w:val="0"/>
                <w:sz w:val="20"/>
                <w:szCs w:val="21"/>
              </w:rPr>
            </w:pPr>
          </w:p>
        </w:tc>
        <w:tc>
          <w:tcPr>
            <w:tcW w:w="782" w:type="dxa"/>
            <w:vAlign w:val="center"/>
          </w:tcPr>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 w:type="dxa"/>
            <w:vAlign w:val="center"/>
          </w:tcPr>
          <w:p>
            <w:pPr>
              <w:jc w:val="center"/>
              <w:rPr>
                <w:rFonts w:hint="eastAsia" w:ascii="宋体" w:hAnsi="宋体" w:eastAsia="宋体" w:cs="Times New Roman"/>
                <w:bCs/>
                <w:color w:val="auto"/>
                <w:kern w:val="0"/>
                <w:sz w:val="20"/>
                <w:szCs w:val="21"/>
              </w:rPr>
            </w:pPr>
            <w:r>
              <w:rPr>
                <w:rFonts w:ascii="宋体" w:hAnsi="宋体" w:eastAsia="宋体" w:cs="Times New Roman"/>
                <w:bCs/>
                <w:color w:val="auto"/>
                <w:kern w:val="0"/>
                <w:sz w:val="20"/>
                <w:szCs w:val="21"/>
              </w:rPr>
              <w:t>32</w:t>
            </w:r>
          </w:p>
        </w:tc>
        <w:tc>
          <w:tcPr>
            <w:tcW w:w="563" w:type="dxa"/>
            <w:vMerge w:val="restart"/>
            <w:vAlign w:val="center"/>
          </w:tcPr>
          <w:p>
            <w:pPr>
              <w:jc w:val="center"/>
              <w:rPr>
                <w:rFonts w:hint="eastAsia" w:ascii="宋体" w:hAnsi="宋体" w:eastAsia="宋体" w:cs="Times New Roman"/>
                <w:bCs/>
                <w:color w:val="auto"/>
                <w:kern w:val="0"/>
                <w:sz w:val="20"/>
                <w:szCs w:val="21"/>
              </w:rPr>
            </w:pPr>
            <w:r>
              <w:rPr>
                <w:rFonts w:ascii="宋体" w:hAnsi="宋体" w:eastAsia="宋体" w:cs="Times New Roman"/>
                <w:bCs/>
                <w:color w:val="auto"/>
                <w:kern w:val="0"/>
                <w:sz w:val="20"/>
                <w:szCs w:val="21"/>
              </w:rPr>
              <w:t>储存安全</w:t>
            </w:r>
          </w:p>
        </w:tc>
        <w:tc>
          <w:tcPr>
            <w:tcW w:w="2091" w:type="dxa"/>
            <w:vAlign w:val="center"/>
          </w:tcPr>
          <w:p>
            <w:pPr>
              <w:widowControl/>
              <w:spacing w:line="280" w:lineRule="exact"/>
              <w:textAlignment w:val="center"/>
              <w:rPr>
                <w:rFonts w:hint="eastAsia" w:ascii="宋体" w:hAnsi="宋体" w:eastAsia="宋体" w:cs="Times New Roman"/>
                <w:bCs/>
                <w:color w:val="auto"/>
                <w:kern w:val="0"/>
                <w:sz w:val="20"/>
                <w:szCs w:val="21"/>
              </w:rPr>
            </w:pPr>
            <w:r>
              <w:rPr>
                <w:rFonts w:ascii="Times New Roman" w:hAnsi="Times New Roman" w:eastAsia="宋体" w:cs="Times New Roman"/>
                <w:bCs/>
                <w:color w:val="auto"/>
                <w:kern w:val="0"/>
                <w:sz w:val="20"/>
                <w:szCs w:val="21"/>
              </w:rPr>
              <w:t>企业应落实危险化学品仓库设计要求，化学品及危险化学品储罐的容量、储存品种、储存量应与设计文件一致。</w:t>
            </w:r>
          </w:p>
        </w:tc>
        <w:tc>
          <w:tcPr>
            <w:tcW w:w="2387" w:type="dxa"/>
            <w:vAlign w:val="center"/>
          </w:tcPr>
          <w:p>
            <w:pPr>
              <w:widowControl/>
              <w:spacing w:line="280" w:lineRule="exact"/>
              <w:textAlignment w:val="center"/>
              <w:rPr>
                <w:rFonts w:hint="eastAsia" w:ascii="宋体" w:hAnsi="宋体" w:eastAsia="宋体" w:cs="Times New Roman"/>
                <w:bCs/>
                <w:color w:val="auto"/>
                <w:kern w:val="0"/>
                <w:sz w:val="20"/>
                <w:szCs w:val="21"/>
              </w:rPr>
            </w:pPr>
            <w:r>
              <w:rPr>
                <w:rFonts w:ascii="Times New Roman" w:hAnsi="Times New Roman" w:eastAsia="宋体" w:cs="Times New Roman"/>
                <w:bCs/>
                <w:color w:val="auto"/>
                <w:kern w:val="0"/>
                <w:sz w:val="20"/>
                <w:szCs w:val="21"/>
              </w:rPr>
              <w:t>《危险化学品仓库储存通则》GB15603-2022第4.4.3条</w:t>
            </w:r>
          </w:p>
        </w:tc>
        <w:tc>
          <w:tcPr>
            <w:tcW w:w="1682" w:type="dxa"/>
            <w:vAlign w:val="center"/>
          </w:tcPr>
          <w:p>
            <w:pPr>
              <w:jc w:val="center"/>
              <w:rPr>
                <w:rFonts w:hint="eastAsia" w:ascii="宋体" w:hAnsi="宋体" w:eastAsia="宋体" w:cs="Times New Roman"/>
                <w:bCs/>
                <w:color w:val="auto"/>
                <w:kern w:val="0"/>
                <w:sz w:val="20"/>
                <w:szCs w:val="21"/>
              </w:rPr>
            </w:pPr>
            <w:r>
              <w:rPr>
                <w:rFonts w:ascii="Times New Roman" w:hAnsi="Times New Roman" w:eastAsia="宋体" w:cs="Times New Roman"/>
                <w:bCs/>
                <w:color w:val="auto"/>
                <w:kern w:val="0"/>
                <w:sz w:val="20"/>
                <w:szCs w:val="21"/>
              </w:rPr>
              <w:t>查设计资料、现场</w:t>
            </w:r>
          </w:p>
        </w:tc>
        <w:tc>
          <w:tcPr>
            <w:tcW w:w="1939" w:type="dxa"/>
          </w:tcPr>
          <w:p>
            <w:pPr>
              <w:jc w:val="center"/>
              <w:rPr>
                <w:rFonts w:hint="eastAsia" w:ascii="宋体" w:hAnsi="宋体" w:eastAsia="宋体" w:cs="Times New Roman"/>
                <w:bCs/>
                <w:color w:val="auto"/>
                <w:kern w:val="0"/>
                <w:sz w:val="20"/>
                <w:szCs w:val="21"/>
              </w:rPr>
            </w:pPr>
          </w:p>
        </w:tc>
        <w:tc>
          <w:tcPr>
            <w:tcW w:w="1808" w:type="dxa"/>
          </w:tcPr>
          <w:p>
            <w:pPr>
              <w:jc w:val="center"/>
              <w:rPr>
                <w:rFonts w:hint="eastAsia" w:ascii="宋体" w:hAnsi="宋体" w:eastAsia="宋体" w:cs="Times New Roman"/>
                <w:bCs/>
                <w:color w:val="auto"/>
                <w:kern w:val="0"/>
                <w:sz w:val="20"/>
                <w:szCs w:val="21"/>
              </w:rPr>
            </w:pPr>
          </w:p>
        </w:tc>
        <w:tc>
          <w:tcPr>
            <w:tcW w:w="2077" w:type="dxa"/>
          </w:tcPr>
          <w:p>
            <w:pPr>
              <w:jc w:val="center"/>
              <w:rPr>
                <w:rFonts w:hint="eastAsia" w:ascii="宋体" w:hAnsi="宋体" w:eastAsia="宋体" w:cs="Times New Roman"/>
                <w:bCs/>
                <w:color w:val="auto"/>
                <w:kern w:val="0"/>
                <w:sz w:val="20"/>
                <w:szCs w:val="21"/>
              </w:rPr>
            </w:pPr>
          </w:p>
        </w:tc>
        <w:tc>
          <w:tcPr>
            <w:tcW w:w="701" w:type="dxa"/>
          </w:tcPr>
          <w:p>
            <w:pPr>
              <w:jc w:val="center"/>
              <w:rPr>
                <w:rFonts w:hint="eastAsia" w:ascii="宋体" w:hAnsi="宋体" w:eastAsia="宋体" w:cs="Times New Roman"/>
                <w:bCs/>
                <w:color w:val="auto"/>
                <w:kern w:val="0"/>
                <w:sz w:val="20"/>
                <w:szCs w:val="21"/>
              </w:rPr>
            </w:pPr>
          </w:p>
        </w:tc>
        <w:tc>
          <w:tcPr>
            <w:tcW w:w="782" w:type="dxa"/>
            <w:vAlign w:val="center"/>
          </w:tcPr>
          <w:p>
            <w:pPr>
              <w:widowControl/>
              <w:spacing w:line="280" w:lineRule="exact"/>
              <w:jc w:val="center"/>
              <w:textAlignment w:val="center"/>
              <w:rPr>
                <w:rFonts w:hint="eastAsia" w:ascii="宋体" w:hAnsi="宋体" w:eastAsia="宋体" w:cs="Times New Roman"/>
                <w:bCs/>
                <w:color w:val="auto"/>
                <w:kern w:val="0"/>
                <w:sz w:val="20"/>
                <w:szCs w:val="21"/>
              </w:rPr>
            </w:pPr>
            <w:r>
              <w:rPr>
                <w:rFonts w:ascii="Times New Roman" w:hAnsi="Times New Roman" w:eastAsia="宋体" w:cs="Times New Roman"/>
                <w:bCs/>
                <w:color w:val="auto"/>
                <w:kern w:val="0"/>
                <w:sz w:val="20"/>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 w:type="dxa"/>
            <w:vAlign w:val="center"/>
          </w:tcPr>
          <w:p>
            <w:pPr>
              <w:jc w:val="center"/>
              <w:rPr>
                <w:rFonts w:hint="eastAsia" w:ascii="宋体" w:hAnsi="宋体" w:eastAsia="宋体" w:cs="Times New Roman"/>
                <w:bCs/>
                <w:color w:val="auto"/>
                <w:kern w:val="0"/>
                <w:sz w:val="20"/>
                <w:szCs w:val="21"/>
              </w:rPr>
            </w:pPr>
            <w:r>
              <w:rPr>
                <w:rFonts w:ascii="宋体" w:hAnsi="宋体" w:eastAsia="宋体" w:cs="Times New Roman"/>
                <w:bCs/>
                <w:color w:val="auto"/>
                <w:kern w:val="0"/>
                <w:sz w:val="20"/>
                <w:szCs w:val="21"/>
              </w:rPr>
              <w:t>33</w:t>
            </w:r>
          </w:p>
        </w:tc>
        <w:tc>
          <w:tcPr>
            <w:tcW w:w="563" w:type="dxa"/>
            <w:vMerge w:val="continue"/>
            <w:vAlign w:val="center"/>
          </w:tcPr>
          <w:p>
            <w:pPr>
              <w:jc w:val="center"/>
              <w:rPr>
                <w:rFonts w:hint="eastAsia" w:ascii="宋体" w:hAnsi="宋体" w:eastAsia="宋体" w:cs="Times New Roman"/>
                <w:bCs/>
                <w:color w:val="auto"/>
                <w:kern w:val="0"/>
                <w:sz w:val="20"/>
                <w:szCs w:val="21"/>
              </w:rPr>
            </w:pPr>
          </w:p>
        </w:tc>
        <w:tc>
          <w:tcPr>
            <w:tcW w:w="2091" w:type="dxa"/>
            <w:vAlign w:val="center"/>
          </w:tcPr>
          <w:p>
            <w:pPr>
              <w:widowControl/>
              <w:spacing w:line="280" w:lineRule="exact"/>
              <w:textAlignment w:val="center"/>
              <w:rPr>
                <w:rFonts w:hint="eastAsia" w:ascii="宋体" w:hAnsi="宋体" w:eastAsia="宋体" w:cs="Times New Roman"/>
                <w:bCs/>
                <w:color w:val="auto"/>
                <w:kern w:val="0"/>
                <w:sz w:val="20"/>
                <w:szCs w:val="21"/>
              </w:rPr>
            </w:pPr>
            <w:r>
              <w:rPr>
                <w:rFonts w:ascii="Times New Roman" w:hAnsi="Times New Roman" w:eastAsia="宋体" w:cs="Times New Roman"/>
                <w:bCs/>
                <w:color w:val="auto"/>
                <w:kern w:val="0"/>
                <w:sz w:val="20"/>
                <w:szCs w:val="21"/>
              </w:rPr>
              <w:t>企业未按照GB15603等标准规范要求分区分类储存危险化学品；超量、超品种储存危险化学品；相互禁配物质混放混存.</w:t>
            </w:r>
          </w:p>
        </w:tc>
        <w:tc>
          <w:tcPr>
            <w:tcW w:w="2387"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《化工和危险化学品生产经营企业重大生产安全事故隐患判定准则》（AQ 3067-2026）第5.5.8条</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《危险化学品仓库储存通则》GB1560</w:t>
            </w:r>
            <w:r>
              <w:rPr>
                <w:rFonts w:ascii="Times New Roman" w:hAnsi="Times New Roman" w:eastAsia="宋体" w:cs="Times New Roman"/>
                <w:bCs/>
                <w:color w:val="auto"/>
                <w:kern w:val="0"/>
                <w:sz w:val="20"/>
                <w:szCs w:val="21"/>
              </w:rPr>
              <w:t>3-2022第5.1条、第5.3条</w:t>
            </w:r>
          </w:p>
          <w:p>
            <w:pPr>
              <w:widowControl/>
              <w:spacing w:line="280" w:lineRule="exact"/>
              <w:textAlignment w:val="center"/>
              <w:rPr>
                <w:rFonts w:hint="eastAsia" w:ascii="宋体" w:hAnsi="宋体" w:eastAsia="宋体" w:cs="Times New Roman"/>
                <w:bCs/>
                <w:color w:val="auto"/>
                <w:kern w:val="0"/>
                <w:sz w:val="20"/>
                <w:szCs w:val="21"/>
              </w:rPr>
            </w:pPr>
            <w:r>
              <w:rPr>
                <w:rFonts w:ascii="Times New Roman" w:hAnsi="Times New Roman" w:eastAsia="宋体" w:cs="Times New Roman"/>
                <w:bCs/>
                <w:color w:val="auto"/>
                <w:kern w:val="0"/>
                <w:sz w:val="20"/>
                <w:szCs w:val="21"/>
              </w:rPr>
              <w:t>《危险化学品仓库储存通则》GB15603-2022附录A</w:t>
            </w:r>
          </w:p>
        </w:tc>
        <w:tc>
          <w:tcPr>
            <w:tcW w:w="1682" w:type="dxa"/>
            <w:vAlign w:val="center"/>
          </w:tcPr>
          <w:p>
            <w:pPr>
              <w:jc w:val="center"/>
              <w:rPr>
                <w:rFonts w:hint="eastAsia" w:ascii="宋体" w:hAnsi="宋体" w:eastAsia="宋体" w:cs="Times New Roman"/>
                <w:bCs/>
                <w:color w:val="auto"/>
                <w:kern w:val="0"/>
                <w:sz w:val="20"/>
                <w:szCs w:val="21"/>
              </w:rPr>
            </w:pPr>
            <w:r>
              <w:rPr>
                <w:rFonts w:ascii="Times New Roman" w:hAnsi="Times New Roman" w:eastAsia="宋体" w:cs="Times New Roman"/>
                <w:bCs/>
                <w:color w:val="auto"/>
                <w:kern w:val="0"/>
                <w:sz w:val="20"/>
                <w:szCs w:val="21"/>
              </w:rPr>
              <w:t>查评价报告、现场</w:t>
            </w:r>
          </w:p>
        </w:tc>
        <w:tc>
          <w:tcPr>
            <w:tcW w:w="1939" w:type="dxa"/>
          </w:tcPr>
          <w:p>
            <w:pPr>
              <w:jc w:val="center"/>
              <w:rPr>
                <w:rFonts w:hint="eastAsia" w:ascii="宋体" w:hAnsi="宋体" w:eastAsia="宋体" w:cs="Times New Roman"/>
                <w:bCs/>
                <w:color w:val="auto"/>
                <w:kern w:val="0"/>
                <w:sz w:val="20"/>
                <w:szCs w:val="21"/>
              </w:rPr>
            </w:pPr>
          </w:p>
        </w:tc>
        <w:tc>
          <w:tcPr>
            <w:tcW w:w="1808" w:type="dxa"/>
          </w:tcPr>
          <w:p>
            <w:pPr>
              <w:jc w:val="center"/>
              <w:rPr>
                <w:rFonts w:hint="eastAsia" w:ascii="宋体" w:hAnsi="宋体" w:eastAsia="宋体" w:cs="Times New Roman"/>
                <w:bCs/>
                <w:color w:val="auto"/>
                <w:kern w:val="0"/>
                <w:sz w:val="20"/>
                <w:szCs w:val="21"/>
              </w:rPr>
            </w:pPr>
          </w:p>
        </w:tc>
        <w:tc>
          <w:tcPr>
            <w:tcW w:w="2077" w:type="dxa"/>
          </w:tcPr>
          <w:p>
            <w:pPr>
              <w:jc w:val="center"/>
              <w:rPr>
                <w:rFonts w:hint="eastAsia" w:ascii="宋体" w:hAnsi="宋体" w:eastAsia="宋体" w:cs="Times New Roman"/>
                <w:bCs/>
                <w:color w:val="auto"/>
                <w:kern w:val="0"/>
                <w:sz w:val="20"/>
                <w:szCs w:val="21"/>
              </w:rPr>
            </w:pPr>
          </w:p>
        </w:tc>
        <w:tc>
          <w:tcPr>
            <w:tcW w:w="701" w:type="dxa"/>
          </w:tcPr>
          <w:p>
            <w:pPr>
              <w:jc w:val="center"/>
              <w:rPr>
                <w:rFonts w:hint="eastAsia" w:ascii="宋体" w:hAnsi="宋体" w:eastAsia="宋体" w:cs="Times New Roman"/>
                <w:bCs/>
                <w:color w:val="auto"/>
                <w:kern w:val="0"/>
                <w:sz w:val="20"/>
                <w:szCs w:val="21"/>
              </w:rPr>
            </w:pPr>
          </w:p>
        </w:tc>
        <w:tc>
          <w:tcPr>
            <w:tcW w:w="782" w:type="dxa"/>
            <w:vAlign w:val="center"/>
          </w:tcPr>
          <w:p>
            <w:pPr>
              <w:widowControl/>
              <w:spacing w:line="280" w:lineRule="exact"/>
              <w:jc w:val="center"/>
              <w:textAlignment w:val="center"/>
              <w:rPr>
                <w:rFonts w:hint="eastAsia" w:ascii="宋体" w:hAnsi="宋体" w:eastAsia="宋体" w:cs="Times New Roman"/>
                <w:bCs/>
                <w:color w:val="auto"/>
                <w:kern w:val="0"/>
                <w:sz w:val="20"/>
                <w:szCs w:val="21"/>
              </w:rPr>
            </w:pPr>
            <w:r>
              <w:rPr>
                <w:rFonts w:ascii="Times New Roman" w:hAnsi="Times New Roman" w:eastAsia="宋体" w:cs="Times New Roman"/>
                <w:bCs/>
                <w:color w:val="auto"/>
                <w:kern w:val="0"/>
                <w:sz w:val="20"/>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 w:type="dxa"/>
            <w:vAlign w:val="center"/>
          </w:tcPr>
          <w:p>
            <w:pPr>
              <w:jc w:val="center"/>
              <w:rPr>
                <w:rFonts w:hint="eastAsia" w:ascii="宋体" w:hAnsi="宋体" w:eastAsia="宋体" w:cs="Times New Roman"/>
                <w:bCs/>
                <w:color w:val="auto"/>
                <w:kern w:val="0"/>
                <w:sz w:val="20"/>
                <w:szCs w:val="21"/>
              </w:rPr>
            </w:pPr>
            <w:r>
              <w:rPr>
                <w:rFonts w:ascii="宋体" w:hAnsi="宋体" w:eastAsia="宋体" w:cs="Times New Roman"/>
                <w:bCs/>
                <w:color w:val="auto"/>
                <w:kern w:val="0"/>
                <w:sz w:val="20"/>
                <w:szCs w:val="21"/>
              </w:rPr>
              <w:t>34</w:t>
            </w:r>
          </w:p>
        </w:tc>
        <w:tc>
          <w:tcPr>
            <w:tcW w:w="563" w:type="dxa"/>
            <w:vMerge w:val="continue"/>
            <w:vAlign w:val="center"/>
          </w:tcPr>
          <w:p>
            <w:pPr>
              <w:jc w:val="center"/>
              <w:rPr>
                <w:rFonts w:hint="eastAsia" w:ascii="宋体" w:hAnsi="宋体" w:eastAsia="宋体" w:cs="Times New Roman"/>
                <w:bCs/>
                <w:color w:val="auto"/>
                <w:kern w:val="0"/>
                <w:sz w:val="20"/>
                <w:szCs w:val="21"/>
              </w:rPr>
            </w:pPr>
          </w:p>
        </w:tc>
        <w:tc>
          <w:tcPr>
            <w:tcW w:w="2091" w:type="dxa"/>
            <w:vAlign w:val="center"/>
          </w:tcPr>
          <w:p>
            <w:pPr>
              <w:widowControl/>
              <w:spacing w:line="280" w:lineRule="exact"/>
              <w:textAlignment w:val="center"/>
              <w:rPr>
                <w:rFonts w:hint="eastAsia" w:ascii="宋体" w:hAnsi="宋体" w:eastAsia="宋体" w:cs="Times New Roman"/>
                <w:bCs/>
                <w:color w:val="auto"/>
                <w:kern w:val="0"/>
                <w:sz w:val="20"/>
                <w:szCs w:val="21"/>
              </w:rPr>
            </w:pPr>
            <w:r>
              <w:rPr>
                <w:rFonts w:ascii="Times New Roman" w:hAnsi="Times New Roman" w:eastAsia="宋体" w:cs="Times New Roman"/>
                <w:bCs/>
                <w:color w:val="auto"/>
                <w:kern w:val="0"/>
                <w:sz w:val="20"/>
                <w:szCs w:val="21"/>
              </w:rPr>
              <w:t>应建立危险化学品出入库核查、登记制度。入库登记的危险化学品品名、规格、数量应与库内实际储存的实物一致。</w:t>
            </w:r>
          </w:p>
        </w:tc>
        <w:tc>
          <w:tcPr>
            <w:tcW w:w="2387"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《危险化学品安全管理条例》第二十五条</w:t>
            </w:r>
          </w:p>
          <w:p>
            <w:pPr>
              <w:widowControl/>
              <w:spacing w:line="280" w:lineRule="exact"/>
              <w:textAlignment w:val="center"/>
              <w:rPr>
                <w:rFonts w:hint="eastAsia" w:ascii="宋体" w:hAnsi="宋体" w:eastAsia="宋体" w:cs="Times New Roman"/>
                <w:bCs/>
                <w:color w:val="auto"/>
                <w:kern w:val="0"/>
                <w:sz w:val="20"/>
                <w:szCs w:val="21"/>
              </w:rPr>
            </w:pPr>
            <w:r>
              <w:rPr>
                <w:rFonts w:ascii="Times New Roman" w:hAnsi="Times New Roman" w:eastAsia="宋体" w:cs="Times New Roman"/>
                <w:bCs/>
                <w:color w:val="auto"/>
                <w:kern w:val="0"/>
                <w:sz w:val="20"/>
                <w:szCs w:val="21"/>
              </w:rPr>
              <w:t>《危险化学品仓库储存通则》GB15603-2022第7.3条</w:t>
            </w:r>
          </w:p>
        </w:tc>
        <w:tc>
          <w:tcPr>
            <w:tcW w:w="1682" w:type="dxa"/>
            <w:vAlign w:val="center"/>
          </w:tcPr>
          <w:p>
            <w:pPr>
              <w:jc w:val="center"/>
              <w:rPr>
                <w:rFonts w:hint="eastAsia" w:ascii="宋体" w:hAnsi="宋体" w:eastAsia="宋体" w:cs="Times New Roman"/>
                <w:bCs/>
                <w:color w:val="auto"/>
                <w:kern w:val="0"/>
                <w:sz w:val="20"/>
                <w:szCs w:val="21"/>
              </w:rPr>
            </w:pPr>
            <w:r>
              <w:rPr>
                <w:rFonts w:ascii="Times New Roman" w:hAnsi="Times New Roman" w:eastAsia="宋体" w:cs="Times New Roman"/>
                <w:bCs/>
                <w:color w:val="auto"/>
                <w:kern w:val="0"/>
                <w:sz w:val="20"/>
                <w:szCs w:val="21"/>
              </w:rPr>
              <w:t>查制度、记录</w:t>
            </w:r>
          </w:p>
        </w:tc>
        <w:tc>
          <w:tcPr>
            <w:tcW w:w="1939" w:type="dxa"/>
          </w:tcPr>
          <w:p>
            <w:pPr>
              <w:jc w:val="center"/>
              <w:rPr>
                <w:rFonts w:hint="eastAsia" w:ascii="宋体" w:hAnsi="宋体" w:eastAsia="宋体" w:cs="Times New Roman"/>
                <w:bCs/>
                <w:color w:val="auto"/>
                <w:kern w:val="0"/>
                <w:sz w:val="20"/>
                <w:szCs w:val="21"/>
              </w:rPr>
            </w:pPr>
          </w:p>
        </w:tc>
        <w:tc>
          <w:tcPr>
            <w:tcW w:w="1808" w:type="dxa"/>
          </w:tcPr>
          <w:p>
            <w:pPr>
              <w:jc w:val="center"/>
              <w:rPr>
                <w:rFonts w:hint="eastAsia" w:ascii="宋体" w:hAnsi="宋体" w:eastAsia="宋体" w:cs="Times New Roman"/>
                <w:bCs/>
                <w:color w:val="auto"/>
                <w:kern w:val="0"/>
                <w:sz w:val="20"/>
                <w:szCs w:val="21"/>
              </w:rPr>
            </w:pPr>
          </w:p>
        </w:tc>
        <w:tc>
          <w:tcPr>
            <w:tcW w:w="2077" w:type="dxa"/>
          </w:tcPr>
          <w:p>
            <w:pPr>
              <w:jc w:val="center"/>
              <w:rPr>
                <w:rFonts w:hint="eastAsia" w:ascii="宋体" w:hAnsi="宋体" w:eastAsia="宋体" w:cs="Times New Roman"/>
                <w:bCs/>
                <w:color w:val="auto"/>
                <w:kern w:val="0"/>
                <w:sz w:val="20"/>
                <w:szCs w:val="21"/>
              </w:rPr>
            </w:pPr>
          </w:p>
        </w:tc>
        <w:tc>
          <w:tcPr>
            <w:tcW w:w="701" w:type="dxa"/>
          </w:tcPr>
          <w:p>
            <w:pPr>
              <w:jc w:val="center"/>
              <w:rPr>
                <w:rFonts w:hint="eastAsia" w:ascii="宋体" w:hAnsi="宋体" w:eastAsia="宋体" w:cs="Times New Roman"/>
                <w:bCs/>
                <w:color w:val="auto"/>
                <w:kern w:val="0"/>
                <w:sz w:val="20"/>
                <w:szCs w:val="21"/>
              </w:rPr>
            </w:pPr>
          </w:p>
        </w:tc>
        <w:tc>
          <w:tcPr>
            <w:tcW w:w="782" w:type="dxa"/>
            <w:vAlign w:val="center"/>
          </w:tcPr>
          <w:p>
            <w:pPr>
              <w:widowControl/>
              <w:spacing w:line="280" w:lineRule="exact"/>
              <w:jc w:val="center"/>
              <w:textAlignment w:val="center"/>
              <w:rPr>
                <w:rFonts w:hint="eastAsia" w:ascii="宋体" w:hAnsi="宋体" w:eastAsia="宋体" w:cs="Times New Roman"/>
                <w:bCs/>
                <w:color w:val="auto"/>
                <w:kern w:val="0"/>
                <w:sz w:val="20"/>
                <w:szCs w:val="21"/>
              </w:rPr>
            </w:pPr>
            <w:r>
              <w:rPr>
                <w:rFonts w:ascii="Times New Roman" w:hAnsi="Times New Roman" w:eastAsia="宋体" w:cs="Times New Roman"/>
                <w:bCs/>
                <w:color w:val="auto"/>
                <w:kern w:val="0"/>
                <w:sz w:val="20"/>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0" w:type="dxa"/>
            <w:vAlign w:val="center"/>
          </w:tcPr>
          <w:p>
            <w:pPr>
              <w:jc w:val="center"/>
              <w:rPr>
                <w:rFonts w:hint="eastAsia" w:ascii="宋体" w:hAnsi="宋体" w:eastAsia="宋体" w:cs="Times New Roman"/>
                <w:bCs/>
                <w:color w:val="auto"/>
                <w:kern w:val="0"/>
                <w:sz w:val="20"/>
                <w:szCs w:val="21"/>
              </w:rPr>
            </w:pPr>
            <w:r>
              <w:rPr>
                <w:rFonts w:ascii="宋体" w:hAnsi="宋体" w:eastAsia="宋体" w:cs="Times New Roman"/>
                <w:bCs/>
                <w:color w:val="auto"/>
                <w:kern w:val="0"/>
                <w:sz w:val="20"/>
                <w:szCs w:val="21"/>
              </w:rPr>
              <w:t>35</w:t>
            </w:r>
          </w:p>
        </w:tc>
        <w:tc>
          <w:tcPr>
            <w:tcW w:w="563" w:type="dxa"/>
            <w:vMerge w:val="continue"/>
            <w:vAlign w:val="center"/>
          </w:tcPr>
          <w:p>
            <w:pPr>
              <w:jc w:val="center"/>
              <w:rPr>
                <w:rFonts w:hint="eastAsia" w:ascii="宋体" w:hAnsi="宋体" w:eastAsia="宋体" w:cs="Times New Roman"/>
                <w:bCs/>
                <w:color w:val="auto"/>
                <w:kern w:val="0"/>
                <w:sz w:val="20"/>
                <w:szCs w:val="21"/>
              </w:rPr>
            </w:pPr>
          </w:p>
        </w:tc>
        <w:tc>
          <w:tcPr>
            <w:tcW w:w="2091" w:type="dxa"/>
            <w:vAlign w:val="center"/>
          </w:tcPr>
          <w:p>
            <w:pPr>
              <w:widowControl/>
              <w:spacing w:line="280" w:lineRule="exact"/>
              <w:textAlignment w:val="center"/>
              <w:rPr>
                <w:rFonts w:hint="eastAsia" w:ascii="宋体" w:hAnsi="宋体" w:eastAsia="宋体" w:cs="Times New Roman"/>
                <w:bCs/>
                <w:color w:val="auto"/>
                <w:kern w:val="0"/>
                <w:sz w:val="20"/>
                <w:szCs w:val="21"/>
              </w:rPr>
            </w:pPr>
            <w:r>
              <w:rPr>
                <w:rFonts w:ascii="Times New Roman" w:hAnsi="Times New Roman" w:eastAsia="宋体" w:cs="Times New Roman"/>
                <w:bCs/>
                <w:color w:val="auto"/>
                <w:kern w:val="0"/>
                <w:sz w:val="20"/>
                <w:szCs w:val="21"/>
              </w:rPr>
              <w:t>入库物品的包装应完好，标志、安全标签应规范、清晰。应附有中文化学品安全技术说明书和安全标签。</w:t>
            </w:r>
          </w:p>
        </w:tc>
        <w:tc>
          <w:tcPr>
            <w:tcW w:w="2387" w:type="dxa"/>
            <w:vAlign w:val="center"/>
          </w:tcPr>
          <w:p>
            <w:pPr>
              <w:widowControl/>
              <w:spacing w:line="280" w:lineRule="exact"/>
              <w:textAlignment w:val="center"/>
              <w:rPr>
                <w:rFonts w:hint="eastAsia" w:ascii="宋体" w:hAnsi="宋体" w:eastAsia="宋体" w:cs="Times New Roman"/>
                <w:bCs/>
                <w:color w:val="auto"/>
                <w:kern w:val="0"/>
                <w:sz w:val="20"/>
                <w:szCs w:val="21"/>
              </w:rPr>
            </w:pPr>
            <w:r>
              <w:rPr>
                <w:rFonts w:ascii="Times New Roman" w:hAnsi="Times New Roman" w:eastAsia="宋体" w:cs="Times New Roman"/>
                <w:bCs/>
                <w:color w:val="auto"/>
                <w:kern w:val="0"/>
                <w:sz w:val="20"/>
                <w:szCs w:val="21"/>
              </w:rPr>
              <w:t>《危险化学品仓库储存通则》GB15603-2022第7.4条、第7.5条</w:t>
            </w:r>
          </w:p>
        </w:tc>
        <w:tc>
          <w:tcPr>
            <w:tcW w:w="1682" w:type="dxa"/>
            <w:vAlign w:val="center"/>
          </w:tcPr>
          <w:p>
            <w:pPr>
              <w:jc w:val="center"/>
              <w:rPr>
                <w:rFonts w:hint="eastAsia" w:ascii="宋体" w:hAnsi="宋体" w:eastAsia="宋体" w:cs="Times New Roman"/>
                <w:bCs/>
                <w:color w:val="auto"/>
                <w:kern w:val="0"/>
                <w:sz w:val="20"/>
                <w:szCs w:val="21"/>
              </w:rPr>
            </w:pPr>
            <w:r>
              <w:rPr>
                <w:rFonts w:ascii="Times New Roman" w:hAnsi="Times New Roman" w:eastAsia="宋体" w:cs="Times New Roman"/>
                <w:bCs/>
                <w:color w:val="auto"/>
                <w:kern w:val="0"/>
                <w:sz w:val="20"/>
                <w:szCs w:val="21"/>
              </w:rPr>
              <w:t>查现场</w:t>
            </w:r>
          </w:p>
        </w:tc>
        <w:tc>
          <w:tcPr>
            <w:tcW w:w="1939" w:type="dxa"/>
          </w:tcPr>
          <w:p>
            <w:pPr>
              <w:jc w:val="center"/>
              <w:rPr>
                <w:rFonts w:hint="eastAsia" w:ascii="宋体" w:hAnsi="宋体" w:eastAsia="宋体" w:cs="Times New Roman"/>
                <w:bCs/>
                <w:color w:val="auto"/>
                <w:kern w:val="0"/>
                <w:sz w:val="20"/>
                <w:szCs w:val="21"/>
              </w:rPr>
            </w:pPr>
          </w:p>
        </w:tc>
        <w:tc>
          <w:tcPr>
            <w:tcW w:w="1808" w:type="dxa"/>
          </w:tcPr>
          <w:p>
            <w:pPr>
              <w:jc w:val="center"/>
              <w:rPr>
                <w:rFonts w:hint="eastAsia" w:ascii="宋体" w:hAnsi="宋体" w:eastAsia="宋体" w:cs="Times New Roman"/>
                <w:bCs/>
                <w:color w:val="auto"/>
                <w:kern w:val="0"/>
                <w:sz w:val="20"/>
                <w:szCs w:val="21"/>
              </w:rPr>
            </w:pPr>
          </w:p>
        </w:tc>
        <w:tc>
          <w:tcPr>
            <w:tcW w:w="2077" w:type="dxa"/>
          </w:tcPr>
          <w:p>
            <w:pPr>
              <w:jc w:val="center"/>
              <w:rPr>
                <w:rFonts w:hint="eastAsia" w:ascii="宋体" w:hAnsi="宋体" w:eastAsia="宋体" w:cs="Times New Roman"/>
                <w:bCs/>
                <w:color w:val="auto"/>
                <w:kern w:val="0"/>
                <w:sz w:val="20"/>
                <w:szCs w:val="21"/>
              </w:rPr>
            </w:pPr>
          </w:p>
        </w:tc>
        <w:tc>
          <w:tcPr>
            <w:tcW w:w="701" w:type="dxa"/>
          </w:tcPr>
          <w:p>
            <w:pPr>
              <w:jc w:val="center"/>
              <w:rPr>
                <w:rFonts w:hint="eastAsia" w:ascii="宋体" w:hAnsi="宋体" w:eastAsia="宋体" w:cs="Times New Roman"/>
                <w:bCs/>
                <w:color w:val="auto"/>
                <w:kern w:val="0"/>
                <w:sz w:val="20"/>
                <w:szCs w:val="21"/>
              </w:rPr>
            </w:pPr>
          </w:p>
        </w:tc>
        <w:tc>
          <w:tcPr>
            <w:tcW w:w="782" w:type="dxa"/>
            <w:vAlign w:val="center"/>
          </w:tcPr>
          <w:p>
            <w:pPr>
              <w:widowControl/>
              <w:spacing w:line="280" w:lineRule="exact"/>
              <w:jc w:val="center"/>
              <w:textAlignment w:val="center"/>
              <w:rPr>
                <w:rFonts w:hint="eastAsia" w:ascii="宋体" w:hAnsi="宋体" w:eastAsia="宋体" w:cs="Times New Roman"/>
                <w:bCs/>
                <w:color w:val="auto"/>
                <w:kern w:val="0"/>
                <w:sz w:val="20"/>
                <w:szCs w:val="21"/>
              </w:rPr>
            </w:pPr>
            <w:r>
              <w:rPr>
                <w:rFonts w:ascii="Times New Roman" w:hAnsi="Times New Roman" w:eastAsia="宋体" w:cs="Times New Roman"/>
                <w:bCs/>
                <w:color w:val="auto"/>
                <w:kern w:val="0"/>
                <w:sz w:val="20"/>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36</w:t>
            </w:r>
          </w:p>
        </w:tc>
        <w:tc>
          <w:tcPr>
            <w:tcW w:w="563" w:type="dxa"/>
            <w:vMerge w:val="continue"/>
            <w:vAlign w:val="center"/>
          </w:tcPr>
          <w:p>
            <w:pPr>
              <w:jc w:val="center"/>
              <w:rPr>
                <w:rFonts w:ascii="Times New Roman" w:hAnsi="Times New Roman" w:eastAsia="宋体" w:cs="Times New Roman"/>
                <w:bCs/>
                <w:color w:val="auto"/>
                <w:kern w:val="0"/>
                <w:sz w:val="20"/>
                <w:szCs w:val="21"/>
              </w:rPr>
            </w:pPr>
          </w:p>
        </w:tc>
        <w:tc>
          <w:tcPr>
            <w:tcW w:w="2091"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储存危险化学品的仓库和作业场所应设置明显的安全标志，并符合GB 2894、AQ 3047的规定。</w:t>
            </w:r>
          </w:p>
        </w:tc>
        <w:tc>
          <w:tcPr>
            <w:tcW w:w="2387"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《危险化学品重大危险源监督管理暂行规定》第十八条</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《危险化学品企业重大危险源安全包保责任制办法（试行）》（应急厅〔2021〕12号）第七条</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《危险化学品仓库储存通则》GB15603-2022第11.2.1条</w:t>
            </w:r>
          </w:p>
        </w:tc>
        <w:tc>
          <w:tcPr>
            <w:tcW w:w="1682"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查现场</w:t>
            </w:r>
          </w:p>
        </w:tc>
        <w:tc>
          <w:tcPr>
            <w:tcW w:w="1939" w:type="dxa"/>
          </w:tcPr>
          <w:p>
            <w:pPr>
              <w:jc w:val="center"/>
              <w:rPr>
                <w:rFonts w:ascii="Times New Roman" w:hAnsi="Times New Roman" w:eastAsia="宋体" w:cs="Times New Roman"/>
                <w:bCs/>
                <w:color w:val="auto"/>
                <w:kern w:val="0"/>
                <w:sz w:val="20"/>
                <w:szCs w:val="21"/>
              </w:rPr>
            </w:pPr>
          </w:p>
        </w:tc>
        <w:tc>
          <w:tcPr>
            <w:tcW w:w="1808" w:type="dxa"/>
          </w:tcPr>
          <w:p>
            <w:pPr>
              <w:jc w:val="center"/>
              <w:rPr>
                <w:rFonts w:ascii="Times New Roman" w:hAnsi="Times New Roman" w:eastAsia="宋体" w:cs="Times New Roman"/>
                <w:bCs/>
                <w:color w:val="auto"/>
                <w:kern w:val="0"/>
                <w:sz w:val="20"/>
                <w:szCs w:val="21"/>
              </w:rPr>
            </w:pPr>
          </w:p>
        </w:tc>
        <w:tc>
          <w:tcPr>
            <w:tcW w:w="2077" w:type="dxa"/>
          </w:tcPr>
          <w:p>
            <w:pPr>
              <w:jc w:val="center"/>
              <w:rPr>
                <w:rFonts w:ascii="Times New Roman" w:hAnsi="Times New Roman" w:eastAsia="宋体" w:cs="Times New Roman"/>
                <w:bCs/>
                <w:color w:val="auto"/>
                <w:kern w:val="0"/>
                <w:sz w:val="20"/>
                <w:szCs w:val="21"/>
              </w:rPr>
            </w:pPr>
          </w:p>
        </w:tc>
        <w:tc>
          <w:tcPr>
            <w:tcW w:w="701" w:type="dxa"/>
          </w:tcPr>
          <w:p>
            <w:pPr>
              <w:jc w:val="center"/>
              <w:rPr>
                <w:rFonts w:ascii="Times New Roman" w:hAnsi="Times New Roman" w:eastAsia="宋体" w:cs="Times New Roman"/>
                <w:bCs/>
                <w:color w:val="auto"/>
                <w:kern w:val="0"/>
                <w:sz w:val="20"/>
                <w:szCs w:val="21"/>
              </w:rPr>
            </w:pPr>
          </w:p>
        </w:tc>
        <w:tc>
          <w:tcPr>
            <w:tcW w:w="782" w:type="dxa"/>
            <w:vAlign w:val="center"/>
          </w:tcPr>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37</w:t>
            </w:r>
          </w:p>
        </w:tc>
        <w:tc>
          <w:tcPr>
            <w:tcW w:w="563" w:type="dxa"/>
            <w:vMerge w:val="continue"/>
            <w:vAlign w:val="center"/>
          </w:tcPr>
          <w:p>
            <w:pPr>
              <w:jc w:val="center"/>
              <w:rPr>
                <w:rFonts w:ascii="Times New Roman" w:hAnsi="Times New Roman" w:eastAsia="宋体" w:cs="Times New Roman"/>
                <w:bCs/>
                <w:color w:val="auto"/>
                <w:kern w:val="0"/>
                <w:sz w:val="20"/>
                <w:szCs w:val="21"/>
              </w:rPr>
            </w:pPr>
          </w:p>
        </w:tc>
        <w:tc>
          <w:tcPr>
            <w:tcW w:w="2091"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生产现场违规存放爆炸危险性化学品。</w:t>
            </w:r>
          </w:p>
        </w:tc>
        <w:tc>
          <w:tcPr>
            <w:tcW w:w="2387"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《化工和危险化学品生产经营企业重大生产安全事故隐患判定准则》（AQ 3067-2026）第5.5.9条</w:t>
            </w:r>
          </w:p>
        </w:tc>
        <w:tc>
          <w:tcPr>
            <w:tcW w:w="1682"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查现场</w:t>
            </w:r>
          </w:p>
        </w:tc>
        <w:tc>
          <w:tcPr>
            <w:tcW w:w="1939" w:type="dxa"/>
          </w:tcPr>
          <w:p>
            <w:pPr>
              <w:jc w:val="center"/>
              <w:rPr>
                <w:rFonts w:ascii="Times New Roman" w:hAnsi="Times New Roman" w:eastAsia="宋体" w:cs="Times New Roman"/>
                <w:bCs/>
                <w:color w:val="auto"/>
                <w:kern w:val="0"/>
                <w:sz w:val="20"/>
                <w:szCs w:val="21"/>
              </w:rPr>
            </w:pPr>
          </w:p>
        </w:tc>
        <w:tc>
          <w:tcPr>
            <w:tcW w:w="1808" w:type="dxa"/>
          </w:tcPr>
          <w:p>
            <w:pPr>
              <w:jc w:val="center"/>
              <w:rPr>
                <w:rFonts w:ascii="Times New Roman" w:hAnsi="Times New Roman" w:eastAsia="宋体" w:cs="Times New Roman"/>
                <w:bCs/>
                <w:color w:val="auto"/>
                <w:kern w:val="0"/>
                <w:sz w:val="20"/>
                <w:szCs w:val="21"/>
              </w:rPr>
            </w:pPr>
          </w:p>
        </w:tc>
        <w:tc>
          <w:tcPr>
            <w:tcW w:w="2077" w:type="dxa"/>
          </w:tcPr>
          <w:p>
            <w:pPr>
              <w:jc w:val="center"/>
              <w:rPr>
                <w:rFonts w:ascii="Times New Roman" w:hAnsi="Times New Roman" w:eastAsia="宋体" w:cs="Times New Roman"/>
                <w:bCs/>
                <w:color w:val="auto"/>
                <w:kern w:val="0"/>
                <w:sz w:val="20"/>
                <w:szCs w:val="21"/>
              </w:rPr>
            </w:pPr>
          </w:p>
        </w:tc>
        <w:tc>
          <w:tcPr>
            <w:tcW w:w="701" w:type="dxa"/>
          </w:tcPr>
          <w:p>
            <w:pPr>
              <w:jc w:val="center"/>
              <w:rPr>
                <w:rFonts w:ascii="Times New Roman" w:hAnsi="Times New Roman" w:eastAsia="宋体" w:cs="Times New Roman"/>
                <w:bCs/>
                <w:color w:val="auto"/>
                <w:kern w:val="0"/>
                <w:sz w:val="20"/>
                <w:szCs w:val="21"/>
              </w:rPr>
            </w:pPr>
          </w:p>
        </w:tc>
        <w:tc>
          <w:tcPr>
            <w:tcW w:w="782" w:type="dxa"/>
            <w:vAlign w:val="center"/>
          </w:tcPr>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38</w:t>
            </w:r>
          </w:p>
        </w:tc>
        <w:tc>
          <w:tcPr>
            <w:tcW w:w="563" w:type="dxa"/>
            <w:vMerge w:val="restart"/>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开停车安全</w:t>
            </w:r>
          </w:p>
        </w:tc>
        <w:tc>
          <w:tcPr>
            <w:tcW w:w="2091"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企业应组织专业技术人员在危害辨识和风险评估基础上制定开停车方案，经审批后实施。</w:t>
            </w:r>
          </w:p>
        </w:tc>
        <w:tc>
          <w:tcPr>
            <w:tcW w:w="2387"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《危险化学品企业安全风险隐患排查治理导则》（应急〔2019〕78号）</w:t>
            </w:r>
          </w:p>
        </w:tc>
        <w:tc>
          <w:tcPr>
            <w:tcW w:w="1682"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查企业开停车方案</w:t>
            </w:r>
          </w:p>
        </w:tc>
        <w:tc>
          <w:tcPr>
            <w:tcW w:w="1939" w:type="dxa"/>
          </w:tcPr>
          <w:p>
            <w:pPr>
              <w:jc w:val="center"/>
              <w:rPr>
                <w:rFonts w:ascii="Times New Roman" w:hAnsi="Times New Roman" w:eastAsia="宋体" w:cs="Times New Roman"/>
                <w:bCs/>
                <w:color w:val="auto"/>
                <w:kern w:val="0"/>
                <w:sz w:val="20"/>
                <w:szCs w:val="21"/>
              </w:rPr>
            </w:pPr>
          </w:p>
        </w:tc>
        <w:tc>
          <w:tcPr>
            <w:tcW w:w="1808" w:type="dxa"/>
          </w:tcPr>
          <w:p>
            <w:pPr>
              <w:jc w:val="center"/>
              <w:rPr>
                <w:rFonts w:ascii="Times New Roman" w:hAnsi="Times New Roman" w:eastAsia="宋体" w:cs="Times New Roman"/>
                <w:bCs/>
                <w:color w:val="auto"/>
                <w:kern w:val="0"/>
                <w:sz w:val="20"/>
                <w:szCs w:val="21"/>
              </w:rPr>
            </w:pPr>
          </w:p>
        </w:tc>
        <w:tc>
          <w:tcPr>
            <w:tcW w:w="2077" w:type="dxa"/>
          </w:tcPr>
          <w:p>
            <w:pPr>
              <w:jc w:val="center"/>
              <w:rPr>
                <w:rFonts w:ascii="Times New Roman" w:hAnsi="Times New Roman" w:eastAsia="宋体" w:cs="Times New Roman"/>
                <w:bCs/>
                <w:color w:val="auto"/>
                <w:kern w:val="0"/>
                <w:sz w:val="20"/>
                <w:szCs w:val="21"/>
              </w:rPr>
            </w:pPr>
          </w:p>
        </w:tc>
        <w:tc>
          <w:tcPr>
            <w:tcW w:w="701" w:type="dxa"/>
          </w:tcPr>
          <w:p>
            <w:pPr>
              <w:jc w:val="center"/>
              <w:rPr>
                <w:rFonts w:ascii="Times New Roman" w:hAnsi="Times New Roman" w:eastAsia="宋体" w:cs="Times New Roman"/>
                <w:bCs/>
                <w:color w:val="auto"/>
                <w:kern w:val="0"/>
                <w:sz w:val="20"/>
                <w:szCs w:val="21"/>
              </w:rPr>
            </w:pPr>
          </w:p>
        </w:tc>
        <w:tc>
          <w:tcPr>
            <w:tcW w:w="782" w:type="dxa"/>
            <w:vAlign w:val="center"/>
          </w:tcPr>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0"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39</w:t>
            </w:r>
          </w:p>
        </w:tc>
        <w:tc>
          <w:tcPr>
            <w:tcW w:w="563" w:type="dxa"/>
            <w:vMerge w:val="continue"/>
            <w:vAlign w:val="center"/>
          </w:tcPr>
          <w:p>
            <w:pPr>
              <w:jc w:val="center"/>
              <w:rPr>
                <w:rFonts w:ascii="Times New Roman" w:hAnsi="Times New Roman" w:eastAsia="宋体" w:cs="Times New Roman"/>
                <w:bCs/>
                <w:color w:val="auto"/>
                <w:kern w:val="0"/>
                <w:sz w:val="20"/>
                <w:szCs w:val="21"/>
              </w:rPr>
            </w:pPr>
          </w:p>
        </w:tc>
        <w:tc>
          <w:tcPr>
            <w:tcW w:w="2091"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企业应根据不同类型的开停车方案编制相应</w:t>
            </w:r>
            <w:bookmarkStart w:id="77" w:name="OLE_LINK48"/>
            <w:r>
              <w:rPr>
                <w:rFonts w:ascii="Times New Roman" w:hAnsi="Times New Roman" w:eastAsia="宋体" w:cs="Times New Roman"/>
                <w:bCs/>
                <w:color w:val="auto"/>
                <w:kern w:val="0"/>
                <w:sz w:val="20"/>
                <w:szCs w:val="21"/>
              </w:rPr>
              <w:t>开停车安全条件确认表</w:t>
            </w:r>
            <w:bookmarkEnd w:id="77"/>
            <w:r>
              <w:rPr>
                <w:rFonts w:ascii="Times New Roman" w:hAnsi="Times New Roman" w:eastAsia="宋体" w:cs="Times New Roman"/>
                <w:bCs/>
                <w:color w:val="auto"/>
                <w:kern w:val="0"/>
                <w:sz w:val="20"/>
                <w:szCs w:val="21"/>
              </w:rPr>
              <w:t>，并组织专业技术人员逐项确认签字，确保安全措施有效落实。</w:t>
            </w:r>
          </w:p>
        </w:tc>
        <w:tc>
          <w:tcPr>
            <w:tcW w:w="2387"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《危险化学品企业安全风险隐患排查治理导则》（应急〔2019〕78号）</w:t>
            </w:r>
          </w:p>
        </w:tc>
        <w:tc>
          <w:tcPr>
            <w:tcW w:w="1682"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查开停车方案和开停车安全条件确认表</w:t>
            </w:r>
          </w:p>
        </w:tc>
        <w:tc>
          <w:tcPr>
            <w:tcW w:w="1939" w:type="dxa"/>
          </w:tcPr>
          <w:p>
            <w:pPr>
              <w:jc w:val="center"/>
              <w:rPr>
                <w:rFonts w:ascii="Times New Roman" w:hAnsi="Times New Roman" w:eastAsia="宋体" w:cs="Times New Roman"/>
                <w:bCs/>
                <w:color w:val="auto"/>
                <w:kern w:val="0"/>
                <w:sz w:val="20"/>
                <w:szCs w:val="21"/>
              </w:rPr>
            </w:pPr>
          </w:p>
        </w:tc>
        <w:tc>
          <w:tcPr>
            <w:tcW w:w="1808" w:type="dxa"/>
          </w:tcPr>
          <w:p>
            <w:pPr>
              <w:jc w:val="center"/>
              <w:rPr>
                <w:rFonts w:ascii="Times New Roman" w:hAnsi="Times New Roman" w:eastAsia="宋体" w:cs="Times New Roman"/>
                <w:bCs/>
                <w:color w:val="auto"/>
                <w:kern w:val="0"/>
                <w:sz w:val="20"/>
                <w:szCs w:val="21"/>
              </w:rPr>
            </w:pPr>
          </w:p>
        </w:tc>
        <w:tc>
          <w:tcPr>
            <w:tcW w:w="2077" w:type="dxa"/>
          </w:tcPr>
          <w:p>
            <w:pPr>
              <w:jc w:val="center"/>
              <w:rPr>
                <w:rFonts w:ascii="Times New Roman" w:hAnsi="Times New Roman" w:eastAsia="宋体" w:cs="Times New Roman"/>
                <w:bCs/>
                <w:color w:val="auto"/>
                <w:kern w:val="0"/>
                <w:sz w:val="20"/>
                <w:szCs w:val="21"/>
              </w:rPr>
            </w:pPr>
          </w:p>
        </w:tc>
        <w:tc>
          <w:tcPr>
            <w:tcW w:w="701" w:type="dxa"/>
          </w:tcPr>
          <w:p>
            <w:pPr>
              <w:jc w:val="center"/>
              <w:rPr>
                <w:rFonts w:ascii="Times New Roman" w:hAnsi="Times New Roman" w:eastAsia="宋体" w:cs="Times New Roman"/>
                <w:bCs/>
                <w:color w:val="auto"/>
                <w:kern w:val="0"/>
                <w:sz w:val="20"/>
                <w:szCs w:val="21"/>
              </w:rPr>
            </w:pPr>
          </w:p>
        </w:tc>
        <w:tc>
          <w:tcPr>
            <w:tcW w:w="782" w:type="dxa"/>
            <w:vAlign w:val="center"/>
          </w:tcPr>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0"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40</w:t>
            </w:r>
          </w:p>
        </w:tc>
        <w:tc>
          <w:tcPr>
            <w:tcW w:w="563" w:type="dxa"/>
            <w:vMerge w:val="continue"/>
            <w:vAlign w:val="center"/>
          </w:tcPr>
          <w:p>
            <w:pPr>
              <w:jc w:val="center"/>
              <w:rPr>
                <w:rFonts w:ascii="Times New Roman" w:hAnsi="Times New Roman" w:eastAsia="宋体" w:cs="Times New Roman"/>
                <w:bCs/>
                <w:color w:val="auto"/>
                <w:kern w:val="0"/>
                <w:sz w:val="20"/>
                <w:szCs w:val="21"/>
              </w:rPr>
            </w:pPr>
          </w:p>
        </w:tc>
        <w:tc>
          <w:tcPr>
            <w:tcW w:w="2091"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设备、管线等停运检修前，应有序对设备、管线内的危险物料进行撤料操作，吹扫、置换干净后，与其他系统采用盲板等进行</w:t>
            </w:r>
            <w:bookmarkStart w:id="78" w:name="OLE_LINK65"/>
            <w:r>
              <w:rPr>
                <w:rFonts w:ascii="Times New Roman" w:hAnsi="Times New Roman" w:eastAsia="宋体" w:cs="Times New Roman"/>
                <w:bCs/>
                <w:color w:val="auto"/>
                <w:kern w:val="0"/>
                <w:sz w:val="20"/>
                <w:szCs w:val="21"/>
              </w:rPr>
              <w:t>能量隔离</w:t>
            </w:r>
            <w:bookmarkEnd w:id="78"/>
            <w:r>
              <w:rPr>
                <w:rFonts w:ascii="Times New Roman" w:hAnsi="Times New Roman" w:eastAsia="宋体" w:cs="Times New Roman"/>
                <w:bCs/>
                <w:color w:val="auto"/>
                <w:kern w:val="0"/>
                <w:sz w:val="20"/>
                <w:szCs w:val="21"/>
              </w:rPr>
              <w:t>。</w:t>
            </w:r>
          </w:p>
        </w:tc>
        <w:tc>
          <w:tcPr>
            <w:tcW w:w="2387"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《危险化学品企业安全风险隐患排查治理导则》（应急〔2019〕78号）</w:t>
            </w:r>
          </w:p>
        </w:tc>
        <w:tc>
          <w:tcPr>
            <w:tcW w:w="1682"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查设备检维修计划、检维修记录、作业票</w:t>
            </w:r>
          </w:p>
        </w:tc>
        <w:tc>
          <w:tcPr>
            <w:tcW w:w="1939" w:type="dxa"/>
          </w:tcPr>
          <w:p>
            <w:pPr>
              <w:jc w:val="center"/>
              <w:rPr>
                <w:rFonts w:ascii="Times New Roman" w:hAnsi="Times New Roman" w:eastAsia="宋体" w:cs="Times New Roman"/>
                <w:bCs/>
                <w:color w:val="auto"/>
                <w:kern w:val="0"/>
                <w:sz w:val="20"/>
                <w:szCs w:val="21"/>
              </w:rPr>
            </w:pPr>
          </w:p>
        </w:tc>
        <w:tc>
          <w:tcPr>
            <w:tcW w:w="1808" w:type="dxa"/>
          </w:tcPr>
          <w:p>
            <w:pPr>
              <w:jc w:val="center"/>
              <w:rPr>
                <w:rFonts w:ascii="Times New Roman" w:hAnsi="Times New Roman" w:eastAsia="宋体" w:cs="Times New Roman"/>
                <w:bCs/>
                <w:color w:val="auto"/>
                <w:kern w:val="0"/>
                <w:sz w:val="20"/>
                <w:szCs w:val="21"/>
              </w:rPr>
            </w:pPr>
          </w:p>
        </w:tc>
        <w:tc>
          <w:tcPr>
            <w:tcW w:w="2077" w:type="dxa"/>
          </w:tcPr>
          <w:p>
            <w:pPr>
              <w:jc w:val="center"/>
              <w:rPr>
                <w:rFonts w:ascii="Times New Roman" w:hAnsi="Times New Roman" w:eastAsia="宋体" w:cs="Times New Roman"/>
                <w:bCs/>
                <w:color w:val="auto"/>
                <w:kern w:val="0"/>
                <w:sz w:val="20"/>
                <w:szCs w:val="21"/>
              </w:rPr>
            </w:pPr>
          </w:p>
        </w:tc>
        <w:tc>
          <w:tcPr>
            <w:tcW w:w="701" w:type="dxa"/>
          </w:tcPr>
          <w:p>
            <w:pPr>
              <w:jc w:val="center"/>
              <w:rPr>
                <w:rFonts w:ascii="Times New Roman" w:hAnsi="Times New Roman" w:eastAsia="宋体" w:cs="Times New Roman"/>
                <w:bCs/>
                <w:color w:val="auto"/>
                <w:kern w:val="0"/>
                <w:sz w:val="20"/>
                <w:szCs w:val="21"/>
              </w:rPr>
            </w:pPr>
          </w:p>
        </w:tc>
        <w:tc>
          <w:tcPr>
            <w:tcW w:w="782" w:type="dxa"/>
            <w:vAlign w:val="center"/>
          </w:tcPr>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C级</w:t>
            </w:r>
          </w:p>
        </w:tc>
      </w:tr>
    </w:tbl>
    <w:p>
      <w:pPr>
        <w:jc w:val="left"/>
        <w:outlineLvl w:val="1"/>
        <w:rPr>
          <w:rFonts w:hint="eastAsia" w:ascii="宋体" w:hAnsi="宋体" w:eastAsia="宋体"/>
          <w:b/>
          <w:bCs/>
          <w:color w:val="auto"/>
          <w:sz w:val="30"/>
          <w:szCs w:val="30"/>
        </w:rPr>
      </w:pPr>
      <w:bookmarkStart w:id="79" w:name="_Toc237556459"/>
      <w:bookmarkStart w:id="80" w:name="OLE_LINK38"/>
      <w:bookmarkStart w:id="81" w:name="OLE_LINK37"/>
      <w:r>
        <w:rPr>
          <w:rFonts w:hint="eastAsia" w:ascii="宋体" w:hAnsi="宋体" w:eastAsia="宋体"/>
          <w:b/>
          <w:bCs/>
          <w:color w:val="auto"/>
          <w:sz w:val="30"/>
          <w:szCs w:val="30"/>
        </w:rPr>
        <w:t>附件4-3</w:t>
      </w:r>
      <w:r>
        <w:rPr>
          <w:rFonts w:ascii="宋体" w:hAnsi="宋体" w:eastAsia="宋体"/>
          <w:b/>
          <w:bCs/>
          <w:color w:val="auto"/>
          <w:sz w:val="30"/>
          <w:szCs w:val="30"/>
        </w:rPr>
        <w:t>：设备专业检查表</w:t>
      </w:r>
      <w:bookmarkEnd w:id="79"/>
    </w:p>
    <w:bookmarkEnd w:id="80"/>
    <w:bookmarkEnd w:id="81"/>
    <w:tbl>
      <w:tblPr>
        <w:tblStyle w:val="6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4"/>
        <w:gridCol w:w="567"/>
        <w:gridCol w:w="2126"/>
        <w:gridCol w:w="2410"/>
        <w:gridCol w:w="1701"/>
        <w:gridCol w:w="1984"/>
        <w:gridCol w:w="1843"/>
        <w:gridCol w:w="2126"/>
        <w:gridCol w:w="709"/>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
                <w:color w:val="auto"/>
                <w:kern w:val="0"/>
                <w:sz w:val="21"/>
                <w:szCs w:val="21"/>
              </w:rPr>
            </w:pPr>
            <w:r>
              <w:rPr>
                <w:rFonts w:ascii="Times New Roman" w:hAnsi="Times New Roman" w:eastAsia="宋体" w:cs="Times New Roman"/>
                <w:b/>
                <w:color w:val="auto"/>
                <w:kern w:val="0"/>
                <w:sz w:val="21"/>
                <w:szCs w:val="21"/>
              </w:rPr>
              <w:t>序号</w:t>
            </w:r>
          </w:p>
        </w:tc>
        <w:tc>
          <w:tcPr>
            <w:tcW w:w="567" w:type="dxa"/>
            <w:vAlign w:val="center"/>
          </w:tcPr>
          <w:p>
            <w:pPr>
              <w:jc w:val="center"/>
              <w:rPr>
                <w:rFonts w:ascii="Times New Roman" w:hAnsi="Times New Roman" w:eastAsia="宋体" w:cs="Times New Roman"/>
                <w:b/>
                <w:color w:val="auto"/>
                <w:kern w:val="0"/>
                <w:sz w:val="21"/>
                <w:szCs w:val="21"/>
              </w:rPr>
            </w:pPr>
            <w:r>
              <w:rPr>
                <w:rFonts w:ascii="Times New Roman" w:hAnsi="Times New Roman" w:eastAsia="宋体" w:cs="Times New Roman"/>
                <w:b/>
                <w:color w:val="auto"/>
                <w:kern w:val="0"/>
                <w:sz w:val="21"/>
                <w:szCs w:val="21"/>
              </w:rPr>
              <w:t>要素</w:t>
            </w:r>
          </w:p>
        </w:tc>
        <w:tc>
          <w:tcPr>
            <w:tcW w:w="2126" w:type="dxa"/>
            <w:vAlign w:val="center"/>
          </w:tcPr>
          <w:p>
            <w:pPr>
              <w:jc w:val="center"/>
              <w:rPr>
                <w:rFonts w:ascii="Times New Roman" w:hAnsi="Times New Roman" w:eastAsia="宋体" w:cs="Times New Roman"/>
                <w:b/>
                <w:color w:val="auto"/>
                <w:kern w:val="0"/>
                <w:sz w:val="21"/>
                <w:szCs w:val="21"/>
              </w:rPr>
            </w:pPr>
            <w:r>
              <w:rPr>
                <w:rFonts w:ascii="Times New Roman" w:hAnsi="Times New Roman" w:eastAsia="宋体" w:cs="Times New Roman"/>
                <w:b/>
                <w:color w:val="auto"/>
                <w:kern w:val="0"/>
                <w:sz w:val="21"/>
                <w:szCs w:val="21"/>
              </w:rPr>
              <w:t>检查内容</w:t>
            </w:r>
          </w:p>
        </w:tc>
        <w:tc>
          <w:tcPr>
            <w:tcW w:w="2410" w:type="dxa"/>
            <w:vAlign w:val="center"/>
          </w:tcPr>
          <w:p>
            <w:pPr>
              <w:jc w:val="center"/>
              <w:rPr>
                <w:rFonts w:ascii="Times New Roman" w:hAnsi="Times New Roman" w:eastAsia="宋体" w:cs="Times New Roman"/>
                <w:b/>
                <w:color w:val="auto"/>
                <w:kern w:val="0"/>
                <w:sz w:val="21"/>
                <w:szCs w:val="21"/>
              </w:rPr>
            </w:pPr>
            <w:r>
              <w:rPr>
                <w:rFonts w:ascii="Times New Roman" w:hAnsi="Times New Roman" w:eastAsia="宋体" w:cs="Times New Roman"/>
                <w:b/>
                <w:color w:val="auto"/>
                <w:kern w:val="0"/>
                <w:sz w:val="21"/>
                <w:szCs w:val="21"/>
              </w:rPr>
              <w:t>检查依据</w:t>
            </w:r>
          </w:p>
        </w:tc>
        <w:tc>
          <w:tcPr>
            <w:tcW w:w="1701" w:type="dxa"/>
            <w:vAlign w:val="center"/>
          </w:tcPr>
          <w:p>
            <w:pPr>
              <w:jc w:val="center"/>
              <w:rPr>
                <w:rFonts w:ascii="Times New Roman" w:hAnsi="Times New Roman" w:eastAsia="宋体" w:cs="Times New Roman"/>
                <w:b/>
                <w:color w:val="auto"/>
                <w:kern w:val="0"/>
                <w:sz w:val="21"/>
                <w:szCs w:val="21"/>
              </w:rPr>
            </w:pPr>
            <w:r>
              <w:rPr>
                <w:rFonts w:ascii="Times New Roman" w:hAnsi="Times New Roman" w:eastAsia="宋体" w:cs="Times New Roman"/>
                <w:b/>
                <w:color w:val="auto"/>
                <w:kern w:val="0"/>
                <w:sz w:val="21"/>
                <w:szCs w:val="21"/>
              </w:rPr>
              <w:t>检查方式</w:t>
            </w:r>
          </w:p>
        </w:tc>
        <w:tc>
          <w:tcPr>
            <w:tcW w:w="1984" w:type="dxa"/>
            <w:vAlign w:val="center"/>
          </w:tcPr>
          <w:p>
            <w:pPr>
              <w:jc w:val="center"/>
              <w:rPr>
                <w:rFonts w:ascii="Times New Roman" w:hAnsi="Times New Roman" w:eastAsia="宋体" w:cs="Times New Roman"/>
                <w:b/>
                <w:color w:val="auto"/>
                <w:kern w:val="0"/>
                <w:sz w:val="21"/>
                <w:szCs w:val="21"/>
              </w:rPr>
            </w:pPr>
            <w:r>
              <w:rPr>
                <w:rFonts w:ascii="Times New Roman" w:hAnsi="Times New Roman" w:eastAsia="宋体" w:cs="Times New Roman"/>
                <w:b/>
                <w:color w:val="auto"/>
                <w:kern w:val="0"/>
                <w:sz w:val="21"/>
                <w:szCs w:val="21"/>
              </w:rPr>
              <w:t>检查情况</w:t>
            </w:r>
          </w:p>
        </w:tc>
        <w:tc>
          <w:tcPr>
            <w:tcW w:w="1843" w:type="dxa"/>
            <w:vAlign w:val="center"/>
          </w:tcPr>
          <w:p>
            <w:pPr>
              <w:jc w:val="center"/>
              <w:rPr>
                <w:rFonts w:ascii="Times New Roman" w:hAnsi="Times New Roman" w:eastAsia="宋体" w:cs="Times New Roman"/>
                <w:b/>
                <w:color w:val="auto"/>
                <w:kern w:val="0"/>
                <w:sz w:val="21"/>
                <w:szCs w:val="21"/>
              </w:rPr>
            </w:pPr>
            <w:r>
              <w:rPr>
                <w:rFonts w:ascii="Times New Roman" w:hAnsi="Times New Roman" w:eastAsia="宋体" w:cs="Times New Roman"/>
                <w:b/>
                <w:color w:val="auto"/>
                <w:kern w:val="0"/>
                <w:sz w:val="21"/>
                <w:szCs w:val="21"/>
              </w:rPr>
              <w:t>检查问题</w:t>
            </w:r>
          </w:p>
        </w:tc>
        <w:tc>
          <w:tcPr>
            <w:tcW w:w="2126" w:type="dxa"/>
            <w:vAlign w:val="center"/>
          </w:tcPr>
          <w:p>
            <w:pPr>
              <w:jc w:val="center"/>
              <w:rPr>
                <w:rFonts w:ascii="Times New Roman" w:hAnsi="Times New Roman" w:eastAsia="宋体" w:cs="Times New Roman"/>
                <w:b/>
                <w:color w:val="auto"/>
                <w:kern w:val="0"/>
                <w:sz w:val="21"/>
                <w:szCs w:val="21"/>
              </w:rPr>
            </w:pPr>
            <w:r>
              <w:rPr>
                <w:rFonts w:ascii="Times New Roman" w:hAnsi="Times New Roman" w:eastAsia="宋体" w:cs="Times New Roman"/>
                <w:b/>
                <w:color w:val="auto"/>
                <w:kern w:val="0"/>
                <w:sz w:val="21"/>
                <w:szCs w:val="21"/>
              </w:rPr>
              <w:t>整改建议</w:t>
            </w:r>
          </w:p>
        </w:tc>
        <w:tc>
          <w:tcPr>
            <w:tcW w:w="709" w:type="dxa"/>
            <w:vAlign w:val="center"/>
          </w:tcPr>
          <w:p>
            <w:pPr>
              <w:jc w:val="center"/>
              <w:rPr>
                <w:rFonts w:ascii="Times New Roman" w:hAnsi="Times New Roman" w:eastAsia="宋体" w:cs="Times New Roman"/>
                <w:b/>
                <w:color w:val="auto"/>
                <w:kern w:val="0"/>
                <w:sz w:val="21"/>
                <w:szCs w:val="21"/>
              </w:rPr>
            </w:pPr>
            <w:r>
              <w:rPr>
                <w:rFonts w:ascii="Times New Roman" w:hAnsi="Times New Roman" w:eastAsia="宋体" w:cs="Times New Roman"/>
                <w:b/>
                <w:color w:val="auto"/>
                <w:kern w:val="0"/>
                <w:sz w:val="21"/>
                <w:szCs w:val="21"/>
              </w:rPr>
              <w:t>重大</w:t>
            </w:r>
          </w:p>
          <w:p>
            <w:pPr>
              <w:jc w:val="center"/>
              <w:rPr>
                <w:rFonts w:ascii="Times New Roman" w:hAnsi="Times New Roman" w:eastAsia="宋体" w:cs="Times New Roman"/>
                <w:b/>
                <w:color w:val="auto"/>
                <w:kern w:val="0"/>
                <w:sz w:val="21"/>
                <w:szCs w:val="21"/>
              </w:rPr>
            </w:pPr>
            <w:r>
              <w:rPr>
                <w:rFonts w:ascii="Times New Roman" w:hAnsi="Times New Roman" w:eastAsia="宋体" w:cs="Times New Roman"/>
                <w:b/>
                <w:color w:val="auto"/>
                <w:kern w:val="0"/>
                <w:sz w:val="21"/>
                <w:szCs w:val="21"/>
              </w:rPr>
              <w:t>隐患</w:t>
            </w:r>
          </w:p>
        </w:tc>
        <w:tc>
          <w:tcPr>
            <w:tcW w:w="786" w:type="dxa"/>
            <w:vAlign w:val="center"/>
          </w:tcPr>
          <w:p>
            <w:pPr>
              <w:jc w:val="center"/>
              <w:rPr>
                <w:rFonts w:ascii="Times New Roman" w:hAnsi="Times New Roman" w:eastAsia="宋体" w:cs="Times New Roman"/>
                <w:b/>
                <w:color w:val="auto"/>
                <w:kern w:val="0"/>
                <w:sz w:val="21"/>
                <w:szCs w:val="21"/>
              </w:rPr>
            </w:pPr>
            <w:r>
              <w:rPr>
                <w:rFonts w:ascii="Times New Roman" w:hAnsi="Times New Roman" w:eastAsia="宋体" w:cs="Times New Roman"/>
                <w:b/>
                <w:color w:val="auto"/>
                <w:kern w:val="0"/>
                <w:sz w:val="21"/>
                <w:szCs w:val="21"/>
              </w:rPr>
              <w:t>不符合项等级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1</w:t>
            </w:r>
          </w:p>
        </w:tc>
        <w:tc>
          <w:tcPr>
            <w:tcW w:w="567" w:type="dxa"/>
            <w:vMerge w:val="restart"/>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设备管理体系</w:t>
            </w:r>
          </w:p>
        </w:tc>
        <w:tc>
          <w:tcPr>
            <w:tcW w:w="2126"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1.企业应建立健全设备设施管理制度，内容至少应包括设备采购、安装、试车、验收，特种设备、动设备、静设备、备品配件、防腐蚀泄漏、检维修、巡回检查、设备润滑、维护保养、安全附件、变更、设备报废等管理制度。</w:t>
            </w:r>
          </w:p>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2.设备管理制度应明确管理程序、责任部门、管理职责及检查考核要求。</w:t>
            </w:r>
          </w:p>
          <w:p>
            <w:pPr>
              <w:widowControl/>
              <w:spacing w:line="280" w:lineRule="exact"/>
              <w:textAlignment w:val="center"/>
              <w:rPr>
                <w:rFonts w:ascii="Times New Roman" w:hAnsi="Times New Roman" w:eastAsia="宋体" w:cs="Times New Roman"/>
                <w:color w:val="auto"/>
                <w:kern w:val="0"/>
                <w:sz w:val="21"/>
                <w:szCs w:val="21"/>
              </w:rPr>
            </w:pPr>
          </w:p>
        </w:tc>
        <w:tc>
          <w:tcPr>
            <w:tcW w:w="2410"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《关于危险化学品企业贯彻落实《国务院关于进一步加强企业安全生产工作的通知》的实施意见》（安监总管三〔2010〕186号）第十条</w:t>
            </w:r>
          </w:p>
        </w:tc>
        <w:tc>
          <w:tcPr>
            <w:tcW w:w="1701" w:type="dxa"/>
            <w:vAlign w:val="center"/>
          </w:tcPr>
          <w:p>
            <w:pPr>
              <w:jc w:val="left"/>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 xml:space="preserve">查阅企业设备管理制度，内容至少应包含设备采购验收、动设备管理、静设备管理、备品配件管理、防腐蚀防泄漏管理、检维修、巡回检查、保温、设备润滑、设备台账管理、日常维护保养、特种设备、设备检查和考评办法、设备拆除和报废、设备安全附件等管理内容。 </w:t>
            </w:r>
          </w:p>
          <w:p>
            <w:pPr>
              <w:jc w:val="left"/>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 xml:space="preserve">专家应检查企业设备管理制度是否是最新、有效版本，是否与企业组织机构、人员配置情况相匹配。 </w:t>
            </w:r>
          </w:p>
          <w:p>
            <w:pPr>
              <w:jc w:val="left"/>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随机抽取2个设备管理制度进行查阅，核实管理制度中职责是否清晰、流程是否合理、管理要求是否能够执行，内容是否符合企业实际。</w:t>
            </w:r>
          </w:p>
        </w:tc>
        <w:tc>
          <w:tcPr>
            <w:tcW w:w="1984" w:type="dxa"/>
          </w:tcPr>
          <w:p>
            <w:pPr>
              <w:jc w:val="center"/>
              <w:rPr>
                <w:rFonts w:ascii="Times New Roman" w:hAnsi="Times New Roman" w:eastAsia="宋体" w:cs="Times New Roman"/>
                <w:color w:val="auto"/>
                <w:kern w:val="0"/>
                <w:sz w:val="21"/>
                <w:szCs w:val="21"/>
              </w:rPr>
            </w:pPr>
          </w:p>
        </w:tc>
        <w:tc>
          <w:tcPr>
            <w:tcW w:w="1843" w:type="dxa"/>
          </w:tcPr>
          <w:p>
            <w:pPr>
              <w:jc w:val="center"/>
              <w:rPr>
                <w:rFonts w:ascii="Times New Roman" w:hAnsi="Times New Roman" w:eastAsia="宋体" w:cs="Times New Roman"/>
                <w:color w:val="auto"/>
                <w:kern w:val="0"/>
                <w:sz w:val="21"/>
                <w:szCs w:val="21"/>
              </w:rPr>
            </w:pPr>
          </w:p>
        </w:tc>
        <w:tc>
          <w:tcPr>
            <w:tcW w:w="2126" w:type="dxa"/>
          </w:tcPr>
          <w:p>
            <w:pPr>
              <w:jc w:val="center"/>
              <w:rPr>
                <w:rFonts w:ascii="Times New Roman" w:hAnsi="Times New Roman" w:eastAsia="宋体" w:cs="Times New Roman"/>
                <w:color w:val="auto"/>
                <w:kern w:val="0"/>
                <w:sz w:val="21"/>
                <w:szCs w:val="21"/>
              </w:rPr>
            </w:pPr>
          </w:p>
        </w:tc>
        <w:tc>
          <w:tcPr>
            <w:tcW w:w="709" w:type="dxa"/>
          </w:tcPr>
          <w:p>
            <w:pPr>
              <w:jc w:val="center"/>
              <w:rPr>
                <w:rFonts w:ascii="Times New Roman" w:hAnsi="Times New Roman" w:eastAsia="宋体" w:cs="Times New Roman"/>
                <w:color w:val="auto"/>
                <w:kern w:val="0"/>
                <w:sz w:val="21"/>
                <w:szCs w:val="21"/>
              </w:rPr>
            </w:pPr>
          </w:p>
        </w:tc>
        <w:tc>
          <w:tcPr>
            <w:tcW w:w="786" w:type="dxa"/>
            <w:vAlign w:val="center"/>
          </w:tcPr>
          <w:p>
            <w:pPr>
              <w:widowControl/>
              <w:spacing w:line="280" w:lineRule="exact"/>
              <w:jc w:val="center"/>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2</w:t>
            </w:r>
          </w:p>
        </w:tc>
        <w:tc>
          <w:tcPr>
            <w:tcW w:w="567" w:type="dxa"/>
            <w:vMerge w:val="continue"/>
          </w:tcPr>
          <w:p>
            <w:pPr>
              <w:jc w:val="center"/>
              <w:rPr>
                <w:rFonts w:ascii="Times New Roman" w:hAnsi="Times New Roman" w:eastAsia="宋体" w:cs="Times New Roman"/>
                <w:color w:val="auto"/>
                <w:kern w:val="0"/>
                <w:sz w:val="21"/>
                <w:szCs w:val="21"/>
              </w:rPr>
            </w:pPr>
          </w:p>
        </w:tc>
        <w:tc>
          <w:tcPr>
            <w:tcW w:w="2126"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企业应配备设备专业管理人员和设备维修维护人员。明确组织机构、人员、岗位职责。</w:t>
            </w:r>
          </w:p>
        </w:tc>
        <w:tc>
          <w:tcPr>
            <w:tcW w:w="2410"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《关于加强化工过程安全管理的指导意见》（安监总管三〔2013〕88号）第十六条</w:t>
            </w:r>
          </w:p>
        </w:tc>
        <w:tc>
          <w:tcPr>
            <w:tcW w:w="1701" w:type="dxa"/>
            <w:vAlign w:val="center"/>
          </w:tcPr>
          <w:p>
            <w:pPr>
              <w:jc w:val="left"/>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 xml:space="preserve">查机构设置、人员配备文件等，核实企业是否配备了符合要求的设备专业管理人员和设备维修维护人员（维修维护人员可以是第三方）。 </w:t>
            </w:r>
          </w:p>
          <w:p>
            <w:pPr>
              <w:jc w:val="left"/>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 xml:space="preserve">通过访谈，查阅资格证书等形式核实人员是否具备与从事的危险化学品生产、储存、经营相关的设备设施管理的知识。 </w:t>
            </w:r>
          </w:p>
          <w:p>
            <w:pPr>
              <w:jc w:val="left"/>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涉及特种设备的企业设备管理人员应有相应资格。</w:t>
            </w:r>
          </w:p>
        </w:tc>
        <w:tc>
          <w:tcPr>
            <w:tcW w:w="1984" w:type="dxa"/>
          </w:tcPr>
          <w:p>
            <w:pPr>
              <w:jc w:val="center"/>
              <w:rPr>
                <w:rFonts w:ascii="Times New Roman" w:hAnsi="Times New Roman" w:eastAsia="宋体" w:cs="Times New Roman"/>
                <w:color w:val="auto"/>
                <w:kern w:val="0"/>
                <w:sz w:val="21"/>
                <w:szCs w:val="21"/>
              </w:rPr>
            </w:pPr>
          </w:p>
        </w:tc>
        <w:tc>
          <w:tcPr>
            <w:tcW w:w="1843" w:type="dxa"/>
          </w:tcPr>
          <w:p>
            <w:pPr>
              <w:jc w:val="center"/>
              <w:rPr>
                <w:rFonts w:ascii="Times New Roman" w:hAnsi="Times New Roman" w:eastAsia="宋体" w:cs="Times New Roman"/>
                <w:color w:val="auto"/>
                <w:kern w:val="0"/>
                <w:sz w:val="21"/>
                <w:szCs w:val="21"/>
              </w:rPr>
            </w:pPr>
          </w:p>
        </w:tc>
        <w:tc>
          <w:tcPr>
            <w:tcW w:w="2126" w:type="dxa"/>
          </w:tcPr>
          <w:p>
            <w:pPr>
              <w:jc w:val="center"/>
              <w:rPr>
                <w:rFonts w:ascii="Times New Roman" w:hAnsi="Times New Roman" w:eastAsia="宋体" w:cs="Times New Roman"/>
                <w:color w:val="auto"/>
                <w:kern w:val="0"/>
                <w:sz w:val="21"/>
                <w:szCs w:val="21"/>
              </w:rPr>
            </w:pPr>
          </w:p>
        </w:tc>
        <w:tc>
          <w:tcPr>
            <w:tcW w:w="709" w:type="dxa"/>
          </w:tcPr>
          <w:p>
            <w:pPr>
              <w:jc w:val="center"/>
              <w:rPr>
                <w:rFonts w:ascii="Times New Roman" w:hAnsi="Times New Roman" w:eastAsia="宋体" w:cs="Times New Roman"/>
                <w:color w:val="auto"/>
                <w:kern w:val="0"/>
                <w:sz w:val="21"/>
                <w:szCs w:val="21"/>
              </w:rPr>
            </w:pPr>
          </w:p>
        </w:tc>
        <w:tc>
          <w:tcPr>
            <w:tcW w:w="786" w:type="dxa"/>
            <w:vAlign w:val="center"/>
          </w:tcPr>
          <w:p>
            <w:pPr>
              <w:widowControl/>
              <w:spacing w:line="280" w:lineRule="exact"/>
              <w:jc w:val="center"/>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4"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3</w:t>
            </w:r>
          </w:p>
        </w:tc>
        <w:tc>
          <w:tcPr>
            <w:tcW w:w="567" w:type="dxa"/>
            <w:vMerge w:val="continue"/>
          </w:tcPr>
          <w:p>
            <w:pPr>
              <w:jc w:val="center"/>
              <w:rPr>
                <w:rFonts w:ascii="Times New Roman" w:hAnsi="Times New Roman" w:eastAsia="宋体" w:cs="Times New Roman"/>
                <w:color w:val="auto"/>
                <w:kern w:val="0"/>
                <w:sz w:val="21"/>
                <w:szCs w:val="21"/>
              </w:rPr>
            </w:pPr>
          </w:p>
        </w:tc>
        <w:tc>
          <w:tcPr>
            <w:tcW w:w="2126"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企业应对设备进行编号，建立设备设施台账，特种设备应建立安全与节能技术档案，并及时更新。特种设备安全与节能技术档案应符合TSG08-2026中2.5条要求。</w:t>
            </w:r>
          </w:p>
        </w:tc>
        <w:tc>
          <w:tcPr>
            <w:tcW w:w="2410"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《关于加强化工过程安全管理的指导意见》（安监总管三〔2013〕88号）第十六条</w:t>
            </w:r>
          </w:p>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《特种设备使用管理规则》TSG08-2026</w:t>
            </w:r>
          </w:p>
        </w:tc>
        <w:tc>
          <w:tcPr>
            <w:tcW w:w="1701" w:type="dxa"/>
            <w:vAlign w:val="center"/>
          </w:tcPr>
          <w:p>
            <w:pPr>
              <w:jc w:val="left"/>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查档案、台账、生产现场，检查是否对现场生产设备进行了编号，包括现场设备上是否标识有明显的设备名称、位号等。</w:t>
            </w:r>
          </w:p>
          <w:p>
            <w:pPr>
              <w:jc w:val="left"/>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随机抽取2台不同类别的设备，调阅企业设备档案、台账，核实台账、档案是否齐全，填写内容是否及时、准确。抽取时应将大型设备和特种设备作为重点。</w:t>
            </w:r>
          </w:p>
        </w:tc>
        <w:tc>
          <w:tcPr>
            <w:tcW w:w="1984" w:type="dxa"/>
          </w:tcPr>
          <w:p>
            <w:pPr>
              <w:jc w:val="center"/>
              <w:rPr>
                <w:rFonts w:ascii="Times New Roman" w:hAnsi="Times New Roman" w:eastAsia="宋体" w:cs="Times New Roman"/>
                <w:color w:val="auto"/>
                <w:kern w:val="0"/>
                <w:sz w:val="21"/>
                <w:szCs w:val="21"/>
              </w:rPr>
            </w:pPr>
          </w:p>
        </w:tc>
        <w:tc>
          <w:tcPr>
            <w:tcW w:w="1843" w:type="dxa"/>
          </w:tcPr>
          <w:p>
            <w:pPr>
              <w:jc w:val="center"/>
              <w:rPr>
                <w:rFonts w:ascii="Times New Roman" w:hAnsi="Times New Roman" w:eastAsia="宋体" w:cs="Times New Roman"/>
                <w:color w:val="auto"/>
                <w:kern w:val="0"/>
                <w:sz w:val="21"/>
                <w:szCs w:val="21"/>
              </w:rPr>
            </w:pPr>
          </w:p>
        </w:tc>
        <w:tc>
          <w:tcPr>
            <w:tcW w:w="2126" w:type="dxa"/>
          </w:tcPr>
          <w:p>
            <w:pPr>
              <w:jc w:val="center"/>
              <w:rPr>
                <w:rFonts w:ascii="Times New Roman" w:hAnsi="Times New Roman" w:eastAsia="宋体" w:cs="Times New Roman"/>
                <w:color w:val="auto"/>
                <w:kern w:val="0"/>
                <w:sz w:val="21"/>
                <w:szCs w:val="21"/>
              </w:rPr>
            </w:pPr>
          </w:p>
        </w:tc>
        <w:tc>
          <w:tcPr>
            <w:tcW w:w="709" w:type="dxa"/>
          </w:tcPr>
          <w:p>
            <w:pPr>
              <w:jc w:val="center"/>
              <w:rPr>
                <w:rFonts w:ascii="Times New Roman" w:hAnsi="Times New Roman" w:eastAsia="宋体" w:cs="Times New Roman"/>
                <w:color w:val="auto"/>
                <w:kern w:val="0"/>
                <w:sz w:val="21"/>
                <w:szCs w:val="21"/>
              </w:rPr>
            </w:pPr>
          </w:p>
        </w:tc>
        <w:tc>
          <w:tcPr>
            <w:tcW w:w="786" w:type="dxa"/>
            <w:vAlign w:val="center"/>
          </w:tcPr>
          <w:p>
            <w:pPr>
              <w:widowControl/>
              <w:spacing w:line="280" w:lineRule="exact"/>
              <w:jc w:val="center"/>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4</w:t>
            </w:r>
          </w:p>
        </w:tc>
        <w:tc>
          <w:tcPr>
            <w:tcW w:w="567" w:type="dxa"/>
            <w:vMerge w:val="continue"/>
          </w:tcPr>
          <w:p>
            <w:pPr>
              <w:jc w:val="center"/>
              <w:rPr>
                <w:rFonts w:ascii="Times New Roman" w:hAnsi="Times New Roman" w:eastAsia="宋体" w:cs="Times New Roman"/>
                <w:color w:val="auto"/>
                <w:kern w:val="0"/>
                <w:sz w:val="21"/>
                <w:szCs w:val="21"/>
              </w:rPr>
            </w:pPr>
          </w:p>
        </w:tc>
        <w:tc>
          <w:tcPr>
            <w:tcW w:w="2126"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企业应编制覆盖主要生产设备的操作和检维修规程。</w:t>
            </w:r>
          </w:p>
        </w:tc>
        <w:tc>
          <w:tcPr>
            <w:tcW w:w="2410"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《关于加强化工过程安全管理的指导意见》（安监总管三〔2013〕88号）第十六条</w:t>
            </w:r>
          </w:p>
        </w:tc>
        <w:tc>
          <w:tcPr>
            <w:tcW w:w="1701"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查主要设备操作和维护规程的内容应包括：开车准备、正常操作、正常停车、紧急情况的操作步骤与安全要求，操作过程的人身安全保障、注意事项，以及设备结构、性能简述、主要技术参数、设备完好标准、日常维护及定期检查内容及标准、常见的故障及处理办法、检修安全注意事项、检修质量及检修标准等；试车与验收相关内容。大机组和重点动设备的转速、振动、位移、温度、压力、腐蚀性介质含量等运行参数，设备润滑管理内容。</w:t>
            </w:r>
          </w:p>
        </w:tc>
        <w:tc>
          <w:tcPr>
            <w:tcW w:w="1984" w:type="dxa"/>
          </w:tcPr>
          <w:p>
            <w:pPr>
              <w:jc w:val="center"/>
              <w:rPr>
                <w:rFonts w:ascii="Times New Roman" w:hAnsi="Times New Roman" w:eastAsia="宋体" w:cs="Times New Roman"/>
                <w:color w:val="auto"/>
                <w:kern w:val="0"/>
                <w:sz w:val="21"/>
                <w:szCs w:val="21"/>
              </w:rPr>
            </w:pPr>
          </w:p>
        </w:tc>
        <w:tc>
          <w:tcPr>
            <w:tcW w:w="1843" w:type="dxa"/>
          </w:tcPr>
          <w:p>
            <w:pPr>
              <w:jc w:val="center"/>
              <w:rPr>
                <w:rFonts w:ascii="Times New Roman" w:hAnsi="Times New Roman" w:eastAsia="宋体" w:cs="Times New Roman"/>
                <w:color w:val="auto"/>
                <w:kern w:val="0"/>
                <w:sz w:val="21"/>
                <w:szCs w:val="21"/>
              </w:rPr>
            </w:pPr>
          </w:p>
        </w:tc>
        <w:tc>
          <w:tcPr>
            <w:tcW w:w="2126" w:type="dxa"/>
          </w:tcPr>
          <w:p>
            <w:pPr>
              <w:jc w:val="center"/>
              <w:rPr>
                <w:rFonts w:ascii="Times New Roman" w:hAnsi="Times New Roman" w:eastAsia="宋体" w:cs="Times New Roman"/>
                <w:color w:val="auto"/>
                <w:kern w:val="0"/>
                <w:sz w:val="21"/>
                <w:szCs w:val="21"/>
              </w:rPr>
            </w:pPr>
          </w:p>
        </w:tc>
        <w:tc>
          <w:tcPr>
            <w:tcW w:w="709" w:type="dxa"/>
          </w:tcPr>
          <w:p>
            <w:pPr>
              <w:jc w:val="center"/>
              <w:rPr>
                <w:rFonts w:ascii="Times New Roman" w:hAnsi="Times New Roman" w:eastAsia="宋体" w:cs="Times New Roman"/>
                <w:color w:val="auto"/>
                <w:kern w:val="0"/>
                <w:sz w:val="21"/>
                <w:szCs w:val="21"/>
              </w:rPr>
            </w:pPr>
          </w:p>
        </w:tc>
        <w:tc>
          <w:tcPr>
            <w:tcW w:w="786" w:type="dxa"/>
            <w:vAlign w:val="center"/>
          </w:tcPr>
          <w:p>
            <w:pPr>
              <w:widowControl/>
              <w:spacing w:line="280" w:lineRule="exact"/>
              <w:jc w:val="center"/>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5</w:t>
            </w:r>
          </w:p>
        </w:tc>
        <w:tc>
          <w:tcPr>
            <w:tcW w:w="567" w:type="dxa"/>
            <w:vMerge w:val="continue"/>
          </w:tcPr>
          <w:p>
            <w:pPr>
              <w:jc w:val="center"/>
              <w:rPr>
                <w:rFonts w:ascii="Times New Roman" w:hAnsi="Times New Roman" w:eastAsia="宋体" w:cs="Times New Roman"/>
                <w:color w:val="auto"/>
                <w:kern w:val="0"/>
                <w:sz w:val="21"/>
                <w:szCs w:val="21"/>
              </w:rPr>
            </w:pPr>
          </w:p>
        </w:tc>
        <w:tc>
          <w:tcPr>
            <w:tcW w:w="2126"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对设备设施的变更应严格履行变更程序。</w:t>
            </w:r>
          </w:p>
        </w:tc>
        <w:tc>
          <w:tcPr>
            <w:tcW w:w="2410"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《关于危险化学品企业贯彻落实&lt;国务院关于进一步加强企业安全生产工作的通知&gt;的实施意见》（安监总管三〔2010〕186 号）</w:t>
            </w:r>
          </w:p>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《化工和危险化学品生产经营企业重大生产安全事故隐患判定准则》（AQ 3067-2026）第5.7.5条</w:t>
            </w:r>
          </w:p>
        </w:tc>
        <w:tc>
          <w:tcPr>
            <w:tcW w:w="1701"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检查设备变更是否履行申请、审批、实施、验收程序。是否全面分析变更后可能产生的安全风险，制定并落实安全风险管控措施。变更后企业是否对相关规程、图纸资料等安全生产信息进行了更新；变更后是否对相关人员进行培训，是否掌握了变更内容、安全生产信息更新情况、变更后可能产生的安全风险及采取的管控措施等。</w:t>
            </w:r>
          </w:p>
        </w:tc>
        <w:tc>
          <w:tcPr>
            <w:tcW w:w="1984" w:type="dxa"/>
          </w:tcPr>
          <w:p>
            <w:pPr>
              <w:jc w:val="center"/>
              <w:rPr>
                <w:rFonts w:ascii="Times New Roman" w:hAnsi="Times New Roman" w:eastAsia="宋体" w:cs="Times New Roman"/>
                <w:color w:val="auto"/>
                <w:kern w:val="0"/>
                <w:sz w:val="21"/>
                <w:szCs w:val="21"/>
              </w:rPr>
            </w:pPr>
          </w:p>
        </w:tc>
        <w:tc>
          <w:tcPr>
            <w:tcW w:w="1843" w:type="dxa"/>
          </w:tcPr>
          <w:p>
            <w:pPr>
              <w:jc w:val="center"/>
              <w:rPr>
                <w:rFonts w:ascii="Times New Roman" w:hAnsi="Times New Roman" w:eastAsia="宋体" w:cs="Times New Roman"/>
                <w:color w:val="auto"/>
                <w:kern w:val="0"/>
                <w:sz w:val="21"/>
                <w:szCs w:val="21"/>
              </w:rPr>
            </w:pPr>
          </w:p>
        </w:tc>
        <w:tc>
          <w:tcPr>
            <w:tcW w:w="2126" w:type="dxa"/>
          </w:tcPr>
          <w:p>
            <w:pPr>
              <w:jc w:val="center"/>
              <w:rPr>
                <w:rFonts w:ascii="Times New Roman" w:hAnsi="Times New Roman" w:eastAsia="宋体" w:cs="Times New Roman"/>
                <w:color w:val="auto"/>
                <w:kern w:val="0"/>
                <w:sz w:val="21"/>
                <w:szCs w:val="21"/>
              </w:rPr>
            </w:pPr>
          </w:p>
        </w:tc>
        <w:tc>
          <w:tcPr>
            <w:tcW w:w="709" w:type="dxa"/>
          </w:tcPr>
          <w:p>
            <w:pPr>
              <w:jc w:val="center"/>
              <w:rPr>
                <w:rFonts w:ascii="Times New Roman" w:hAnsi="Times New Roman" w:eastAsia="宋体" w:cs="Times New Roman"/>
                <w:color w:val="auto"/>
                <w:kern w:val="0"/>
                <w:sz w:val="21"/>
                <w:szCs w:val="21"/>
              </w:rPr>
            </w:pPr>
          </w:p>
        </w:tc>
        <w:tc>
          <w:tcPr>
            <w:tcW w:w="786" w:type="dxa"/>
            <w:vAlign w:val="center"/>
          </w:tcPr>
          <w:p>
            <w:pPr>
              <w:widowControl/>
              <w:spacing w:line="280" w:lineRule="exact"/>
              <w:jc w:val="center"/>
              <w:textAlignment w:val="center"/>
              <w:rPr>
                <w:rFonts w:ascii="Times New Roman" w:hAnsi="Times New Roman" w:eastAsia="宋体" w:cs="Times New Roman"/>
                <w:b/>
                <w:bCs/>
                <w:color w:val="auto"/>
                <w:kern w:val="0"/>
                <w:sz w:val="21"/>
                <w:szCs w:val="21"/>
              </w:rPr>
            </w:pPr>
            <w:r>
              <w:rPr>
                <w:rFonts w:ascii="Times New Roman" w:hAnsi="Times New Roman" w:eastAsia="宋体" w:cs="Times New Roman"/>
                <w:b/>
                <w:bCs/>
                <w:color w:val="auto"/>
                <w:kern w:val="0"/>
                <w:sz w:val="21"/>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6</w:t>
            </w:r>
          </w:p>
        </w:tc>
        <w:tc>
          <w:tcPr>
            <w:tcW w:w="567" w:type="dxa"/>
            <w:vMerge w:val="continue"/>
          </w:tcPr>
          <w:p>
            <w:pPr>
              <w:jc w:val="center"/>
              <w:rPr>
                <w:rFonts w:ascii="Times New Roman" w:hAnsi="Times New Roman" w:eastAsia="宋体" w:cs="Times New Roman"/>
                <w:color w:val="auto"/>
                <w:kern w:val="0"/>
                <w:sz w:val="21"/>
                <w:szCs w:val="21"/>
              </w:rPr>
            </w:pPr>
          </w:p>
        </w:tc>
        <w:tc>
          <w:tcPr>
            <w:tcW w:w="2126"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企业不得使用国家明令淘汰、禁止使用的危及生产安全的设备。</w:t>
            </w:r>
          </w:p>
        </w:tc>
        <w:tc>
          <w:tcPr>
            <w:tcW w:w="2410"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《化工和危险化学品生产经营企业重大生产安全事故隐患判定准则》（AQ 3067-2026）第5.3.1条</w:t>
            </w:r>
          </w:p>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《安全生产法》第三十八条</w:t>
            </w:r>
          </w:p>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《关于印发淘汰落后安全技术装备目录（2015年第一批）的通知》（安监总科技〔2015〕75号）</w:t>
            </w:r>
          </w:p>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《淘汰落后安全技术工艺、设备目录（2016年）的通知》（安监总科技〔2016〕137号）</w:t>
            </w:r>
          </w:p>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《淘汰落后危险化学品安全生产工艺技术设备目录（第一批）》的通知（应急厅〔2020〕38号）</w:t>
            </w:r>
          </w:p>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《淘汰落后危险化学品安全生产工艺技术设备目录（第二批）》的通知（应急厅〔2024〕86号）</w:t>
            </w:r>
          </w:p>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《危险化学品生产企业安全生产许可证实施办法》（国家安全生产监督管理总局令第41号）第九条</w:t>
            </w:r>
          </w:p>
        </w:tc>
        <w:tc>
          <w:tcPr>
            <w:tcW w:w="1701" w:type="dxa"/>
            <w:vAlign w:val="center"/>
          </w:tcPr>
          <w:p>
            <w:pPr>
              <w:jc w:val="left"/>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 xml:space="preserve">查安全评价报告，企业不得使用国家明令淘汰、禁止使用的危及生产安全的设备。 </w:t>
            </w:r>
          </w:p>
          <w:p>
            <w:pPr>
              <w:jc w:val="left"/>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查现场，核实是否有国家明令淘汰、禁止使用的危及生产安全的设备。</w:t>
            </w:r>
          </w:p>
        </w:tc>
        <w:tc>
          <w:tcPr>
            <w:tcW w:w="1984" w:type="dxa"/>
          </w:tcPr>
          <w:p>
            <w:pPr>
              <w:jc w:val="center"/>
              <w:rPr>
                <w:rFonts w:ascii="Times New Roman" w:hAnsi="Times New Roman" w:eastAsia="宋体" w:cs="Times New Roman"/>
                <w:color w:val="auto"/>
                <w:kern w:val="0"/>
                <w:sz w:val="21"/>
                <w:szCs w:val="21"/>
              </w:rPr>
            </w:pPr>
          </w:p>
        </w:tc>
        <w:tc>
          <w:tcPr>
            <w:tcW w:w="1843" w:type="dxa"/>
          </w:tcPr>
          <w:p>
            <w:pPr>
              <w:jc w:val="center"/>
              <w:rPr>
                <w:rFonts w:ascii="Times New Roman" w:hAnsi="Times New Roman" w:eastAsia="宋体" w:cs="Times New Roman"/>
                <w:color w:val="auto"/>
                <w:kern w:val="0"/>
                <w:sz w:val="21"/>
                <w:szCs w:val="21"/>
              </w:rPr>
            </w:pPr>
          </w:p>
        </w:tc>
        <w:tc>
          <w:tcPr>
            <w:tcW w:w="2126" w:type="dxa"/>
          </w:tcPr>
          <w:p>
            <w:pPr>
              <w:jc w:val="center"/>
              <w:rPr>
                <w:rFonts w:ascii="Times New Roman" w:hAnsi="Times New Roman" w:eastAsia="宋体" w:cs="Times New Roman"/>
                <w:color w:val="auto"/>
                <w:kern w:val="0"/>
                <w:sz w:val="21"/>
                <w:szCs w:val="21"/>
              </w:rPr>
            </w:pPr>
          </w:p>
        </w:tc>
        <w:tc>
          <w:tcPr>
            <w:tcW w:w="709" w:type="dxa"/>
          </w:tcPr>
          <w:p>
            <w:pPr>
              <w:jc w:val="center"/>
              <w:rPr>
                <w:rFonts w:ascii="Times New Roman" w:hAnsi="Times New Roman" w:eastAsia="宋体" w:cs="Times New Roman"/>
                <w:color w:val="auto"/>
                <w:kern w:val="0"/>
                <w:sz w:val="21"/>
                <w:szCs w:val="21"/>
              </w:rPr>
            </w:pPr>
          </w:p>
        </w:tc>
        <w:tc>
          <w:tcPr>
            <w:tcW w:w="786" w:type="dxa"/>
            <w:vAlign w:val="center"/>
          </w:tcPr>
          <w:p>
            <w:pPr>
              <w:widowControl/>
              <w:spacing w:line="280" w:lineRule="exact"/>
              <w:jc w:val="center"/>
              <w:textAlignment w:val="center"/>
              <w:rPr>
                <w:rFonts w:ascii="Times New Roman" w:hAnsi="Times New Roman" w:eastAsia="宋体" w:cs="Times New Roman"/>
                <w:b/>
                <w:bCs/>
                <w:color w:val="auto"/>
                <w:kern w:val="0"/>
                <w:sz w:val="21"/>
                <w:szCs w:val="21"/>
              </w:rPr>
            </w:pPr>
            <w:r>
              <w:rPr>
                <w:rFonts w:ascii="Times New Roman" w:hAnsi="Times New Roman" w:eastAsia="宋体" w:cs="Times New Roman"/>
                <w:b/>
                <w:bCs/>
                <w:color w:val="auto"/>
                <w:kern w:val="0"/>
                <w:sz w:val="21"/>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4"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7</w:t>
            </w:r>
          </w:p>
        </w:tc>
        <w:tc>
          <w:tcPr>
            <w:tcW w:w="567" w:type="dxa"/>
            <w:vMerge w:val="restart"/>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设备预防性维修</w:t>
            </w:r>
          </w:p>
        </w:tc>
        <w:tc>
          <w:tcPr>
            <w:tcW w:w="2126"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企业应按制度对设备定期进行巡回检查，并建立设备定期检查记录，明确操作、专业技术、管理等人员的定期检查要求，及时发现设备异常状况并进行分析、处理。</w:t>
            </w:r>
          </w:p>
        </w:tc>
        <w:tc>
          <w:tcPr>
            <w:tcW w:w="2410"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《关于加强化工过程安全管理的指导意见》（安监总管三〔2013〕88号）第十六条</w:t>
            </w:r>
          </w:p>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《危险化学品企业安全风险隐患排查治理导则》（应急〔2019〕78号）</w:t>
            </w:r>
          </w:p>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《化工过程安全管理导则》AQ/T3034-2022第4.10.4条</w:t>
            </w:r>
          </w:p>
        </w:tc>
        <w:tc>
          <w:tcPr>
            <w:tcW w:w="1701" w:type="dxa"/>
            <w:vAlign w:val="center"/>
          </w:tcPr>
          <w:p>
            <w:pPr>
              <w:jc w:val="left"/>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 xml:space="preserve">查阅企业各类记录，核实企业是否按规定的时间、路线和内容对设备进行巡回检查，检查记录齐全。包括设备专业管理人员和岗位操作人员的巡回检查记录。 </w:t>
            </w:r>
          </w:p>
          <w:p>
            <w:pPr>
              <w:jc w:val="left"/>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核实在各类巡回检查中发现的问题是否得到及时解决。</w:t>
            </w:r>
          </w:p>
        </w:tc>
        <w:tc>
          <w:tcPr>
            <w:tcW w:w="1984" w:type="dxa"/>
          </w:tcPr>
          <w:p>
            <w:pPr>
              <w:jc w:val="center"/>
              <w:rPr>
                <w:rFonts w:ascii="Times New Roman" w:hAnsi="Times New Roman" w:eastAsia="宋体" w:cs="Times New Roman"/>
                <w:color w:val="auto"/>
                <w:kern w:val="0"/>
                <w:sz w:val="21"/>
                <w:szCs w:val="21"/>
              </w:rPr>
            </w:pPr>
          </w:p>
        </w:tc>
        <w:tc>
          <w:tcPr>
            <w:tcW w:w="1843" w:type="dxa"/>
          </w:tcPr>
          <w:p>
            <w:pPr>
              <w:jc w:val="center"/>
              <w:rPr>
                <w:rFonts w:ascii="Times New Roman" w:hAnsi="Times New Roman" w:eastAsia="宋体" w:cs="Times New Roman"/>
                <w:color w:val="auto"/>
                <w:kern w:val="0"/>
                <w:sz w:val="21"/>
                <w:szCs w:val="21"/>
              </w:rPr>
            </w:pPr>
          </w:p>
        </w:tc>
        <w:tc>
          <w:tcPr>
            <w:tcW w:w="2126" w:type="dxa"/>
          </w:tcPr>
          <w:p>
            <w:pPr>
              <w:jc w:val="center"/>
              <w:rPr>
                <w:rFonts w:ascii="Times New Roman" w:hAnsi="Times New Roman" w:eastAsia="宋体" w:cs="Times New Roman"/>
                <w:color w:val="auto"/>
                <w:kern w:val="0"/>
                <w:sz w:val="21"/>
                <w:szCs w:val="21"/>
              </w:rPr>
            </w:pPr>
          </w:p>
        </w:tc>
        <w:tc>
          <w:tcPr>
            <w:tcW w:w="709" w:type="dxa"/>
          </w:tcPr>
          <w:p>
            <w:pPr>
              <w:jc w:val="center"/>
              <w:rPr>
                <w:rFonts w:ascii="Times New Roman" w:hAnsi="Times New Roman" w:eastAsia="宋体" w:cs="Times New Roman"/>
                <w:color w:val="auto"/>
                <w:kern w:val="0"/>
                <w:sz w:val="21"/>
                <w:szCs w:val="21"/>
              </w:rPr>
            </w:pPr>
          </w:p>
        </w:tc>
        <w:tc>
          <w:tcPr>
            <w:tcW w:w="786" w:type="dxa"/>
            <w:vAlign w:val="center"/>
          </w:tcPr>
          <w:p>
            <w:pPr>
              <w:widowControl/>
              <w:spacing w:line="280" w:lineRule="exact"/>
              <w:jc w:val="center"/>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8</w:t>
            </w:r>
          </w:p>
        </w:tc>
        <w:tc>
          <w:tcPr>
            <w:tcW w:w="567" w:type="dxa"/>
            <w:vMerge w:val="continue"/>
          </w:tcPr>
          <w:p>
            <w:pPr>
              <w:jc w:val="center"/>
              <w:rPr>
                <w:rFonts w:ascii="Times New Roman" w:hAnsi="Times New Roman" w:eastAsia="宋体" w:cs="Times New Roman"/>
                <w:color w:val="auto"/>
                <w:kern w:val="0"/>
                <w:sz w:val="21"/>
                <w:szCs w:val="21"/>
              </w:rPr>
            </w:pPr>
          </w:p>
        </w:tc>
        <w:tc>
          <w:tcPr>
            <w:tcW w:w="2126"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企业应明确</w:t>
            </w:r>
            <w:bookmarkStart w:id="82" w:name="OLE_LINK18"/>
            <w:bookmarkStart w:id="83" w:name="OLE_LINK66"/>
            <w:r>
              <w:rPr>
                <w:rFonts w:ascii="Times New Roman" w:hAnsi="Times New Roman" w:eastAsia="宋体" w:cs="Times New Roman"/>
                <w:color w:val="auto"/>
                <w:kern w:val="0"/>
                <w:sz w:val="21"/>
                <w:szCs w:val="21"/>
              </w:rPr>
              <w:t>设备润滑、盘车、定期切换等日常维护要求</w:t>
            </w:r>
            <w:bookmarkEnd w:id="82"/>
            <w:bookmarkEnd w:id="83"/>
            <w:r>
              <w:rPr>
                <w:rFonts w:ascii="Times New Roman" w:hAnsi="Times New Roman" w:eastAsia="宋体" w:cs="Times New Roman"/>
                <w:color w:val="auto"/>
                <w:kern w:val="0"/>
                <w:sz w:val="21"/>
                <w:szCs w:val="21"/>
              </w:rPr>
              <w:t>，对设备进行维护保养。</w:t>
            </w:r>
          </w:p>
        </w:tc>
        <w:tc>
          <w:tcPr>
            <w:tcW w:w="2410"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《化工过程安全管理导则》AQ/T3034-2022</w:t>
            </w:r>
          </w:p>
        </w:tc>
        <w:tc>
          <w:tcPr>
            <w:tcW w:w="1701" w:type="dxa"/>
            <w:vAlign w:val="center"/>
          </w:tcPr>
          <w:p>
            <w:pPr>
              <w:jc w:val="left"/>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查阅企业相关制度和记录，核实企业落实设备润滑、盘车、定期切换等日常维护要求。</w:t>
            </w:r>
          </w:p>
        </w:tc>
        <w:tc>
          <w:tcPr>
            <w:tcW w:w="1984" w:type="dxa"/>
          </w:tcPr>
          <w:p>
            <w:pPr>
              <w:jc w:val="center"/>
              <w:rPr>
                <w:rFonts w:ascii="Times New Roman" w:hAnsi="Times New Roman" w:eastAsia="宋体" w:cs="Times New Roman"/>
                <w:color w:val="auto"/>
                <w:kern w:val="0"/>
                <w:sz w:val="21"/>
                <w:szCs w:val="21"/>
              </w:rPr>
            </w:pPr>
          </w:p>
        </w:tc>
        <w:tc>
          <w:tcPr>
            <w:tcW w:w="1843" w:type="dxa"/>
          </w:tcPr>
          <w:p>
            <w:pPr>
              <w:jc w:val="center"/>
              <w:rPr>
                <w:rFonts w:ascii="Times New Roman" w:hAnsi="Times New Roman" w:eastAsia="宋体" w:cs="Times New Roman"/>
                <w:color w:val="auto"/>
                <w:kern w:val="0"/>
                <w:sz w:val="21"/>
                <w:szCs w:val="21"/>
              </w:rPr>
            </w:pPr>
          </w:p>
        </w:tc>
        <w:tc>
          <w:tcPr>
            <w:tcW w:w="2126" w:type="dxa"/>
          </w:tcPr>
          <w:p>
            <w:pPr>
              <w:jc w:val="center"/>
              <w:rPr>
                <w:rFonts w:ascii="Times New Roman" w:hAnsi="Times New Roman" w:eastAsia="宋体" w:cs="Times New Roman"/>
                <w:color w:val="auto"/>
                <w:kern w:val="0"/>
                <w:sz w:val="21"/>
                <w:szCs w:val="21"/>
              </w:rPr>
            </w:pPr>
          </w:p>
        </w:tc>
        <w:tc>
          <w:tcPr>
            <w:tcW w:w="709" w:type="dxa"/>
          </w:tcPr>
          <w:p>
            <w:pPr>
              <w:jc w:val="center"/>
              <w:rPr>
                <w:rFonts w:ascii="Times New Roman" w:hAnsi="Times New Roman" w:eastAsia="宋体" w:cs="Times New Roman"/>
                <w:color w:val="auto"/>
                <w:kern w:val="0"/>
                <w:sz w:val="21"/>
                <w:szCs w:val="21"/>
              </w:rPr>
            </w:pPr>
          </w:p>
        </w:tc>
        <w:tc>
          <w:tcPr>
            <w:tcW w:w="786" w:type="dxa"/>
            <w:vAlign w:val="center"/>
          </w:tcPr>
          <w:p>
            <w:pPr>
              <w:spacing w:line="280" w:lineRule="exact"/>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9</w:t>
            </w:r>
          </w:p>
        </w:tc>
        <w:tc>
          <w:tcPr>
            <w:tcW w:w="567" w:type="dxa"/>
            <w:vMerge w:val="continue"/>
          </w:tcPr>
          <w:p>
            <w:pPr>
              <w:jc w:val="center"/>
              <w:rPr>
                <w:rFonts w:ascii="Times New Roman" w:hAnsi="Times New Roman" w:eastAsia="宋体" w:cs="Times New Roman"/>
                <w:color w:val="auto"/>
                <w:kern w:val="0"/>
                <w:sz w:val="21"/>
                <w:szCs w:val="21"/>
              </w:rPr>
            </w:pPr>
          </w:p>
        </w:tc>
        <w:tc>
          <w:tcPr>
            <w:tcW w:w="2126"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企业应编制设备检维修计划，并按计划开展检维修工作，检修计划应包括动设备、静设备、管道、建构筑物、防腐、保温等。</w:t>
            </w:r>
          </w:p>
        </w:tc>
        <w:tc>
          <w:tcPr>
            <w:tcW w:w="2410"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《关于加强化工过程安全管理的指导意见》（安监总管三〔2013〕88号）</w:t>
            </w:r>
          </w:p>
        </w:tc>
        <w:tc>
          <w:tcPr>
            <w:tcW w:w="1701" w:type="dxa"/>
            <w:vAlign w:val="center"/>
          </w:tcPr>
          <w:p>
            <w:pPr>
              <w:jc w:val="left"/>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查看企业是否制定了设备的年度、月度检维修计划，检维修计划是否全面、科学、合理，是否结合企业实际生产和年度大检修情况、应该涉及所有设备及主要设备的大中小检修。</w:t>
            </w:r>
          </w:p>
          <w:p>
            <w:pPr>
              <w:jc w:val="left"/>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随机抽查2份检维修记录，核实检维修过程中检修方案是否经过审批、设备技术交底是否进行、检维修后是否进行了验收，</w:t>
            </w:r>
          </w:p>
        </w:tc>
        <w:tc>
          <w:tcPr>
            <w:tcW w:w="1984" w:type="dxa"/>
          </w:tcPr>
          <w:p>
            <w:pPr>
              <w:jc w:val="center"/>
              <w:rPr>
                <w:rFonts w:ascii="Times New Roman" w:hAnsi="Times New Roman" w:eastAsia="宋体" w:cs="Times New Roman"/>
                <w:color w:val="auto"/>
                <w:kern w:val="0"/>
                <w:sz w:val="21"/>
                <w:szCs w:val="21"/>
              </w:rPr>
            </w:pPr>
          </w:p>
        </w:tc>
        <w:tc>
          <w:tcPr>
            <w:tcW w:w="1843" w:type="dxa"/>
          </w:tcPr>
          <w:p>
            <w:pPr>
              <w:jc w:val="center"/>
              <w:rPr>
                <w:rFonts w:ascii="Times New Roman" w:hAnsi="Times New Roman" w:eastAsia="宋体" w:cs="Times New Roman"/>
                <w:color w:val="auto"/>
                <w:kern w:val="0"/>
                <w:sz w:val="21"/>
                <w:szCs w:val="21"/>
              </w:rPr>
            </w:pPr>
          </w:p>
        </w:tc>
        <w:tc>
          <w:tcPr>
            <w:tcW w:w="2126" w:type="dxa"/>
          </w:tcPr>
          <w:p>
            <w:pPr>
              <w:jc w:val="center"/>
              <w:rPr>
                <w:rFonts w:ascii="Times New Roman" w:hAnsi="Times New Roman" w:eastAsia="宋体" w:cs="Times New Roman"/>
                <w:color w:val="auto"/>
                <w:kern w:val="0"/>
                <w:sz w:val="21"/>
                <w:szCs w:val="21"/>
              </w:rPr>
            </w:pPr>
          </w:p>
        </w:tc>
        <w:tc>
          <w:tcPr>
            <w:tcW w:w="709" w:type="dxa"/>
          </w:tcPr>
          <w:p>
            <w:pPr>
              <w:jc w:val="center"/>
              <w:rPr>
                <w:rFonts w:ascii="Times New Roman" w:hAnsi="Times New Roman" w:eastAsia="宋体" w:cs="Times New Roman"/>
                <w:color w:val="auto"/>
                <w:kern w:val="0"/>
                <w:sz w:val="21"/>
                <w:szCs w:val="21"/>
              </w:rPr>
            </w:pPr>
          </w:p>
        </w:tc>
        <w:tc>
          <w:tcPr>
            <w:tcW w:w="786" w:type="dxa"/>
            <w:vAlign w:val="center"/>
          </w:tcPr>
          <w:p>
            <w:pPr>
              <w:widowControl/>
              <w:spacing w:line="280" w:lineRule="exact"/>
              <w:jc w:val="center"/>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10</w:t>
            </w:r>
          </w:p>
        </w:tc>
        <w:tc>
          <w:tcPr>
            <w:tcW w:w="567" w:type="dxa"/>
            <w:vMerge w:val="continue"/>
          </w:tcPr>
          <w:p>
            <w:pPr>
              <w:jc w:val="center"/>
              <w:rPr>
                <w:rFonts w:ascii="Times New Roman" w:hAnsi="Times New Roman" w:eastAsia="宋体" w:cs="Times New Roman"/>
                <w:color w:val="auto"/>
                <w:kern w:val="0"/>
                <w:sz w:val="21"/>
                <w:szCs w:val="21"/>
              </w:rPr>
            </w:pPr>
          </w:p>
        </w:tc>
        <w:tc>
          <w:tcPr>
            <w:tcW w:w="2126"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安全设施应编入设备检维修计划，定期检维修。安全设施不得随意拆除、挪用或弃置不用，因检维修拆除的，检维修完毕后应立即复原。</w:t>
            </w:r>
          </w:p>
        </w:tc>
        <w:tc>
          <w:tcPr>
            <w:tcW w:w="2410" w:type="dxa"/>
            <w:vAlign w:val="center"/>
          </w:tcPr>
          <w:p>
            <w:pPr>
              <w:widowControl/>
              <w:spacing w:line="280" w:lineRule="exact"/>
              <w:jc w:val="center"/>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《安全生产法》</w:t>
            </w:r>
          </w:p>
          <w:p>
            <w:pPr>
              <w:widowControl/>
              <w:spacing w:line="280" w:lineRule="exact"/>
              <w:jc w:val="center"/>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第三十一条</w:t>
            </w:r>
          </w:p>
        </w:tc>
        <w:tc>
          <w:tcPr>
            <w:tcW w:w="1701" w:type="dxa"/>
            <w:vAlign w:val="center"/>
          </w:tcPr>
          <w:p>
            <w:pPr>
              <w:jc w:val="left"/>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查企业的设备管理制度是否有安全设施编入设备检维修计划、定期进行检维修的管理内容；安全设施不得随意拆除、挪用等相应管理规定。</w:t>
            </w:r>
          </w:p>
          <w:p>
            <w:pPr>
              <w:jc w:val="left"/>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查企业生产现场是否存在安全设施随意拆除、挪用或弃置不用现象。</w:t>
            </w:r>
          </w:p>
        </w:tc>
        <w:tc>
          <w:tcPr>
            <w:tcW w:w="1984" w:type="dxa"/>
          </w:tcPr>
          <w:p>
            <w:pPr>
              <w:jc w:val="center"/>
              <w:rPr>
                <w:rFonts w:ascii="Times New Roman" w:hAnsi="Times New Roman" w:eastAsia="宋体" w:cs="Times New Roman"/>
                <w:color w:val="auto"/>
                <w:kern w:val="0"/>
                <w:sz w:val="21"/>
                <w:szCs w:val="21"/>
              </w:rPr>
            </w:pPr>
          </w:p>
        </w:tc>
        <w:tc>
          <w:tcPr>
            <w:tcW w:w="1843" w:type="dxa"/>
          </w:tcPr>
          <w:p>
            <w:pPr>
              <w:jc w:val="center"/>
              <w:rPr>
                <w:rFonts w:ascii="Times New Roman" w:hAnsi="Times New Roman" w:eastAsia="宋体" w:cs="Times New Roman"/>
                <w:color w:val="auto"/>
                <w:kern w:val="0"/>
                <w:sz w:val="21"/>
                <w:szCs w:val="21"/>
              </w:rPr>
            </w:pPr>
          </w:p>
        </w:tc>
        <w:tc>
          <w:tcPr>
            <w:tcW w:w="2126" w:type="dxa"/>
          </w:tcPr>
          <w:p>
            <w:pPr>
              <w:jc w:val="center"/>
              <w:rPr>
                <w:rFonts w:ascii="Times New Roman" w:hAnsi="Times New Roman" w:eastAsia="宋体" w:cs="Times New Roman"/>
                <w:color w:val="auto"/>
                <w:kern w:val="0"/>
                <w:sz w:val="21"/>
                <w:szCs w:val="21"/>
              </w:rPr>
            </w:pPr>
          </w:p>
        </w:tc>
        <w:tc>
          <w:tcPr>
            <w:tcW w:w="709" w:type="dxa"/>
          </w:tcPr>
          <w:p>
            <w:pPr>
              <w:jc w:val="center"/>
              <w:rPr>
                <w:rFonts w:ascii="Times New Roman" w:hAnsi="Times New Roman" w:eastAsia="宋体" w:cs="Times New Roman"/>
                <w:color w:val="auto"/>
                <w:kern w:val="0"/>
                <w:sz w:val="21"/>
                <w:szCs w:val="21"/>
              </w:rPr>
            </w:pPr>
          </w:p>
        </w:tc>
        <w:tc>
          <w:tcPr>
            <w:tcW w:w="786" w:type="dxa"/>
            <w:vAlign w:val="center"/>
          </w:tcPr>
          <w:p>
            <w:pPr>
              <w:widowControl/>
              <w:spacing w:line="280" w:lineRule="exact"/>
              <w:jc w:val="center"/>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4"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11</w:t>
            </w:r>
          </w:p>
        </w:tc>
        <w:tc>
          <w:tcPr>
            <w:tcW w:w="567" w:type="dxa"/>
            <w:vMerge w:val="continue"/>
          </w:tcPr>
          <w:p>
            <w:pPr>
              <w:jc w:val="center"/>
              <w:rPr>
                <w:rFonts w:ascii="Times New Roman" w:hAnsi="Times New Roman" w:eastAsia="宋体" w:cs="Times New Roman"/>
                <w:color w:val="auto"/>
                <w:kern w:val="0"/>
                <w:sz w:val="21"/>
                <w:szCs w:val="21"/>
              </w:rPr>
            </w:pPr>
          </w:p>
        </w:tc>
        <w:tc>
          <w:tcPr>
            <w:tcW w:w="2126"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在涉及易燃、易爆、有毒介质设备和管线的排放口、采样口等排放部位，应通过加装盲板、丝堵、管帽、双阀等措施，减少泄漏的可能性。</w:t>
            </w:r>
          </w:p>
        </w:tc>
        <w:tc>
          <w:tcPr>
            <w:tcW w:w="2410"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《国家安全监管总局关于加强化工企业泄漏管理的指导意见》（安监总管三〔2014〕94 号）</w:t>
            </w:r>
          </w:p>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《石油化工金属管道布置设计规范》（SH/T 3012-2011）</w:t>
            </w:r>
          </w:p>
        </w:tc>
        <w:tc>
          <w:tcPr>
            <w:tcW w:w="1701" w:type="dxa"/>
            <w:vAlign w:val="center"/>
          </w:tcPr>
          <w:p>
            <w:pPr>
              <w:jc w:val="left"/>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现场核实涉及易燃、易爆、有毒介质设备和管线的排放口等排放部位是否加装防泄漏的措施。</w:t>
            </w:r>
          </w:p>
          <w:p>
            <w:pPr>
              <w:jc w:val="left"/>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抽样数要有一定的代表性，不能只查一处，典型的排放口有磁翻板液计下的排凝口、切水及脱水管口、可燃气体管线低部的排凝口、分液罐的排凝口等。</w:t>
            </w:r>
          </w:p>
        </w:tc>
        <w:tc>
          <w:tcPr>
            <w:tcW w:w="1984" w:type="dxa"/>
          </w:tcPr>
          <w:p>
            <w:pPr>
              <w:jc w:val="center"/>
              <w:rPr>
                <w:rFonts w:ascii="Times New Roman" w:hAnsi="Times New Roman" w:eastAsia="宋体" w:cs="Times New Roman"/>
                <w:color w:val="auto"/>
                <w:kern w:val="0"/>
                <w:sz w:val="21"/>
                <w:szCs w:val="21"/>
              </w:rPr>
            </w:pPr>
          </w:p>
        </w:tc>
        <w:tc>
          <w:tcPr>
            <w:tcW w:w="1843" w:type="dxa"/>
          </w:tcPr>
          <w:p>
            <w:pPr>
              <w:jc w:val="center"/>
              <w:rPr>
                <w:rFonts w:ascii="Times New Roman" w:hAnsi="Times New Roman" w:eastAsia="宋体" w:cs="Times New Roman"/>
                <w:color w:val="auto"/>
                <w:kern w:val="0"/>
                <w:sz w:val="21"/>
                <w:szCs w:val="21"/>
              </w:rPr>
            </w:pPr>
          </w:p>
        </w:tc>
        <w:tc>
          <w:tcPr>
            <w:tcW w:w="2126" w:type="dxa"/>
          </w:tcPr>
          <w:p>
            <w:pPr>
              <w:jc w:val="center"/>
              <w:rPr>
                <w:rFonts w:ascii="Times New Roman" w:hAnsi="Times New Roman" w:eastAsia="宋体" w:cs="Times New Roman"/>
                <w:color w:val="auto"/>
                <w:kern w:val="0"/>
                <w:sz w:val="21"/>
                <w:szCs w:val="21"/>
              </w:rPr>
            </w:pPr>
          </w:p>
        </w:tc>
        <w:tc>
          <w:tcPr>
            <w:tcW w:w="709" w:type="dxa"/>
          </w:tcPr>
          <w:p>
            <w:pPr>
              <w:jc w:val="center"/>
              <w:rPr>
                <w:rFonts w:ascii="Times New Roman" w:hAnsi="Times New Roman" w:eastAsia="宋体" w:cs="Times New Roman"/>
                <w:color w:val="auto"/>
                <w:kern w:val="0"/>
                <w:sz w:val="21"/>
                <w:szCs w:val="21"/>
              </w:rPr>
            </w:pPr>
          </w:p>
        </w:tc>
        <w:tc>
          <w:tcPr>
            <w:tcW w:w="786" w:type="dxa"/>
            <w:vAlign w:val="center"/>
          </w:tcPr>
          <w:p>
            <w:pPr>
              <w:widowControl/>
              <w:spacing w:line="280" w:lineRule="exact"/>
              <w:jc w:val="center"/>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12</w:t>
            </w:r>
          </w:p>
        </w:tc>
        <w:tc>
          <w:tcPr>
            <w:tcW w:w="567" w:type="dxa"/>
            <w:vMerge w:val="continue"/>
          </w:tcPr>
          <w:p>
            <w:pPr>
              <w:jc w:val="center"/>
              <w:rPr>
                <w:rFonts w:ascii="Times New Roman" w:hAnsi="Times New Roman" w:eastAsia="宋体" w:cs="Times New Roman"/>
                <w:color w:val="auto"/>
                <w:kern w:val="0"/>
                <w:sz w:val="21"/>
                <w:szCs w:val="21"/>
              </w:rPr>
            </w:pPr>
          </w:p>
        </w:tc>
        <w:tc>
          <w:tcPr>
            <w:tcW w:w="2126"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定期对涉及液态烃、高温油等泄漏后果严重的部位（如管道、设备、机泵等动、静密封点）进行泄漏检测，对泄漏部位及时维修或更换。在涉及易燃、易爆、有毒介质设备和管线的排放口、采样口等排放部位，应采取加装盲板、丝堵、管帽、双阀等措施。</w:t>
            </w:r>
          </w:p>
        </w:tc>
        <w:tc>
          <w:tcPr>
            <w:tcW w:w="2410"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《国家安全监管总局关于加强化工企业泄漏管理的指导意见》（安监总管三〔2014〕年94号）</w:t>
            </w:r>
          </w:p>
        </w:tc>
        <w:tc>
          <w:tcPr>
            <w:tcW w:w="1701" w:type="dxa"/>
            <w:vAlign w:val="center"/>
          </w:tcPr>
          <w:p>
            <w:pPr>
              <w:jc w:val="left"/>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 xml:space="preserve">查阅设备防泄漏管理制度，是否有定期对涉及液态烃、高温油等泄漏后果严重的部位（如管道、设备、机泵等动、静密封点）进行泄漏检测的相关要求。 </w:t>
            </w:r>
          </w:p>
          <w:p>
            <w:pPr>
              <w:jc w:val="left"/>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查看检测记录和维修记录，是否按照设备管理制度的要求进行了泄漏检测，对泄漏部位及时进行处理。</w:t>
            </w:r>
          </w:p>
        </w:tc>
        <w:tc>
          <w:tcPr>
            <w:tcW w:w="1984" w:type="dxa"/>
          </w:tcPr>
          <w:p>
            <w:pPr>
              <w:jc w:val="center"/>
              <w:rPr>
                <w:rFonts w:ascii="Times New Roman" w:hAnsi="Times New Roman" w:eastAsia="宋体" w:cs="Times New Roman"/>
                <w:color w:val="auto"/>
                <w:kern w:val="0"/>
                <w:sz w:val="21"/>
                <w:szCs w:val="21"/>
              </w:rPr>
            </w:pPr>
          </w:p>
        </w:tc>
        <w:tc>
          <w:tcPr>
            <w:tcW w:w="1843" w:type="dxa"/>
          </w:tcPr>
          <w:p>
            <w:pPr>
              <w:jc w:val="center"/>
              <w:rPr>
                <w:rFonts w:ascii="Times New Roman" w:hAnsi="Times New Roman" w:eastAsia="宋体" w:cs="Times New Roman"/>
                <w:color w:val="auto"/>
                <w:kern w:val="0"/>
                <w:sz w:val="21"/>
                <w:szCs w:val="21"/>
              </w:rPr>
            </w:pPr>
          </w:p>
        </w:tc>
        <w:tc>
          <w:tcPr>
            <w:tcW w:w="2126" w:type="dxa"/>
          </w:tcPr>
          <w:p>
            <w:pPr>
              <w:jc w:val="center"/>
              <w:rPr>
                <w:rFonts w:ascii="Times New Roman" w:hAnsi="Times New Roman" w:eastAsia="宋体" w:cs="Times New Roman"/>
                <w:color w:val="auto"/>
                <w:kern w:val="0"/>
                <w:sz w:val="21"/>
                <w:szCs w:val="21"/>
              </w:rPr>
            </w:pPr>
          </w:p>
        </w:tc>
        <w:tc>
          <w:tcPr>
            <w:tcW w:w="709" w:type="dxa"/>
          </w:tcPr>
          <w:p>
            <w:pPr>
              <w:jc w:val="center"/>
              <w:rPr>
                <w:rFonts w:ascii="Times New Roman" w:hAnsi="Times New Roman" w:eastAsia="宋体" w:cs="Times New Roman"/>
                <w:color w:val="auto"/>
                <w:kern w:val="0"/>
                <w:sz w:val="21"/>
                <w:szCs w:val="21"/>
              </w:rPr>
            </w:pPr>
          </w:p>
        </w:tc>
        <w:tc>
          <w:tcPr>
            <w:tcW w:w="786" w:type="dxa"/>
            <w:vAlign w:val="center"/>
          </w:tcPr>
          <w:p>
            <w:pPr>
              <w:widowControl/>
              <w:spacing w:line="280" w:lineRule="exact"/>
              <w:jc w:val="center"/>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13</w:t>
            </w:r>
          </w:p>
        </w:tc>
        <w:tc>
          <w:tcPr>
            <w:tcW w:w="567" w:type="dxa"/>
            <w:vMerge w:val="continue"/>
          </w:tcPr>
          <w:p>
            <w:pPr>
              <w:jc w:val="center"/>
              <w:rPr>
                <w:rFonts w:ascii="Times New Roman" w:hAnsi="Times New Roman" w:eastAsia="宋体" w:cs="Times New Roman"/>
                <w:color w:val="auto"/>
                <w:kern w:val="0"/>
                <w:sz w:val="21"/>
                <w:szCs w:val="21"/>
              </w:rPr>
            </w:pPr>
          </w:p>
        </w:tc>
        <w:tc>
          <w:tcPr>
            <w:tcW w:w="2126"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企业应加强防腐蚀管理，涉及腐蚀性介质的设备设施应采取适当的防腐蚀措施，加强壁厚检测，明确测厚方法、测厚点部位、检测频次、责任人及记录要求，定期评估防腐效果。其中，多晶硅企业应对换热器中氯硅烷泄漏异常情况进行检测。</w:t>
            </w:r>
          </w:p>
        </w:tc>
        <w:tc>
          <w:tcPr>
            <w:tcW w:w="2410"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《国家安全监管总局关于加强化工企业泄漏管理的指导意见》（安监总管三〔2014〕94 号）</w:t>
            </w:r>
          </w:p>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《化工过程安全管理导则》AQ/T3034-2022</w:t>
            </w:r>
          </w:p>
        </w:tc>
        <w:tc>
          <w:tcPr>
            <w:tcW w:w="1701" w:type="dxa"/>
            <w:vAlign w:val="center"/>
          </w:tcPr>
          <w:p>
            <w:pPr>
              <w:jc w:val="left"/>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 xml:space="preserve">查阅设备防腐蚀管理制度，核实内容是否齐全、职责是否清晰、检查部位和检测周期是否明确。 </w:t>
            </w:r>
          </w:p>
          <w:p>
            <w:pPr>
              <w:jc w:val="left"/>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 xml:space="preserve">查阅测厚监测记录、访谈设备管理人员，确认企业是否按照要求对易腐蚀、易磨损的容器及管道定期测厚，并根据监测结果进行统计分析，对腐蚀严重的高风险设备是否制定控制措施并核实控制措施的有效性。 </w:t>
            </w:r>
          </w:p>
          <w:p>
            <w:pPr>
              <w:jc w:val="left"/>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查企业生产现场设备及管道腐蚀情况，验证企业防腐蚀管理效果。</w:t>
            </w:r>
          </w:p>
        </w:tc>
        <w:tc>
          <w:tcPr>
            <w:tcW w:w="1984" w:type="dxa"/>
          </w:tcPr>
          <w:p>
            <w:pPr>
              <w:jc w:val="center"/>
              <w:rPr>
                <w:rFonts w:ascii="Times New Roman" w:hAnsi="Times New Roman" w:eastAsia="宋体" w:cs="Times New Roman"/>
                <w:color w:val="auto"/>
                <w:kern w:val="0"/>
                <w:sz w:val="21"/>
                <w:szCs w:val="21"/>
              </w:rPr>
            </w:pPr>
          </w:p>
        </w:tc>
        <w:tc>
          <w:tcPr>
            <w:tcW w:w="1843" w:type="dxa"/>
          </w:tcPr>
          <w:p>
            <w:pPr>
              <w:jc w:val="center"/>
              <w:rPr>
                <w:rFonts w:ascii="Times New Roman" w:hAnsi="Times New Roman" w:eastAsia="宋体" w:cs="Times New Roman"/>
                <w:color w:val="auto"/>
                <w:kern w:val="0"/>
                <w:sz w:val="21"/>
                <w:szCs w:val="21"/>
              </w:rPr>
            </w:pPr>
          </w:p>
        </w:tc>
        <w:tc>
          <w:tcPr>
            <w:tcW w:w="2126" w:type="dxa"/>
          </w:tcPr>
          <w:p>
            <w:pPr>
              <w:jc w:val="center"/>
              <w:rPr>
                <w:rFonts w:ascii="Times New Roman" w:hAnsi="Times New Roman" w:eastAsia="宋体" w:cs="Times New Roman"/>
                <w:color w:val="auto"/>
                <w:kern w:val="0"/>
                <w:sz w:val="21"/>
                <w:szCs w:val="21"/>
              </w:rPr>
            </w:pPr>
          </w:p>
        </w:tc>
        <w:tc>
          <w:tcPr>
            <w:tcW w:w="709" w:type="dxa"/>
          </w:tcPr>
          <w:p>
            <w:pPr>
              <w:jc w:val="center"/>
              <w:rPr>
                <w:rFonts w:ascii="Times New Roman" w:hAnsi="Times New Roman" w:eastAsia="宋体" w:cs="Times New Roman"/>
                <w:color w:val="auto"/>
                <w:kern w:val="0"/>
                <w:sz w:val="21"/>
                <w:szCs w:val="21"/>
              </w:rPr>
            </w:pPr>
          </w:p>
        </w:tc>
        <w:tc>
          <w:tcPr>
            <w:tcW w:w="786" w:type="dxa"/>
            <w:vAlign w:val="center"/>
          </w:tcPr>
          <w:p>
            <w:pPr>
              <w:widowControl/>
              <w:spacing w:line="280" w:lineRule="exact"/>
              <w:jc w:val="center"/>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14</w:t>
            </w:r>
          </w:p>
        </w:tc>
        <w:tc>
          <w:tcPr>
            <w:tcW w:w="567" w:type="dxa"/>
            <w:vMerge w:val="continue"/>
          </w:tcPr>
          <w:p>
            <w:pPr>
              <w:jc w:val="center"/>
              <w:rPr>
                <w:rFonts w:ascii="Times New Roman" w:hAnsi="Times New Roman" w:eastAsia="宋体" w:cs="Times New Roman"/>
                <w:color w:val="auto"/>
                <w:kern w:val="0"/>
                <w:sz w:val="21"/>
                <w:szCs w:val="21"/>
              </w:rPr>
            </w:pPr>
          </w:p>
        </w:tc>
        <w:tc>
          <w:tcPr>
            <w:tcW w:w="2126"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可燃气体压缩机、液化烃、可燃液体泵不得使用皮带传动。在爆炸危险区域内的其他传动设备若必须使用皮带传动时，应使用防静电皮带。</w:t>
            </w:r>
          </w:p>
        </w:tc>
        <w:tc>
          <w:tcPr>
            <w:tcW w:w="2410"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《石油化工企业设计防火标准（2018年版）》GB50160-2008第5.7.7条</w:t>
            </w:r>
          </w:p>
        </w:tc>
        <w:tc>
          <w:tcPr>
            <w:tcW w:w="1701"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查看现场</w:t>
            </w:r>
          </w:p>
        </w:tc>
        <w:tc>
          <w:tcPr>
            <w:tcW w:w="1984" w:type="dxa"/>
          </w:tcPr>
          <w:p>
            <w:pPr>
              <w:jc w:val="center"/>
              <w:rPr>
                <w:rFonts w:ascii="Times New Roman" w:hAnsi="Times New Roman" w:eastAsia="宋体" w:cs="Times New Roman"/>
                <w:color w:val="auto"/>
                <w:kern w:val="0"/>
                <w:sz w:val="21"/>
                <w:szCs w:val="21"/>
              </w:rPr>
            </w:pPr>
          </w:p>
        </w:tc>
        <w:tc>
          <w:tcPr>
            <w:tcW w:w="1843" w:type="dxa"/>
          </w:tcPr>
          <w:p>
            <w:pPr>
              <w:jc w:val="center"/>
              <w:rPr>
                <w:rFonts w:ascii="Times New Roman" w:hAnsi="Times New Roman" w:eastAsia="宋体" w:cs="Times New Roman"/>
                <w:color w:val="auto"/>
                <w:kern w:val="0"/>
                <w:sz w:val="21"/>
                <w:szCs w:val="21"/>
              </w:rPr>
            </w:pPr>
          </w:p>
        </w:tc>
        <w:tc>
          <w:tcPr>
            <w:tcW w:w="2126" w:type="dxa"/>
          </w:tcPr>
          <w:p>
            <w:pPr>
              <w:jc w:val="center"/>
              <w:rPr>
                <w:rFonts w:ascii="Times New Roman" w:hAnsi="Times New Roman" w:eastAsia="宋体" w:cs="Times New Roman"/>
                <w:color w:val="auto"/>
                <w:kern w:val="0"/>
                <w:sz w:val="21"/>
                <w:szCs w:val="21"/>
              </w:rPr>
            </w:pPr>
          </w:p>
        </w:tc>
        <w:tc>
          <w:tcPr>
            <w:tcW w:w="709" w:type="dxa"/>
          </w:tcPr>
          <w:p>
            <w:pPr>
              <w:jc w:val="center"/>
              <w:rPr>
                <w:rFonts w:ascii="Times New Roman" w:hAnsi="Times New Roman" w:eastAsia="宋体" w:cs="Times New Roman"/>
                <w:color w:val="auto"/>
                <w:kern w:val="0"/>
                <w:sz w:val="21"/>
                <w:szCs w:val="21"/>
              </w:rPr>
            </w:pPr>
          </w:p>
        </w:tc>
        <w:tc>
          <w:tcPr>
            <w:tcW w:w="786" w:type="dxa"/>
            <w:vAlign w:val="center"/>
          </w:tcPr>
          <w:p>
            <w:pPr>
              <w:widowControl/>
              <w:spacing w:line="280" w:lineRule="exact"/>
              <w:jc w:val="center"/>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B级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4"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15</w:t>
            </w:r>
          </w:p>
        </w:tc>
        <w:tc>
          <w:tcPr>
            <w:tcW w:w="567" w:type="dxa"/>
            <w:vMerge w:val="continue"/>
          </w:tcPr>
          <w:p>
            <w:pPr>
              <w:jc w:val="center"/>
              <w:rPr>
                <w:rFonts w:ascii="Times New Roman" w:hAnsi="Times New Roman" w:eastAsia="宋体" w:cs="Times New Roman"/>
                <w:color w:val="auto"/>
                <w:kern w:val="0"/>
                <w:sz w:val="21"/>
                <w:szCs w:val="21"/>
              </w:rPr>
            </w:pPr>
          </w:p>
        </w:tc>
        <w:tc>
          <w:tcPr>
            <w:tcW w:w="2126"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以作业人员的操作位置所在平面为基准.凡高度在2m之内的所有传动带、转轴、传动链、联轴节、带轮、齿轮、飞轮、链轮、电锯等外露危险零部件及危险部位，均应设置安全卫生防护装置。</w:t>
            </w:r>
          </w:p>
        </w:tc>
        <w:tc>
          <w:tcPr>
            <w:tcW w:w="2410"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《生产设备安全卫生设计总则》GB 5083-2023第6.1.5条</w:t>
            </w:r>
          </w:p>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《带式输送机安全规范》GB14784-2013第4.1.11条</w:t>
            </w:r>
          </w:p>
        </w:tc>
        <w:tc>
          <w:tcPr>
            <w:tcW w:w="1701" w:type="dxa"/>
            <w:vAlign w:val="center"/>
          </w:tcPr>
          <w:p>
            <w:pPr>
              <w:jc w:val="left"/>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 xml:space="preserve">检查转动设备的转动部位是否有可靠的安全防护装置。 </w:t>
            </w:r>
          </w:p>
          <w:p>
            <w:pPr>
              <w:jc w:val="left"/>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对于转动设备原厂配置的安全防护装置不符合要求时，也应进行整改。</w:t>
            </w:r>
          </w:p>
        </w:tc>
        <w:tc>
          <w:tcPr>
            <w:tcW w:w="1984" w:type="dxa"/>
          </w:tcPr>
          <w:p>
            <w:pPr>
              <w:jc w:val="center"/>
              <w:rPr>
                <w:rFonts w:ascii="Times New Roman" w:hAnsi="Times New Roman" w:eastAsia="宋体" w:cs="Times New Roman"/>
                <w:color w:val="auto"/>
                <w:kern w:val="0"/>
                <w:sz w:val="21"/>
                <w:szCs w:val="21"/>
              </w:rPr>
            </w:pPr>
          </w:p>
        </w:tc>
        <w:tc>
          <w:tcPr>
            <w:tcW w:w="1843" w:type="dxa"/>
          </w:tcPr>
          <w:p>
            <w:pPr>
              <w:jc w:val="center"/>
              <w:rPr>
                <w:rFonts w:ascii="Times New Roman" w:hAnsi="Times New Roman" w:eastAsia="宋体" w:cs="Times New Roman"/>
                <w:color w:val="auto"/>
                <w:kern w:val="0"/>
                <w:sz w:val="21"/>
                <w:szCs w:val="21"/>
              </w:rPr>
            </w:pPr>
          </w:p>
        </w:tc>
        <w:tc>
          <w:tcPr>
            <w:tcW w:w="2126" w:type="dxa"/>
          </w:tcPr>
          <w:p>
            <w:pPr>
              <w:jc w:val="center"/>
              <w:rPr>
                <w:rFonts w:ascii="Times New Roman" w:hAnsi="Times New Roman" w:eastAsia="宋体" w:cs="Times New Roman"/>
                <w:color w:val="auto"/>
                <w:kern w:val="0"/>
                <w:sz w:val="21"/>
                <w:szCs w:val="21"/>
              </w:rPr>
            </w:pPr>
          </w:p>
        </w:tc>
        <w:tc>
          <w:tcPr>
            <w:tcW w:w="709" w:type="dxa"/>
          </w:tcPr>
          <w:p>
            <w:pPr>
              <w:jc w:val="center"/>
              <w:rPr>
                <w:rFonts w:ascii="Times New Roman" w:hAnsi="Times New Roman" w:eastAsia="宋体" w:cs="Times New Roman"/>
                <w:color w:val="auto"/>
                <w:kern w:val="0"/>
                <w:sz w:val="21"/>
                <w:szCs w:val="21"/>
              </w:rPr>
            </w:pPr>
          </w:p>
        </w:tc>
        <w:tc>
          <w:tcPr>
            <w:tcW w:w="786" w:type="dxa"/>
            <w:vAlign w:val="center"/>
          </w:tcPr>
          <w:p>
            <w:pPr>
              <w:widowControl/>
              <w:spacing w:line="280" w:lineRule="exact"/>
              <w:jc w:val="center"/>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16</w:t>
            </w:r>
          </w:p>
        </w:tc>
        <w:tc>
          <w:tcPr>
            <w:tcW w:w="567" w:type="dxa"/>
            <w:vMerge w:val="restart"/>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静设备</w:t>
            </w:r>
          </w:p>
        </w:tc>
        <w:tc>
          <w:tcPr>
            <w:tcW w:w="2126"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企业应定期对储罐进行全面检查。</w:t>
            </w:r>
          </w:p>
        </w:tc>
        <w:tc>
          <w:tcPr>
            <w:tcW w:w="2410"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《危险化学品企业安全风险隐患排查治理导则》(应急[2019]78号)</w:t>
            </w:r>
          </w:p>
        </w:tc>
        <w:tc>
          <w:tcPr>
            <w:tcW w:w="1701" w:type="dxa"/>
            <w:vAlign w:val="center"/>
          </w:tcPr>
          <w:p>
            <w:pPr>
              <w:jc w:val="left"/>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 xml:space="preserve">查阅企业储罐的管理制度，了解储罐的检查周期、检查内容、检查标准。 </w:t>
            </w:r>
          </w:p>
          <w:p>
            <w:pPr>
              <w:jc w:val="left"/>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查阅储罐检查计划、检查记录，核实检查计划是否落实，并确认罐顶和罐壁变形、罐底边缘板及外角焊缝腐蚀测厚数据的有效性，核实企业是否对测厚数据低于标准的储罐进行了原因分析和制定控制措施。</w:t>
            </w:r>
          </w:p>
        </w:tc>
        <w:tc>
          <w:tcPr>
            <w:tcW w:w="1984" w:type="dxa"/>
          </w:tcPr>
          <w:p>
            <w:pPr>
              <w:jc w:val="center"/>
              <w:rPr>
                <w:rFonts w:ascii="Times New Roman" w:hAnsi="Times New Roman" w:eastAsia="宋体" w:cs="Times New Roman"/>
                <w:color w:val="auto"/>
                <w:kern w:val="0"/>
                <w:sz w:val="21"/>
                <w:szCs w:val="21"/>
              </w:rPr>
            </w:pPr>
          </w:p>
        </w:tc>
        <w:tc>
          <w:tcPr>
            <w:tcW w:w="1843" w:type="dxa"/>
          </w:tcPr>
          <w:p>
            <w:pPr>
              <w:jc w:val="center"/>
              <w:rPr>
                <w:rFonts w:ascii="Times New Roman" w:hAnsi="Times New Roman" w:eastAsia="宋体" w:cs="Times New Roman"/>
                <w:color w:val="auto"/>
                <w:kern w:val="0"/>
                <w:sz w:val="21"/>
                <w:szCs w:val="21"/>
              </w:rPr>
            </w:pPr>
          </w:p>
        </w:tc>
        <w:tc>
          <w:tcPr>
            <w:tcW w:w="2126" w:type="dxa"/>
          </w:tcPr>
          <w:p>
            <w:pPr>
              <w:jc w:val="center"/>
              <w:rPr>
                <w:rFonts w:ascii="Times New Roman" w:hAnsi="Times New Roman" w:eastAsia="宋体" w:cs="Times New Roman"/>
                <w:color w:val="auto"/>
                <w:kern w:val="0"/>
                <w:sz w:val="21"/>
                <w:szCs w:val="21"/>
              </w:rPr>
            </w:pPr>
          </w:p>
        </w:tc>
        <w:tc>
          <w:tcPr>
            <w:tcW w:w="709" w:type="dxa"/>
          </w:tcPr>
          <w:p>
            <w:pPr>
              <w:jc w:val="center"/>
              <w:rPr>
                <w:rFonts w:ascii="Times New Roman" w:hAnsi="Times New Roman" w:eastAsia="宋体" w:cs="Times New Roman"/>
                <w:color w:val="auto"/>
                <w:kern w:val="0"/>
                <w:sz w:val="21"/>
                <w:szCs w:val="21"/>
              </w:rPr>
            </w:pPr>
          </w:p>
        </w:tc>
        <w:tc>
          <w:tcPr>
            <w:tcW w:w="786" w:type="dxa"/>
            <w:vAlign w:val="center"/>
          </w:tcPr>
          <w:p>
            <w:pPr>
              <w:widowControl/>
              <w:spacing w:line="280" w:lineRule="exact"/>
              <w:jc w:val="center"/>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17</w:t>
            </w:r>
          </w:p>
        </w:tc>
        <w:tc>
          <w:tcPr>
            <w:tcW w:w="567" w:type="dxa"/>
            <w:vMerge w:val="continue"/>
          </w:tcPr>
          <w:p>
            <w:pPr>
              <w:jc w:val="center"/>
              <w:rPr>
                <w:rFonts w:ascii="Times New Roman" w:hAnsi="Times New Roman" w:eastAsia="宋体" w:cs="Times New Roman"/>
                <w:color w:val="auto"/>
                <w:kern w:val="0"/>
                <w:sz w:val="21"/>
                <w:szCs w:val="21"/>
              </w:rPr>
            </w:pPr>
          </w:p>
        </w:tc>
        <w:tc>
          <w:tcPr>
            <w:tcW w:w="2126"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设备、设施、管道、管件、呼吸阀（液压安全阀）、阻火器、通气管等选型、材质、安装等应符合设计文件要求，并处于完好投用状态。</w:t>
            </w:r>
          </w:p>
        </w:tc>
        <w:tc>
          <w:tcPr>
            <w:tcW w:w="2410"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《关于加强化工过程安全管理的指导意见》（安监总管三〔2013〕88号）第十二条</w:t>
            </w:r>
          </w:p>
        </w:tc>
        <w:tc>
          <w:tcPr>
            <w:tcW w:w="1701" w:type="dxa"/>
            <w:vAlign w:val="center"/>
          </w:tcPr>
          <w:p>
            <w:pPr>
              <w:jc w:val="left"/>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查阅检查维护记录、现场</w:t>
            </w:r>
          </w:p>
        </w:tc>
        <w:tc>
          <w:tcPr>
            <w:tcW w:w="1984" w:type="dxa"/>
          </w:tcPr>
          <w:p>
            <w:pPr>
              <w:jc w:val="center"/>
              <w:rPr>
                <w:rFonts w:ascii="Times New Roman" w:hAnsi="Times New Roman" w:eastAsia="宋体" w:cs="Times New Roman"/>
                <w:color w:val="auto"/>
                <w:kern w:val="0"/>
                <w:sz w:val="21"/>
                <w:szCs w:val="21"/>
              </w:rPr>
            </w:pPr>
          </w:p>
        </w:tc>
        <w:tc>
          <w:tcPr>
            <w:tcW w:w="1843" w:type="dxa"/>
          </w:tcPr>
          <w:p>
            <w:pPr>
              <w:jc w:val="center"/>
              <w:rPr>
                <w:rFonts w:ascii="Times New Roman" w:hAnsi="Times New Roman" w:eastAsia="宋体" w:cs="Times New Roman"/>
                <w:color w:val="auto"/>
                <w:kern w:val="0"/>
                <w:sz w:val="21"/>
                <w:szCs w:val="21"/>
              </w:rPr>
            </w:pPr>
          </w:p>
        </w:tc>
        <w:tc>
          <w:tcPr>
            <w:tcW w:w="2126" w:type="dxa"/>
          </w:tcPr>
          <w:p>
            <w:pPr>
              <w:jc w:val="center"/>
              <w:rPr>
                <w:rFonts w:ascii="Times New Roman" w:hAnsi="Times New Roman" w:eastAsia="宋体" w:cs="Times New Roman"/>
                <w:color w:val="auto"/>
                <w:kern w:val="0"/>
                <w:sz w:val="21"/>
                <w:szCs w:val="21"/>
              </w:rPr>
            </w:pPr>
          </w:p>
        </w:tc>
        <w:tc>
          <w:tcPr>
            <w:tcW w:w="709" w:type="dxa"/>
          </w:tcPr>
          <w:p>
            <w:pPr>
              <w:jc w:val="center"/>
              <w:rPr>
                <w:rFonts w:ascii="Times New Roman" w:hAnsi="Times New Roman" w:eastAsia="宋体" w:cs="Times New Roman"/>
                <w:color w:val="auto"/>
                <w:kern w:val="0"/>
                <w:sz w:val="21"/>
                <w:szCs w:val="21"/>
              </w:rPr>
            </w:pPr>
          </w:p>
        </w:tc>
        <w:tc>
          <w:tcPr>
            <w:tcW w:w="786" w:type="dxa"/>
            <w:vAlign w:val="center"/>
          </w:tcPr>
          <w:p>
            <w:pPr>
              <w:widowControl/>
              <w:spacing w:line="280" w:lineRule="exact"/>
              <w:jc w:val="center"/>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B级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18</w:t>
            </w:r>
          </w:p>
        </w:tc>
        <w:tc>
          <w:tcPr>
            <w:tcW w:w="567" w:type="dxa"/>
            <w:vMerge w:val="continue"/>
            <w:vAlign w:val="center"/>
          </w:tcPr>
          <w:p>
            <w:pPr>
              <w:jc w:val="center"/>
              <w:rPr>
                <w:rFonts w:ascii="Times New Roman" w:hAnsi="Times New Roman" w:eastAsia="宋体" w:cs="Times New Roman"/>
                <w:color w:val="auto"/>
                <w:kern w:val="0"/>
                <w:sz w:val="21"/>
                <w:szCs w:val="21"/>
              </w:rPr>
            </w:pPr>
          </w:p>
        </w:tc>
        <w:tc>
          <w:tcPr>
            <w:tcW w:w="2126"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锅炉、压力容器、压力管道、电梯、起重机械、场（厂）内专用机动车辆等特种设备应建立检测检验计划及台账，并按要求定期检测检验，特种设备不得超检验有效期使用。</w:t>
            </w:r>
          </w:p>
        </w:tc>
        <w:tc>
          <w:tcPr>
            <w:tcW w:w="2410" w:type="dxa"/>
            <w:vAlign w:val="bottom"/>
          </w:tcPr>
          <w:p>
            <w:pPr>
              <w:widowControl/>
              <w:spacing w:line="280" w:lineRule="exact"/>
              <w:textAlignment w:val="bottom"/>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《固定式压力容器安全技术监察规程》TSG21-2016</w:t>
            </w:r>
          </w:p>
          <w:p>
            <w:pPr>
              <w:widowControl/>
              <w:spacing w:line="280" w:lineRule="exact"/>
              <w:textAlignment w:val="bottom"/>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《压力管道安全技术监察规程-工业管道》TSGD0001-2009</w:t>
            </w:r>
          </w:p>
          <w:p>
            <w:pPr>
              <w:widowControl/>
              <w:spacing w:line="280" w:lineRule="exact"/>
              <w:textAlignment w:val="bottom"/>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《特种设备使用管理规则》TSG08-2026</w:t>
            </w:r>
          </w:p>
        </w:tc>
        <w:tc>
          <w:tcPr>
            <w:tcW w:w="1701"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查台账记录</w:t>
            </w:r>
          </w:p>
        </w:tc>
        <w:tc>
          <w:tcPr>
            <w:tcW w:w="1984" w:type="dxa"/>
          </w:tcPr>
          <w:p>
            <w:pPr>
              <w:jc w:val="center"/>
              <w:rPr>
                <w:rFonts w:ascii="Times New Roman" w:hAnsi="Times New Roman" w:eastAsia="宋体" w:cs="Times New Roman"/>
                <w:color w:val="auto"/>
                <w:kern w:val="0"/>
                <w:sz w:val="21"/>
                <w:szCs w:val="21"/>
              </w:rPr>
            </w:pPr>
          </w:p>
        </w:tc>
        <w:tc>
          <w:tcPr>
            <w:tcW w:w="1843" w:type="dxa"/>
          </w:tcPr>
          <w:p>
            <w:pPr>
              <w:jc w:val="center"/>
              <w:rPr>
                <w:rFonts w:ascii="Times New Roman" w:hAnsi="Times New Roman" w:eastAsia="宋体" w:cs="Times New Roman"/>
                <w:color w:val="auto"/>
                <w:kern w:val="0"/>
                <w:sz w:val="21"/>
                <w:szCs w:val="21"/>
              </w:rPr>
            </w:pPr>
          </w:p>
        </w:tc>
        <w:tc>
          <w:tcPr>
            <w:tcW w:w="2126" w:type="dxa"/>
          </w:tcPr>
          <w:p>
            <w:pPr>
              <w:jc w:val="center"/>
              <w:rPr>
                <w:rFonts w:ascii="Times New Roman" w:hAnsi="Times New Roman" w:eastAsia="宋体" w:cs="Times New Roman"/>
                <w:color w:val="auto"/>
                <w:kern w:val="0"/>
                <w:sz w:val="21"/>
                <w:szCs w:val="21"/>
              </w:rPr>
            </w:pPr>
          </w:p>
        </w:tc>
        <w:tc>
          <w:tcPr>
            <w:tcW w:w="709" w:type="dxa"/>
          </w:tcPr>
          <w:p>
            <w:pPr>
              <w:jc w:val="center"/>
              <w:rPr>
                <w:rFonts w:ascii="Times New Roman" w:hAnsi="Times New Roman" w:eastAsia="宋体" w:cs="Times New Roman"/>
                <w:color w:val="auto"/>
                <w:kern w:val="0"/>
                <w:sz w:val="21"/>
                <w:szCs w:val="21"/>
              </w:rPr>
            </w:pPr>
          </w:p>
        </w:tc>
        <w:tc>
          <w:tcPr>
            <w:tcW w:w="786" w:type="dxa"/>
            <w:vAlign w:val="center"/>
          </w:tcPr>
          <w:p>
            <w:pPr>
              <w:widowControl/>
              <w:spacing w:line="280" w:lineRule="exact"/>
              <w:jc w:val="center"/>
              <w:textAlignment w:val="bottom"/>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4"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19</w:t>
            </w:r>
          </w:p>
        </w:tc>
        <w:tc>
          <w:tcPr>
            <w:tcW w:w="567" w:type="dxa"/>
            <w:vMerge w:val="continue"/>
          </w:tcPr>
          <w:p>
            <w:pPr>
              <w:jc w:val="center"/>
              <w:rPr>
                <w:rFonts w:ascii="Times New Roman" w:hAnsi="Times New Roman" w:eastAsia="宋体" w:cs="Times New Roman"/>
                <w:color w:val="auto"/>
                <w:kern w:val="0"/>
                <w:sz w:val="21"/>
                <w:szCs w:val="21"/>
              </w:rPr>
            </w:pPr>
          </w:p>
        </w:tc>
        <w:tc>
          <w:tcPr>
            <w:tcW w:w="2126"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涉及甲类、剧毒物料的压力管道、管道元件（弯头、法兰、变径等）采用打“卡具”等临时堵漏措施继续运行。</w:t>
            </w:r>
          </w:p>
        </w:tc>
        <w:tc>
          <w:tcPr>
            <w:tcW w:w="2410"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《化工和危险化学品生产经营企业重大生产安全事故隐患判定准则》（AQ 3067-2026）第5.5.10条</w:t>
            </w:r>
          </w:p>
        </w:tc>
        <w:tc>
          <w:tcPr>
            <w:tcW w:w="1701"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查现场</w:t>
            </w:r>
          </w:p>
        </w:tc>
        <w:tc>
          <w:tcPr>
            <w:tcW w:w="1984" w:type="dxa"/>
          </w:tcPr>
          <w:p>
            <w:pPr>
              <w:jc w:val="center"/>
              <w:rPr>
                <w:rFonts w:ascii="Times New Roman" w:hAnsi="Times New Roman" w:eastAsia="宋体" w:cs="Times New Roman"/>
                <w:color w:val="auto"/>
                <w:kern w:val="0"/>
                <w:sz w:val="21"/>
                <w:szCs w:val="21"/>
              </w:rPr>
            </w:pPr>
          </w:p>
        </w:tc>
        <w:tc>
          <w:tcPr>
            <w:tcW w:w="1843" w:type="dxa"/>
          </w:tcPr>
          <w:p>
            <w:pPr>
              <w:jc w:val="center"/>
              <w:rPr>
                <w:rFonts w:ascii="Times New Roman" w:hAnsi="Times New Roman" w:eastAsia="宋体" w:cs="Times New Roman"/>
                <w:color w:val="auto"/>
                <w:kern w:val="0"/>
                <w:sz w:val="21"/>
                <w:szCs w:val="21"/>
              </w:rPr>
            </w:pPr>
          </w:p>
        </w:tc>
        <w:tc>
          <w:tcPr>
            <w:tcW w:w="2126" w:type="dxa"/>
          </w:tcPr>
          <w:p>
            <w:pPr>
              <w:jc w:val="center"/>
              <w:rPr>
                <w:rFonts w:ascii="Times New Roman" w:hAnsi="Times New Roman" w:eastAsia="宋体" w:cs="Times New Roman"/>
                <w:color w:val="auto"/>
                <w:kern w:val="0"/>
                <w:sz w:val="21"/>
                <w:szCs w:val="21"/>
              </w:rPr>
            </w:pPr>
          </w:p>
        </w:tc>
        <w:tc>
          <w:tcPr>
            <w:tcW w:w="709" w:type="dxa"/>
          </w:tcPr>
          <w:p>
            <w:pPr>
              <w:jc w:val="center"/>
              <w:rPr>
                <w:rFonts w:ascii="Times New Roman" w:hAnsi="Times New Roman" w:eastAsia="宋体" w:cs="Times New Roman"/>
                <w:color w:val="auto"/>
                <w:kern w:val="0"/>
                <w:sz w:val="21"/>
                <w:szCs w:val="21"/>
              </w:rPr>
            </w:pPr>
          </w:p>
        </w:tc>
        <w:tc>
          <w:tcPr>
            <w:tcW w:w="786" w:type="dxa"/>
            <w:vAlign w:val="center"/>
          </w:tcPr>
          <w:p>
            <w:pPr>
              <w:widowControl/>
              <w:spacing w:line="280" w:lineRule="exact"/>
              <w:jc w:val="center"/>
              <w:textAlignment w:val="center"/>
              <w:rPr>
                <w:rFonts w:ascii="Times New Roman" w:hAnsi="Times New Roman" w:eastAsia="宋体" w:cs="Times New Roman"/>
                <w:b/>
                <w:bCs/>
                <w:color w:val="auto"/>
                <w:kern w:val="0"/>
                <w:sz w:val="21"/>
                <w:szCs w:val="21"/>
              </w:rPr>
            </w:pPr>
            <w:r>
              <w:rPr>
                <w:rFonts w:ascii="Times New Roman" w:hAnsi="Times New Roman" w:eastAsia="宋体" w:cs="Times New Roman"/>
                <w:b/>
                <w:bCs/>
                <w:color w:val="auto"/>
                <w:kern w:val="0"/>
                <w:sz w:val="21"/>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20</w:t>
            </w:r>
          </w:p>
        </w:tc>
        <w:tc>
          <w:tcPr>
            <w:tcW w:w="567" w:type="dxa"/>
            <w:vMerge w:val="continue"/>
          </w:tcPr>
          <w:p>
            <w:pPr>
              <w:jc w:val="center"/>
              <w:rPr>
                <w:rFonts w:ascii="Times New Roman" w:hAnsi="Times New Roman" w:eastAsia="宋体" w:cs="Times New Roman"/>
                <w:color w:val="auto"/>
                <w:kern w:val="0"/>
                <w:sz w:val="21"/>
                <w:szCs w:val="21"/>
              </w:rPr>
            </w:pPr>
          </w:p>
        </w:tc>
        <w:tc>
          <w:tcPr>
            <w:tcW w:w="2126"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高危泵包括高温泵（输送介质操作温度≥自燃点或260℃）、液化烃泵（输送介质为C1-C4的烃类液体或其他类似液体）、中度以上有毒有害介质泵等轴端机械密封应采用串级、双端面机械密封、泵用干气密封或其他更好的密封形式。液化烃泵、有毒有害介质泵选型也可按SH/T3148选用无密封泵。</w:t>
            </w:r>
          </w:p>
        </w:tc>
        <w:tc>
          <w:tcPr>
            <w:tcW w:w="2410"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《危险化学品生产使用企业老旧装置安全风险评估指南》</w:t>
            </w:r>
          </w:p>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《国家安全监管总局办公厅关于印发首批重点监管的危险化学品安全措施和应急处置原则的通知》</w:t>
            </w:r>
          </w:p>
        </w:tc>
        <w:tc>
          <w:tcPr>
            <w:tcW w:w="1701"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查台账、现场</w:t>
            </w:r>
          </w:p>
        </w:tc>
        <w:tc>
          <w:tcPr>
            <w:tcW w:w="1984" w:type="dxa"/>
          </w:tcPr>
          <w:p>
            <w:pPr>
              <w:jc w:val="center"/>
              <w:rPr>
                <w:rFonts w:ascii="Times New Roman" w:hAnsi="Times New Roman" w:eastAsia="宋体" w:cs="Times New Roman"/>
                <w:color w:val="auto"/>
                <w:kern w:val="0"/>
                <w:sz w:val="21"/>
                <w:szCs w:val="21"/>
              </w:rPr>
            </w:pPr>
          </w:p>
        </w:tc>
        <w:tc>
          <w:tcPr>
            <w:tcW w:w="1843" w:type="dxa"/>
          </w:tcPr>
          <w:p>
            <w:pPr>
              <w:jc w:val="center"/>
              <w:rPr>
                <w:rFonts w:ascii="Times New Roman" w:hAnsi="Times New Roman" w:eastAsia="宋体" w:cs="Times New Roman"/>
                <w:color w:val="auto"/>
                <w:kern w:val="0"/>
                <w:sz w:val="21"/>
                <w:szCs w:val="21"/>
              </w:rPr>
            </w:pPr>
          </w:p>
        </w:tc>
        <w:tc>
          <w:tcPr>
            <w:tcW w:w="2126" w:type="dxa"/>
          </w:tcPr>
          <w:p>
            <w:pPr>
              <w:jc w:val="center"/>
              <w:rPr>
                <w:rFonts w:ascii="Times New Roman" w:hAnsi="Times New Roman" w:eastAsia="宋体" w:cs="Times New Roman"/>
                <w:color w:val="auto"/>
                <w:kern w:val="0"/>
                <w:sz w:val="21"/>
                <w:szCs w:val="21"/>
              </w:rPr>
            </w:pPr>
          </w:p>
        </w:tc>
        <w:tc>
          <w:tcPr>
            <w:tcW w:w="709" w:type="dxa"/>
          </w:tcPr>
          <w:p>
            <w:pPr>
              <w:jc w:val="center"/>
              <w:rPr>
                <w:rFonts w:ascii="Times New Roman" w:hAnsi="Times New Roman" w:eastAsia="宋体" w:cs="Times New Roman"/>
                <w:color w:val="auto"/>
                <w:kern w:val="0"/>
                <w:sz w:val="21"/>
                <w:szCs w:val="21"/>
              </w:rPr>
            </w:pPr>
          </w:p>
        </w:tc>
        <w:tc>
          <w:tcPr>
            <w:tcW w:w="786" w:type="dxa"/>
            <w:vAlign w:val="center"/>
          </w:tcPr>
          <w:p>
            <w:pPr>
              <w:widowControl/>
              <w:spacing w:line="280" w:lineRule="exact"/>
              <w:jc w:val="center"/>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B级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21</w:t>
            </w:r>
          </w:p>
        </w:tc>
        <w:tc>
          <w:tcPr>
            <w:tcW w:w="567" w:type="dxa"/>
            <w:vMerge w:val="continue"/>
          </w:tcPr>
          <w:p>
            <w:pPr>
              <w:jc w:val="center"/>
              <w:rPr>
                <w:rFonts w:ascii="Times New Roman" w:hAnsi="Times New Roman" w:eastAsia="宋体" w:cs="Times New Roman"/>
                <w:color w:val="auto"/>
                <w:kern w:val="0"/>
                <w:sz w:val="21"/>
                <w:szCs w:val="21"/>
              </w:rPr>
            </w:pPr>
          </w:p>
        </w:tc>
        <w:tc>
          <w:tcPr>
            <w:tcW w:w="2126"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接触氢气的阀门不应采用铜和铜合金材料。</w:t>
            </w:r>
          </w:p>
        </w:tc>
        <w:tc>
          <w:tcPr>
            <w:tcW w:w="2410"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《深度冷冻法生产氧气及相关气体安全技术规程》（GB6912-2008）</w:t>
            </w:r>
          </w:p>
        </w:tc>
        <w:tc>
          <w:tcPr>
            <w:tcW w:w="1701"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查现场</w:t>
            </w:r>
          </w:p>
        </w:tc>
        <w:tc>
          <w:tcPr>
            <w:tcW w:w="1984" w:type="dxa"/>
          </w:tcPr>
          <w:p>
            <w:pPr>
              <w:jc w:val="center"/>
              <w:rPr>
                <w:rFonts w:ascii="Times New Roman" w:hAnsi="Times New Roman" w:eastAsia="宋体" w:cs="Times New Roman"/>
                <w:color w:val="auto"/>
                <w:kern w:val="0"/>
                <w:sz w:val="21"/>
                <w:szCs w:val="21"/>
              </w:rPr>
            </w:pPr>
          </w:p>
        </w:tc>
        <w:tc>
          <w:tcPr>
            <w:tcW w:w="1843" w:type="dxa"/>
          </w:tcPr>
          <w:p>
            <w:pPr>
              <w:jc w:val="center"/>
              <w:rPr>
                <w:rFonts w:ascii="Times New Roman" w:hAnsi="Times New Roman" w:eastAsia="宋体" w:cs="Times New Roman"/>
                <w:color w:val="auto"/>
                <w:kern w:val="0"/>
                <w:sz w:val="21"/>
                <w:szCs w:val="21"/>
              </w:rPr>
            </w:pPr>
          </w:p>
        </w:tc>
        <w:tc>
          <w:tcPr>
            <w:tcW w:w="2126" w:type="dxa"/>
          </w:tcPr>
          <w:p>
            <w:pPr>
              <w:jc w:val="center"/>
              <w:rPr>
                <w:rFonts w:ascii="Times New Roman" w:hAnsi="Times New Roman" w:eastAsia="宋体" w:cs="Times New Roman"/>
                <w:color w:val="auto"/>
                <w:kern w:val="0"/>
                <w:sz w:val="21"/>
                <w:szCs w:val="21"/>
              </w:rPr>
            </w:pPr>
          </w:p>
        </w:tc>
        <w:tc>
          <w:tcPr>
            <w:tcW w:w="709" w:type="dxa"/>
          </w:tcPr>
          <w:p>
            <w:pPr>
              <w:jc w:val="center"/>
              <w:rPr>
                <w:rFonts w:ascii="Times New Roman" w:hAnsi="Times New Roman" w:eastAsia="宋体" w:cs="Times New Roman"/>
                <w:color w:val="auto"/>
                <w:kern w:val="0"/>
                <w:sz w:val="21"/>
                <w:szCs w:val="21"/>
              </w:rPr>
            </w:pPr>
          </w:p>
        </w:tc>
        <w:tc>
          <w:tcPr>
            <w:tcW w:w="786" w:type="dxa"/>
            <w:vAlign w:val="center"/>
          </w:tcPr>
          <w:p>
            <w:pPr>
              <w:widowControl/>
              <w:spacing w:line="280" w:lineRule="exact"/>
              <w:jc w:val="center"/>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22</w:t>
            </w:r>
          </w:p>
        </w:tc>
        <w:tc>
          <w:tcPr>
            <w:tcW w:w="567" w:type="dxa"/>
            <w:vMerge w:val="continue"/>
          </w:tcPr>
          <w:p>
            <w:pPr>
              <w:jc w:val="center"/>
              <w:rPr>
                <w:rFonts w:ascii="Times New Roman" w:hAnsi="Times New Roman" w:eastAsia="宋体" w:cs="Times New Roman"/>
                <w:color w:val="auto"/>
                <w:kern w:val="0"/>
                <w:sz w:val="21"/>
                <w:szCs w:val="21"/>
              </w:rPr>
            </w:pPr>
          </w:p>
        </w:tc>
        <w:tc>
          <w:tcPr>
            <w:tcW w:w="2126"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氧气管道、垫片、阀门、填料材质用及除锈、脱脂要求应符合规定。</w:t>
            </w:r>
          </w:p>
        </w:tc>
        <w:tc>
          <w:tcPr>
            <w:tcW w:w="2410"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《深度冷冻法生产氧气及相关气体安全技术规程》（GB6912-2009）</w:t>
            </w:r>
          </w:p>
        </w:tc>
        <w:tc>
          <w:tcPr>
            <w:tcW w:w="1701"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查现场</w:t>
            </w:r>
          </w:p>
        </w:tc>
        <w:tc>
          <w:tcPr>
            <w:tcW w:w="1984" w:type="dxa"/>
          </w:tcPr>
          <w:p>
            <w:pPr>
              <w:jc w:val="center"/>
              <w:rPr>
                <w:rFonts w:ascii="Times New Roman" w:hAnsi="Times New Roman" w:eastAsia="宋体" w:cs="Times New Roman"/>
                <w:color w:val="auto"/>
                <w:kern w:val="0"/>
                <w:sz w:val="21"/>
                <w:szCs w:val="21"/>
              </w:rPr>
            </w:pPr>
          </w:p>
        </w:tc>
        <w:tc>
          <w:tcPr>
            <w:tcW w:w="1843" w:type="dxa"/>
          </w:tcPr>
          <w:p>
            <w:pPr>
              <w:jc w:val="center"/>
              <w:rPr>
                <w:rFonts w:ascii="Times New Roman" w:hAnsi="Times New Roman" w:eastAsia="宋体" w:cs="Times New Roman"/>
                <w:color w:val="auto"/>
                <w:kern w:val="0"/>
                <w:sz w:val="21"/>
                <w:szCs w:val="21"/>
              </w:rPr>
            </w:pPr>
          </w:p>
        </w:tc>
        <w:tc>
          <w:tcPr>
            <w:tcW w:w="2126" w:type="dxa"/>
          </w:tcPr>
          <w:p>
            <w:pPr>
              <w:jc w:val="center"/>
              <w:rPr>
                <w:rFonts w:ascii="Times New Roman" w:hAnsi="Times New Roman" w:eastAsia="宋体" w:cs="Times New Roman"/>
                <w:color w:val="auto"/>
                <w:kern w:val="0"/>
                <w:sz w:val="21"/>
                <w:szCs w:val="21"/>
              </w:rPr>
            </w:pPr>
          </w:p>
        </w:tc>
        <w:tc>
          <w:tcPr>
            <w:tcW w:w="709" w:type="dxa"/>
          </w:tcPr>
          <w:p>
            <w:pPr>
              <w:jc w:val="center"/>
              <w:rPr>
                <w:rFonts w:ascii="Times New Roman" w:hAnsi="Times New Roman" w:eastAsia="宋体" w:cs="Times New Roman"/>
                <w:color w:val="auto"/>
                <w:kern w:val="0"/>
                <w:sz w:val="21"/>
                <w:szCs w:val="21"/>
              </w:rPr>
            </w:pPr>
          </w:p>
        </w:tc>
        <w:tc>
          <w:tcPr>
            <w:tcW w:w="786" w:type="dxa"/>
            <w:vAlign w:val="center"/>
          </w:tcPr>
          <w:p>
            <w:pPr>
              <w:widowControl/>
              <w:spacing w:line="280" w:lineRule="exact"/>
              <w:jc w:val="center"/>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4"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23</w:t>
            </w:r>
          </w:p>
        </w:tc>
        <w:tc>
          <w:tcPr>
            <w:tcW w:w="567" w:type="dxa"/>
            <w:vMerge w:val="continue"/>
          </w:tcPr>
          <w:p>
            <w:pPr>
              <w:jc w:val="center"/>
              <w:rPr>
                <w:rFonts w:ascii="Times New Roman" w:hAnsi="Times New Roman" w:eastAsia="宋体" w:cs="Times New Roman"/>
                <w:color w:val="auto"/>
                <w:kern w:val="0"/>
                <w:sz w:val="21"/>
                <w:szCs w:val="21"/>
              </w:rPr>
            </w:pPr>
          </w:p>
        </w:tc>
        <w:tc>
          <w:tcPr>
            <w:tcW w:w="2126"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管廊的高度应满足装置内消防道路的设置要求。</w:t>
            </w:r>
          </w:p>
        </w:tc>
        <w:tc>
          <w:tcPr>
            <w:tcW w:w="2410" w:type="dxa"/>
            <w:vAlign w:val="center"/>
          </w:tcPr>
          <w:p>
            <w:pPr>
              <w:widowControl/>
              <w:spacing w:line="280" w:lineRule="exact"/>
              <w:jc w:val="center"/>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《石油化工企业设计防火标准(2018版)</w:t>
            </w:r>
          </w:p>
          <w:p>
            <w:pPr>
              <w:widowControl/>
              <w:spacing w:line="280" w:lineRule="exact"/>
              <w:jc w:val="center"/>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(GB50160-2008)</w:t>
            </w:r>
          </w:p>
          <w:p>
            <w:pPr>
              <w:widowControl/>
              <w:spacing w:line="280" w:lineRule="exact"/>
              <w:jc w:val="center"/>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《精细化工企业工程设计防火标准》</w:t>
            </w:r>
          </w:p>
          <w:p>
            <w:pPr>
              <w:widowControl/>
              <w:spacing w:line="280" w:lineRule="exact"/>
              <w:jc w:val="center"/>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(GB51283-2020)</w:t>
            </w:r>
          </w:p>
          <w:p>
            <w:pPr>
              <w:widowControl/>
              <w:spacing w:line="280" w:lineRule="exact"/>
              <w:jc w:val="center"/>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《建设计防火规范(2018年版)》(GB50016-2014)</w:t>
            </w:r>
          </w:p>
        </w:tc>
        <w:tc>
          <w:tcPr>
            <w:tcW w:w="1701"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查现场</w:t>
            </w:r>
          </w:p>
        </w:tc>
        <w:tc>
          <w:tcPr>
            <w:tcW w:w="1984" w:type="dxa"/>
          </w:tcPr>
          <w:p>
            <w:pPr>
              <w:jc w:val="center"/>
              <w:rPr>
                <w:rFonts w:ascii="Times New Roman" w:hAnsi="Times New Roman" w:eastAsia="宋体" w:cs="Times New Roman"/>
                <w:color w:val="auto"/>
                <w:kern w:val="0"/>
                <w:sz w:val="21"/>
                <w:szCs w:val="21"/>
              </w:rPr>
            </w:pPr>
          </w:p>
        </w:tc>
        <w:tc>
          <w:tcPr>
            <w:tcW w:w="1843" w:type="dxa"/>
          </w:tcPr>
          <w:p>
            <w:pPr>
              <w:jc w:val="center"/>
              <w:rPr>
                <w:rFonts w:ascii="Times New Roman" w:hAnsi="Times New Roman" w:eastAsia="宋体" w:cs="Times New Roman"/>
                <w:color w:val="auto"/>
                <w:kern w:val="0"/>
                <w:sz w:val="21"/>
                <w:szCs w:val="21"/>
              </w:rPr>
            </w:pPr>
          </w:p>
        </w:tc>
        <w:tc>
          <w:tcPr>
            <w:tcW w:w="2126" w:type="dxa"/>
          </w:tcPr>
          <w:p>
            <w:pPr>
              <w:jc w:val="center"/>
              <w:rPr>
                <w:rFonts w:ascii="Times New Roman" w:hAnsi="Times New Roman" w:eastAsia="宋体" w:cs="Times New Roman"/>
                <w:color w:val="auto"/>
                <w:kern w:val="0"/>
                <w:sz w:val="21"/>
                <w:szCs w:val="21"/>
              </w:rPr>
            </w:pPr>
          </w:p>
        </w:tc>
        <w:tc>
          <w:tcPr>
            <w:tcW w:w="709" w:type="dxa"/>
          </w:tcPr>
          <w:p>
            <w:pPr>
              <w:jc w:val="center"/>
              <w:rPr>
                <w:rFonts w:ascii="Times New Roman" w:hAnsi="Times New Roman" w:eastAsia="宋体" w:cs="Times New Roman"/>
                <w:color w:val="auto"/>
                <w:kern w:val="0"/>
                <w:sz w:val="21"/>
                <w:szCs w:val="21"/>
              </w:rPr>
            </w:pPr>
          </w:p>
        </w:tc>
        <w:tc>
          <w:tcPr>
            <w:tcW w:w="786" w:type="dxa"/>
            <w:vAlign w:val="center"/>
          </w:tcPr>
          <w:p>
            <w:pPr>
              <w:widowControl/>
              <w:spacing w:line="280" w:lineRule="exact"/>
              <w:jc w:val="center"/>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B级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24</w:t>
            </w:r>
          </w:p>
        </w:tc>
        <w:tc>
          <w:tcPr>
            <w:tcW w:w="567" w:type="dxa"/>
            <w:vMerge w:val="continue"/>
          </w:tcPr>
          <w:p>
            <w:pPr>
              <w:jc w:val="center"/>
              <w:rPr>
                <w:rFonts w:ascii="Times New Roman" w:hAnsi="Times New Roman" w:eastAsia="宋体" w:cs="Times New Roman"/>
                <w:color w:val="auto"/>
                <w:kern w:val="0"/>
                <w:sz w:val="21"/>
                <w:szCs w:val="21"/>
              </w:rPr>
            </w:pPr>
          </w:p>
        </w:tc>
        <w:tc>
          <w:tcPr>
            <w:tcW w:w="2126"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压力容器设计单位的许可资格、设计类别、品种和级别范围是否符合相关标准及规定。</w:t>
            </w:r>
          </w:p>
        </w:tc>
        <w:tc>
          <w:tcPr>
            <w:tcW w:w="2410"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《特种设备生产和充装单位许可规则》（TSG07-2019）</w:t>
            </w:r>
          </w:p>
        </w:tc>
        <w:tc>
          <w:tcPr>
            <w:tcW w:w="1701"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查压力容器技术档案</w:t>
            </w:r>
          </w:p>
        </w:tc>
        <w:tc>
          <w:tcPr>
            <w:tcW w:w="1984" w:type="dxa"/>
          </w:tcPr>
          <w:p>
            <w:pPr>
              <w:jc w:val="center"/>
              <w:rPr>
                <w:rFonts w:ascii="Times New Roman" w:hAnsi="Times New Roman" w:eastAsia="宋体" w:cs="Times New Roman"/>
                <w:color w:val="auto"/>
                <w:kern w:val="0"/>
                <w:sz w:val="21"/>
                <w:szCs w:val="21"/>
              </w:rPr>
            </w:pPr>
          </w:p>
        </w:tc>
        <w:tc>
          <w:tcPr>
            <w:tcW w:w="1843" w:type="dxa"/>
          </w:tcPr>
          <w:p>
            <w:pPr>
              <w:jc w:val="center"/>
              <w:rPr>
                <w:rFonts w:ascii="Times New Roman" w:hAnsi="Times New Roman" w:eastAsia="宋体" w:cs="Times New Roman"/>
                <w:color w:val="auto"/>
                <w:kern w:val="0"/>
                <w:sz w:val="21"/>
                <w:szCs w:val="21"/>
              </w:rPr>
            </w:pPr>
          </w:p>
        </w:tc>
        <w:tc>
          <w:tcPr>
            <w:tcW w:w="2126" w:type="dxa"/>
          </w:tcPr>
          <w:p>
            <w:pPr>
              <w:jc w:val="center"/>
              <w:rPr>
                <w:rFonts w:ascii="Times New Roman" w:hAnsi="Times New Roman" w:eastAsia="宋体" w:cs="Times New Roman"/>
                <w:color w:val="auto"/>
                <w:kern w:val="0"/>
                <w:sz w:val="21"/>
                <w:szCs w:val="21"/>
              </w:rPr>
            </w:pPr>
          </w:p>
        </w:tc>
        <w:tc>
          <w:tcPr>
            <w:tcW w:w="709" w:type="dxa"/>
          </w:tcPr>
          <w:p>
            <w:pPr>
              <w:jc w:val="center"/>
              <w:rPr>
                <w:rFonts w:ascii="Times New Roman" w:hAnsi="Times New Roman" w:eastAsia="宋体" w:cs="Times New Roman"/>
                <w:color w:val="auto"/>
                <w:kern w:val="0"/>
                <w:sz w:val="21"/>
                <w:szCs w:val="21"/>
              </w:rPr>
            </w:pPr>
          </w:p>
        </w:tc>
        <w:tc>
          <w:tcPr>
            <w:tcW w:w="786" w:type="dxa"/>
            <w:vAlign w:val="center"/>
          </w:tcPr>
          <w:p>
            <w:pPr>
              <w:widowControl/>
              <w:spacing w:line="280" w:lineRule="exact"/>
              <w:jc w:val="center"/>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25</w:t>
            </w:r>
          </w:p>
        </w:tc>
        <w:tc>
          <w:tcPr>
            <w:tcW w:w="567" w:type="dxa"/>
            <w:vMerge w:val="continue"/>
          </w:tcPr>
          <w:p>
            <w:pPr>
              <w:jc w:val="center"/>
              <w:rPr>
                <w:rFonts w:ascii="Times New Roman" w:hAnsi="Times New Roman" w:eastAsia="宋体" w:cs="Times New Roman"/>
                <w:color w:val="auto"/>
                <w:kern w:val="0"/>
                <w:sz w:val="21"/>
                <w:szCs w:val="21"/>
              </w:rPr>
            </w:pPr>
          </w:p>
        </w:tc>
        <w:tc>
          <w:tcPr>
            <w:tcW w:w="2126"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与储罐连接的管道应采用柔性连接方式以满足抗震和储罐沉降的要求，首选自然补偿、弹性支(吊)架形式，受条件限制采用金属软管时，应采用抗震型金属软管；新建储存按照GB30000.18判定为急性毒性危害类别 1、类别 2，以及列入《高毒物品目录》的有毒液体的储罐，与储罐连接的管道不应采用金属软管。</w:t>
            </w:r>
          </w:p>
        </w:tc>
        <w:tc>
          <w:tcPr>
            <w:tcW w:w="2410"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《化工企业可燃液体常压储罐区安全管理规范》（AQ 3063-2025）第 6.1.9 条</w:t>
            </w:r>
          </w:p>
        </w:tc>
        <w:tc>
          <w:tcPr>
            <w:tcW w:w="1701"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查设备台账、现场</w:t>
            </w:r>
          </w:p>
        </w:tc>
        <w:tc>
          <w:tcPr>
            <w:tcW w:w="1984" w:type="dxa"/>
          </w:tcPr>
          <w:p>
            <w:pPr>
              <w:jc w:val="center"/>
              <w:rPr>
                <w:rFonts w:ascii="Times New Roman" w:hAnsi="Times New Roman" w:eastAsia="宋体" w:cs="Times New Roman"/>
                <w:color w:val="auto"/>
                <w:kern w:val="0"/>
                <w:sz w:val="21"/>
                <w:szCs w:val="21"/>
              </w:rPr>
            </w:pPr>
          </w:p>
        </w:tc>
        <w:tc>
          <w:tcPr>
            <w:tcW w:w="1843" w:type="dxa"/>
          </w:tcPr>
          <w:p>
            <w:pPr>
              <w:jc w:val="center"/>
              <w:rPr>
                <w:rFonts w:ascii="Times New Roman" w:hAnsi="Times New Roman" w:eastAsia="宋体" w:cs="Times New Roman"/>
                <w:color w:val="auto"/>
                <w:kern w:val="0"/>
                <w:sz w:val="21"/>
                <w:szCs w:val="21"/>
              </w:rPr>
            </w:pPr>
          </w:p>
        </w:tc>
        <w:tc>
          <w:tcPr>
            <w:tcW w:w="2126" w:type="dxa"/>
          </w:tcPr>
          <w:p>
            <w:pPr>
              <w:jc w:val="center"/>
              <w:rPr>
                <w:rFonts w:ascii="Times New Roman" w:hAnsi="Times New Roman" w:eastAsia="宋体" w:cs="Times New Roman"/>
                <w:color w:val="auto"/>
                <w:kern w:val="0"/>
                <w:sz w:val="21"/>
                <w:szCs w:val="21"/>
              </w:rPr>
            </w:pPr>
          </w:p>
        </w:tc>
        <w:tc>
          <w:tcPr>
            <w:tcW w:w="709" w:type="dxa"/>
          </w:tcPr>
          <w:p>
            <w:pPr>
              <w:jc w:val="center"/>
              <w:rPr>
                <w:rFonts w:ascii="Times New Roman" w:hAnsi="Times New Roman" w:eastAsia="宋体" w:cs="Times New Roman"/>
                <w:color w:val="auto"/>
                <w:kern w:val="0"/>
                <w:sz w:val="21"/>
                <w:szCs w:val="21"/>
              </w:rPr>
            </w:pPr>
          </w:p>
        </w:tc>
        <w:tc>
          <w:tcPr>
            <w:tcW w:w="786" w:type="dxa"/>
            <w:vAlign w:val="center"/>
          </w:tcPr>
          <w:p>
            <w:pPr>
              <w:widowControl/>
              <w:spacing w:line="280" w:lineRule="exact"/>
              <w:jc w:val="center"/>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26</w:t>
            </w:r>
          </w:p>
        </w:tc>
        <w:tc>
          <w:tcPr>
            <w:tcW w:w="567" w:type="dxa"/>
            <w:vMerge w:val="continue"/>
          </w:tcPr>
          <w:p>
            <w:pPr>
              <w:jc w:val="center"/>
              <w:rPr>
                <w:rFonts w:ascii="Times New Roman" w:hAnsi="Times New Roman" w:eastAsia="宋体" w:cs="Times New Roman"/>
                <w:color w:val="auto"/>
                <w:kern w:val="0"/>
                <w:sz w:val="21"/>
                <w:szCs w:val="21"/>
              </w:rPr>
            </w:pPr>
          </w:p>
        </w:tc>
        <w:tc>
          <w:tcPr>
            <w:tcW w:w="2126"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液化烃泵应设置远程停泵功能，泵出口应设置止回阀，并在泵出口设置远程切断阀。</w:t>
            </w:r>
          </w:p>
        </w:tc>
        <w:tc>
          <w:tcPr>
            <w:tcW w:w="2410"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《化工企业液化烃储罐区安全管理规范》（AQ 3059-2023）第 6.1.4条</w:t>
            </w:r>
          </w:p>
        </w:tc>
        <w:tc>
          <w:tcPr>
            <w:tcW w:w="1701"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查DCS系统、现场</w:t>
            </w:r>
          </w:p>
        </w:tc>
        <w:tc>
          <w:tcPr>
            <w:tcW w:w="1984" w:type="dxa"/>
          </w:tcPr>
          <w:p>
            <w:pPr>
              <w:jc w:val="center"/>
              <w:rPr>
                <w:rFonts w:ascii="Times New Roman" w:hAnsi="Times New Roman" w:eastAsia="宋体" w:cs="Times New Roman"/>
                <w:color w:val="auto"/>
                <w:kern w:val="0"/>
                <w:sz w:val="21"/>
                <w:szCs w:val="21"/>
              </w:rPr>
            </w:pPr>
          </w:p>
        </w:tc>
        <w:tc>
          <w:tcPr>
            <w:tcW w:w="1843" w:type="dxa"/>
          </w:tcPr>
          <w:p>
            <w:pPr>
              <w:jc w:val="center"/>
              <w:rPr>
                <w:rFonts w:ascii="Times New Roman" w:hAnsi="Times New Roman" w:eastAsia="宋体" w:cs="Times New Roman"/>
                <w:color w:val="auto"/>
                <w:kern w:val="0"/>
                <w:sz w:val="21"/>
                <w:szCs w:val="21"/>
              </w:rPr>
            </w:pPr>
          </w:p>
        </w:tc>
        <w:tc>
          <w:tcPr>
            <w:tcW w:w="2126" w:type="dxa"/>
          </w:tcPr>
          <w:p>
            <w:pPr>
              <w:jc w:val="center"/>
              <w:rPr>
                <w:rFonts w:ascii="Times New Roman" w:hAnsi="Times New Roman" w:eastAsia="宋体" w:cs="Times New Roman"/>
                <w:color w:val="auto"/>
                <w:kern w:val="0"/>
                <w:sz w:val="21"/>
                <w:szCs w:val="21"/>
              </w:rPr>
            </w:pPr>
          </w:p>
        </w:tc>
        <w:tc>
          <w:tcPr>
            <w:tcW w:w="709" w:type="dxa"/>
          </w:tcPr>
          <w:p>
            <w:pPr>
              <w:jc w:val="center"/>
              <w:rPr>
                <w:rFonts w:ascii="Times New Roman" w:hAnsi="Times New Roman" w:eastAsia="宋体" w:cs="Times New Roman"/>
                <w:color w:val="auto"/>
                <w:kern w:val="0"/>
                <w:sz w:val="21"/>
                <w:szCs w:val="21"/>
              </w:rPr>
            </w:pPr>
          </w:p>
        </w:tc>
        <w:tc>
          <w:tcPr>
            <w:tcW w:w="786" w:type="dxa"/>
            <w:vAlign w:val="center"/>
          </w:tcPr>
          <w:p>
            <w:pPr>
              <w:widowControl/>
              <w:spacing w:line="280" w:lineRule="exact"/>
              <w:jc w:val="center"/>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4"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27</w:t>
            </w:r>
          </w:p>
        </w:tc>
        <w:tc>
          <w:tcPr>
            <w:tcW w:w="567" w:type="dxa"/>
            <w:vMerge w:val="continue"/>
          </w:tcPr>
          <w:p>
            <w:pPr>
              <w:jc w:val="center"/>
              <w:rPr>
                <w:rFonts w:ascii="Times New Roman" w:hAnsi="Times New Roman" w:eastAsia="宋体" w:cs="Times New Roman"/>
                <w:color w:val="auto"/>
                <w:kern w:val="0"/>
                <w:sz w:val="21"/>
                <w:szCs w:val="21"/>
              </w:rPr>
            </w:pPr>
          </w:p>
        </w:tc>
        <w:tc>
          <w:tcPr>
            <w:tcW w:w="2126"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液化烃储罐区离心泵应采用双机械密封，轴封的设计压力不应低于泵最大入口压力。新建液化烃罐外泵应配置轴温、振动检测仪表和在线状态监测系统。当安装空间不受限时，在役液化烃罐外泵 应配置轴温、振动检测仪表和在线状态监测系统，当安装空间受限时，应规定振动和轴温检测点，供巡检人员定期检测。</w:t>
            </w:r>
          </w:p>
        </w:tc>
        <w:tc>
          <w:tcPr>
            <w:tcW w:w="2410"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《化工企业液化烃储罐区安全管理规范》</w:t>
            </w:r>
          </w:p>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（AQ 3059-2023）第</w:t>
            </w:r>
          </w:p>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6.2.3.2 条</w:t>
            </w:r>
          </w:p>
        </w:tc>
        <w:tc>
          <w:tcPr>
            <w:tcW w:w="1701"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查DCS系统、记录、现场</w:t>
            </w:r>
          </w:p>
        </w:tc>
        <w:tc>
          <w:tcPr>
            <w:tcW w:w="1984" w:type="dxa"/>
          </w:tcPr>
          <w:p>
            <w:pPr>
              <w:jc w:val="center"/>
              <w:rPr>
                <w:rFonts w:ascii="Times New Roman" w:hAnsi="Times New Roman" w:eastAsia="宋体" w:cs="Times New Roman"/>
                <w:color w:val="auto"/>
                <w:kern w:val="0"/>
                <w:sz w:val="21"/>
                <w:szCs w:val="21"/>
              </w:rPr>
            </w:pPr>
          </w:p>
        </w:tc>
        <w:tc>
          <w:tcPr>
            <w:tcW w:w="1843" w:type="dxa"/>
          </w:tcPr>
          <w:p>
            <w:pPr>
              <w:jc w:val="center"/>
              <w:rPr>
                <w:rFonts w:ascii="Times New Roman" w:hAnsi="Times New Roman" w:eastAsia="宋体" w:cs="Times New Roman"/>
                <w:color w:val="auto"/>
                <w:kern w:val="0"/>
                <w:sz w:val="21"/>
                <w:szCs w:val="21"/>
              </w:rPr>
            </w:pPr>
          </w:p>
        </w:tc>
        <w:tc>
          <w:tcPr>
            <w:tcW w:w="2126" w:type="dxa"/>
          </w:tcPr>
          <w:p>
            <w:pPr>
              <w:jc w:val="center"/>
              <w:rPr>
                <w:rFonts w:ascii="Times New Roman" w:hAnsi="Times New Roman" w:eastAsia="宋体" w:cs="Times New Roman"/>
                <w:color w:val="auto"/>
                <w:kern w:val="0"/>
                <w:sz w:val="21"/>
                <w:szCs w:val="21"/>
              </w:rPr>
            </w:pPr>
          </w:p>
        </w:tc>
        <w:tc>
          <w:tcPr>
            <w:tcW w:w="709" w:type="dxa"/>
          </w:tcPr>
          <w:p>
            <w:pPr>
              <w:jc w:val="center"/>
              <w:rPr>
                <w:rFonts w:ascii="Times New Roman" w:hAnsi="Times New Roman" w:eastAsia="宋体" w:cs="Times New Roman"/>
                <w:color w:val="auto"/>
                <w:kern w:val="0"/>
                <w:sz w:val="21"/>
                <w:szCs w:val="21"/>
              </w:rPr>
            </w:pPr>
          </w:p>
        </w:tc>
        <w:tc>
          <w:tcPr>
            <w:tcW w:w="786" w:type="dxa"/>
            <w:vAlign w:val="center"/>
          </w:tcPr>
          <w:p>
            <w:pPr>
              <w:widowControl/>
              <w:spacing w:line="280" w:lineRule="exact"/>
              <w:jc w:val="center"/>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28</w:t>
            </w:r>
          </w:p>
        </w:tc>
        <w:tc>
          <w:tcPr>
            <w:tcW w:w="567" w:type="dxa"/>
            <w:vMerge w:val="continue"/>
          </w:tcPr>
          <w:p>
            <w:pPr>
              <w:jc w:val="center"/>
              <w:rPr>
                <w:rFonts w:ascii="Times New Roman" w:hAnsi="Times New Roman" w:eastAsia="宋体" w:cs="Times New Roman"/>
                <w:color w:val="auto"/>
                <w:kern w:val="0"/>
                <w:sz w:val="21"/>
                <w:szCs w:val="21"/>
              </w:rPr>
            </w:pPr>
          </w:p>
        </w:tc>
        <w:tc>
          <w:tcPr>
            <w:tcW w:w="2126" w:type="dxa"/>
            <w:vAlign w:val="center"/>
          </w:tcPr>
          <w:p>
            <w:pPr>
              <w:widowControl/>
              <w:spacing w:line="280" w:lineRule="exact"/>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液化烃、液氯、液氨管道不得采用软管连接，可燃液体管道不得采用非金属软管连接。</w:t>
            </w:r>
          </w:p>
        </w:tc>
        <w:tc>
          <w:tcPr>
            <w:tcW w:w="2410" w:type="dxa"/>
            <w:vAlign w:val="center"/>
          </w:tcPr>
          <w:p>
            <w:pPr>
              <w:widowControl/>
              <w:spacing w:line="280" w:lineRule="exact"/>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《石油化工企业设计防火标准(2018版)》50160-2008)</w:t>
            </w:r>
          </w:p>
        </w:tc>
        <w:tc>
          <w:tcPr>
            <w:tcW w:w="1701"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查现场</w:t>
            </w:r>
          </w:p>
        </w:tc>
        <w:tc>
          <w:tcPr>
            <w:tcW w:w="1984" w:type="dxa"/>
          </w:tcPr>
          <w:p>
            <w:pPr>
              <w:jc w:val="center"/>
              <w:rPr>
                <w:rFonts w:ascii="Times New Roman" w:hAnsi="Times New Roman" w:eastAsia="宋体" w:cs="Times New Roman"/>
                <w:color w:val="auto"/>
                <w:kern w:val="0"/>
                <w:sz w:val="21"/>
                <w:szCs w:val="21"/>
              </w:rPr>
            </w:pPr>
          </w:p>
        </w:tc>
        <w:tc>
          <w:tcPr>
            <w:tcW w:w="1843" w:type="dxa"/>
          </w:tcPr>
          <w:p>
            <w:pPr>
              <w:jc w:val="center"/>
              <w:rPr>
                <w:rFonts w:ascii="Times New Roman" w:hAnsi="Times New Roman" w:eastAsia="宋体" w:cs="Times New Roman"/>
                <w:color w:val="auto"/>
                <w:kern w:val="0"/>
                <w:sz w:val="21"/>
                <w:szCs w:val="21"/>
              </w:rPr>
            </w:pPr>
          </w:p>
        </w:tc>
        <w:tc>
          <w:tcPr>
            <w:tcW w:w="2126" w:type="dxa"/>
          </w:tcPr>
          <w:p>
            <w:pPr>
              <w:jc w:val="center"/>
              <w:rPr>
                <w:rFonts w:ascii="Times New Roman" w:hAnsi="Times New Roman" w:eastAsia="宋体" w:cs="Times New Roman"/>
                <w:color w:val="auto"/>
                <w:kern w:val="0"/>
                <w:sz w:val="21"/>
                <w:szCs w:val="21"/>
              </w:rPr>
            </w:pPr>
          </w:p>
        </w:tc>
        <w:tc>
          <w:tcPr>
            <w:tcW w:w="709" w:type="dxa"/>
          </w:tcPr>
          <w:p>
            <w:pPr>
              <w:jc w:val="center"/>
              <w:rPr>
                <w:rFonts w:ascii="Times New Roman" w:hAnsi="Times New Roman" w:eastAsia="宋体" w:cs="Times New Roman"/>
                <w:color w:val="auto"/>
                <w:kern w:val="0"/>
                <w:sz w:val="21"/>
                <w:szCs w:val="21"/>
              </w:rPr>
            </w:pPr>
          </w:p>
        </w:tc>
        <w:tc>
          <w:tcPr>
            <w:tcW w:w="786" w:type="dxa"/>
            <w:vAlign w:val="center"/>
          </w:tcPr>
          <w:p>
            <w:pPr>
              <w:widowControl/>
              <w:spacing w:line="280" w:lineRule="exact"/>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29</w:t>
            </w:r>
          </w:p>
        </w:tc>
        <w:tc>
          <w:tcPr>
            <w:tcW w:w="567" w:type="dxa"/>
            <w:vMerge w:val="restart"/>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安全附件</w:t>
            </w:r>
          </w:p>
        </w:tc>
        <w:tc>
          <w:tcPr>
            <w:tcW w:w="2126"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1.企业应建立安全阀检测台账、爆破片更换记录。</w:t>
            </w:r>
          </w:p>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2.安全阀、爆破片等超压泄放装置进出口必须保证畅通，压力容器与超压泄放装置之间的管道及管件的通孔，其截面积不得小于超压泄放装置的进口截面积。</w:t>
            </w:r>
          </w:p>
        </w:tc>
        <w:tc>
          <w:tcPr>
            <w:tcW w:w="2410"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《关于加强化工过程安全管理的指导意见》（安监总管三〔2013〕88号）第十六条</w:t>
            </w:r>
          </w:p>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《固定式压力容器安全技术监察规程》TSG21-2016</w:t>
            </w:r>
          </w:p>
        </w:tc>
        <w:tc>
          <w:tcPr>
            <w:tcW w:w="1701" w:type="dxa"/>
            <w:vAlign w:val="center"/>
          </w:tcPr>
          <w:p>
            <w:pPr>
              <w:jc w:val="left"/>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查阅特种设备、安全附件的管理制度并明确管理部门和专门人员。在特种设备管理制度中应明确安全附件及仪表（至少包括安全阀、爆破片装置、易熔塞、紧急切断装置、安全联锁装置、压力、温度、液位等测量仪表等）具体管理内容并符合TSG 08的规定。</w:t>
            </w:r>
          </w:p>
        </w:tc>
        <w:tc>
          <w:tcPr>
            <w:tcW w:w="1984" w:type="dxa"/>
          </w:tcPr>
          <w:p>
            <w:pPr>
              <w:jc w:val="center"/>
              <w:rPr>
                <w:rFonts w:ascii="Times New Roman" w:hAnsi="Times New Roman" w:eastAsia="宋体" w:cs="Times New Roman"/>
                <w:color w:val="auto"/>
                <w:kern w:val="0"/>
                <w:sz w:val="21"/>
                <w:szCs w:val="21"/>
              </w:rPr>
            </w:pPr>
          </w:p>
        </w:tc>
        <w:tc>
          <w:tcPr>
            <w:tcW w:w="1843" w:type="dxa"/>
          </w:tcPr>
          <w:p>
            <w:pPr>
              <w:jc w:val="center"/>
              <w:rPr>
                <w:rFonts w:ascii="Times New Roman" w:hAnsi="Times New Roman" w:eastAsia="宋体" w:cs="Times New Roman"/>
                <w:color w:val="auto"/>
                <w:kern w:val="0"/>
                <w:sz w:val="21"/>
                <w:szCs w:val="21"/>
              </w:rPr>
            </w:pPr>
          </w:p>
        </w:tc>
        <w:tc>
          <w:tcPr>
            <w:tcW w:w="2126" w:type="dxa"/>
          </w:tcPr>
          <w:p>
            <w:pPr>
              <w:jc w:val="center"/>
              <w:rPr>
                <w:rFonts w:ascii="Times New Roman" w:hAnsi="Times New Roman" w:eastAsia="宋体" w:cs="Times New Roman"/>
                <w:color w:val="auto"/>
                <w:kern w:val="0"/>
                <w:sz w:val="21"/>
                <w:szCs w:val="21"/>
              </w:rPr>
            </w:pPr>
          </w:p>
        </w:tc>
        <w:tc>
          <w:tcPr>
            <w:tcW w:w="709" w:type="dxa"/>
          </w:tcPr>
          <w:p>
            <w:pPr>
              <w:jc w:val="center"/>
              <w:rPr>
                <w:rFonts w:ascii="Times New Roman" w:hAnsi="Times New Roman" w:eastAsia="宋体" w:cs="Times New Roman"/>
                <w:color w:val="auto"/>
                <w:kern w:val="0"/>
                <w:sz w:val="21"/>
                <w:szCs w:val="21"/>
              </w:rPr>
            </w:pPr>
          </w:p>
        </w:tc>
        <w:tc>
          <w:tcPr>
            <w:tcW w:w="786" w:type="dxa"/>
            <w:vAlign w:val="center"/>
          </w:tcPr>
          <w:p>
            <w:pPr>
              <w:widowControl/>
              <w:spacing w:line="280" w:lineRule="exact"/>
              <w:jc w:val="center"/>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30</w:t>
            </w:r>
          </w:p>
        </w:tc>
        <w:tc>
          <w:tcPr>
            <w:tcW w:w="567" w:type="dxa"/>
            <w:vMerge w:val="continue"/>
          </w:tcPr>
          <w:p>
            <w:pPr>
              <w:jc w:val="center"/>
              <w:rPr>
                <w:rFonts w:ascii="Times New Roman" w:hAnsi="Times New Roman" w:eastAsia="宋体" w:cs="Times New Roman"/>
                <w:color w:val="auto"/>
                <w:kern w:val="0"/>
                <w:sz w:val="21"/>
                <w:szCs w:val="21"/>
              </w:rPr>
            </w:pPr>
          </w:p>
        </w:tc>
        <w:tc>
          <w:tcPr>
            <w:tcW w:w="2126"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安全阀、爆破片等安全附件应按照设计要求设置并投入使用。</w:t>
            </w:r>
          </w:p>
        </w:tc>
        <w:tc>
          <w:tcPr>
            <w:tcW w:w="2410"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《化工和危险化学品生产经营企业重大生产安全事故隐患判定准则》（AQ 3067-2026）第5.4.6条</w:t>
            </w:r>
          </w:p>
        </w:tc>
        <w:tc>
          <w:tcPr>
            <w:tcW w:w="1701"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查设计资料、现场</w:t>
            </w:r>
          </w:p>
        </w:tc>
        <w:tc>
          <w:tcPr>
            <w:tcW w:w="1984" w:type="dxa"/>
          </w:tcPr>
          <w:p>
            <w:pPr>
              <w:jc w:val="center"/>
              <w:rPr>
                <w:rFonts w:ascii="Times New Roman" w:hAnsi="Times New Roman" w:eastAsia="宋体" w:cs="Times New Roman"/>
                <w:color w:val="auto"/>
                <w:kern w:val="0"/>
                <w:sz w:val="21"/>
                <w:szCs w:val="21"/>
              </w:rPr>
            </w:pPr>
          </w:p>
        </w:tc>
        <w:tc>
          <w:tcPr>
            <w:tcW w:w="1843" w:type="dxa"/>
          </w:tcPr>
          <w:p>
            <w:pPr>
              <w:jc w:val="center"/>
              <w:rPr>
                <w:rFonts w:ascii="Times New Roman" w:hAnsi="Times New Roman" w:eastAsia="宋体" w:cs="Times New Roman"/>
                <w:color w:val="auto"/>
                <w:kern w:val="0"/>
                <w:sz w:val="21"/>
                <w:szCs w:val="21"/>
              </w:rPr>
            </w:pPr>
          </w:p>
        </w:tc>
        <w:tc>
          <w:tcPr>
            <w:tcW w:w="2126" w:type="dxa"/>
          </w:tcPr>
          <w:p>
            <w:pPr>
              <w:jc w:val="center"/>
              <w:rPr>
                <w:rFonts w:ascii="Times New Roman" w:hAnsi="Times New Roman" w:eastAsia="宋体" w:cs="Times New Roman"/>
                <w:color w:val="auto"/>
                <w:kern w:val="0"/>
                <w:sz w:val="21"/>
                <w:szCs w:val="21"/>
              </w:rPr>
            </w:pPr>
          </w:p>
        </w:tc>
        <w:tc>
          <w:tcPr>
            <w:tcW w:w="709" w:type="dxa"/>
          </w:tcPr>
          <w:p>
            <w:pPr>
              <w:jc w:val="center"/>
              <w:rPr>
                <w:rFonts w:ascii="Times New Roman" w:hAnsi="Times New Roman" w:eastAsia="宋体" w:cs="Times New Roman"/>
                <w:color w:val="auto"/>
                <w:kern w:val="0"/>
                <w:sz w:val="21"/>
                <w:szCs w:val="21"/>
              </w:rPr>
            </w:pPr>
          </w:p>
        </w:tc>
        <w:tc>
          <w:tcPr>
            <w:tcW w:w="786" w:type="dxa"/>
            <w:vAlign w:val="center"/>
          </w:tcPr>
          <w:p>
            <w:pPr>
              <w:widowControl/>
              <w:spacing w:line="280" w:lineRule="exact"/>
              <w:jc w:val="center"/>
              <w:textAlignment w:val="center"/>
              <w:rPr>
                <w:rFonts w:ascii="Times New Roman" w:hAnsi="Times New Roman" w:eastAsia="宋体" w:cs="Times New Roman"/>
                <w:b/>
                <w:bCs/>
                <w:color w:val="auto"/>
                <w:kern w:val="0"/>
                <w:sz w:val="21"/>
                <w:szCs w:val="21"/>
              </w:rPr>
            </w:pPr>
            <w:r>
              <w:rPr>
                <w:rFonts w:ascii="Times New Roman" w:hAnsi="Times New Roman" w:eastAsia="宋体" w:cs="Times New Roman"/>
                <w:b/>
                <w:bCs/>
                <w:color w:val="auto"/>
                <w:kern w:val="0"/>
                <w:sz w:val="21"/>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4"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31</w:t>
            </w:r>
          </w:p>
        </w:tc>
        <w:tc>
          <w:tcPr>
            <w:tcW w:w="567" w:type="dxa"/>
            <w:vMerge w:val="continue"/>
          </w:tcPr>
          <w:p>
            <w:pPr>
              <w:jc w:val="center"/>
              <w:rPr>
                <w:rFonts w:ascii="Times New Roman" w:hAnsi="Times New Roman" w:eastAsia="宋体" w:cs="Times New Roman"/>
                <w:color w:val="auto"/>
                <w:kern w:val="0"/>
                <w:sz w:val="21"/>
                <w:szCs w:val="21"/>
              </w:rPr>
            </w:pPr>
          </w:p>
        </w:tc>
        <w:tc>
          <w:tcPr>
            <w:tcW w:w="2126"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安全阀、压力表等安全附件应定期检验并在有效期内使用。</w:t>
            </w:r>
          </w:p>
        </w:tc>
        <w:tc>
          <w:tcPr>
            <w:tcW w:w="2410" w:type="dxa"/>
            <w:vAlign w:val="center"/>
          </w:tcPr>
          <w:p>
            <w:pPr>
              <w:widowControl/>
              <w:spacing w:line="280" w:lineRule="exact"/>
              <w:jc w:val="center"/>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《承压类特种设备安全附件安全技术规程》（TSG 92-2026）</w:t>
            </w:r>
          </w:p>
          <w:p>
            <w:pPr>
              <w:widowControl/>
              <w:spacing w:line="280" w:lineRule="exact"/>
              <w:jc w:val="center"/>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D5.2、dc1</w:t>
            </w:r>
          </w:p>
        </w:tc>
        <w:tc>
          <w:tcPr>
            <w:tcW w:w="1701" w:type="dxa"/>
            <w:vAlign w:val="center"/>
          </w:tcPr>
          <w:p>
            <w:pPr>
              <w:jc w:val="left"/>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 xml:space="preserve">检查安全阀、压力表等安全附件检验报告，是否齐全、在有效期内使用。 </w:t>
            </w:r>
          </w:p>
          <w:p>
            <w:pPr>
              <w:jc w:val="left"/>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查现场的安全阀、压力表是否按有关规定进行校验，铅封和校验标记等齐全、在有效期内使用。</w:t>
            </w:r>
          </w:p>
        </w:tc>
        <w:tc>
          <w:tcPr>
            <w:tcW w:w="1984" w:type="dxa"/>
          </w:tcPr>
          <w:p>
            <w:pPr>
              <w:jc w:val="center"/>
              <w:rPr>
                <w:rFonts w:ascii="Times New Roman" w:hAnsi="Times New Roman" w:eastAsia="宋体" w:cs="Times New Roman"/>
                <w:color w:val="auto"/>
                <w:kern w:val="0"/>
                <w:sz w:val="21"/>
                <w:szCs w:val="21"/>
              </w:rPr>
            </w:pPr>
          </w:p>
        </w:tc>
        <w:tc>
          <w:tcPr>
            <w:tcW w:w="1843" w:type="dxa"/>
          </w:tcPr>
          <w:p>
            <w:pPr>
              <w:jc w:val="center"/>
              <w:rPr>
                <w:rFonts w:ascii="Times New Roman" w:hAnsi="Times New Roman" w:eastAsia="宋体" w:cs="Times New Roman"/>
                <w:color w:val="auto"/>
                <w:kern w:val="0"/>
                <w:sz w:val="21"/>
                <w:szCs w:val="21"/>
              </w:rPr>
            </w:pPr>
          </w:p>
        </w:tc>
        <w:tc>
          <w:tcPr>
            <w:tcW w:w="2126" w:type="dxa"/>
          </w:tcPr>
          <w:p>
            <w:pPr>
              <w:jc w:val="center"/>
              <w:rPr>
                <w:rFonts w:ascii="Times New Roman" w:hAnsi="Times New Roman" w:eastAsia="宋体" w:cs="Times New Roman"/>
                <w:color w:val="auto"/>
                <w:kern w:val="0"/>
                <w:sz w:val="21"/>
                <w:szCs w:val="21"/>
              </w:rPr>
            </w:pPr>
          </w:p>
        </w:tc>
        <w:tc>
          <w:tcPr>
            <w:tcW w:w="709" w:type="dxa"/>
          </w:tcPr>
          <w:p>
            <w:pPr>
              <w:jc w:val="center"/>
              <w:rPr>
                <w:rFonts w:ascii="Times New Roman" w:hAnsi="Times New Roman" w:eastAsia="宋体" w:cs="Times New Roman"/>
                <w:color w:val="auto"/>
                <w:kern w:val="0"/>
                <w:sz w:val="21"/>
                <w:szCs w:val="21"/>
              </w:rPr>
            </w:pPr>
          </w:p>
        </w:tc>
        <w:tc>
          <w:tcPr>
            <w:tcW w:w="786" w:type="dxa"/>
            <w:vAlign w:val="center"/>
          </w:tcPr>
          <w:p>
            <w:pPr>
              <w:widowControl/>
              <w:spacing w:line="280" w:lineRule="exact"/>
              <w:jc w:val="center"/>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B级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32</w:t>
            </w:r>
          </w:p>
        </w:tc>
        <w:tc>
          <w:tcPr>
            <w:tcW w:w="567" w:type="dxa"/>
            <w:vMerge w:val="continue"/>
            <w:vAlign w:val="center"/>
          </w:tcPr>
          <w:p>
            <w:pPr>
              <w:jc w:val="center"/>
              <w:rPr>
                <w:rFonts w:ascii="Times New Roman" w:hAnsi="Times New Roman" w:eastAsia="宋体" w:cs="Times New Roman"/>
                <w:color w:val="auto"/>
                <w:kern w:val="0"/>
                <w:sz w:val="21"/>
                <w:szCs w:val="21"/>
              </w:rPr>
            </w:pPr>
          </w:p>
        </w:tc>
        <w:tc>
          <w:tcPr>
            <w:tcW w:w="2126"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压力表的选型应符合相关要求，压力范围及检定标记明显。</w:t>
            </w:r>
          </w:p>
        </w:tc>
        <w:tc>
          <w:tcPr>
            <w:tcW w:w="2410" w:type="dxa"/>
            <w:vAlign w:val="center"/>
          </w:tcPr>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《固定式压力容器安全技术监察规程》(TSG 21-</w:t>
            </w:r>
          </w:p>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2016)第 9.2.1 条</w:t>
            </w:r>
          </w:p>
        </w:tc>
        <w:tc>
          <w:tcPr>
            <w:tcW w:w="1701" w:type="dxa"/>
            <w:vAlign w:val="center"/>
          </w:tcPr>
          <w:p>
            <w:pPr>
              <w:jc w:val="left"/>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现场随机抽查压力表的选型，选用的压力表，应当与压力容器内的介质相适应；注意涉氨、液氧等装置应采用专用压力表。</w:t>
            </w:r>
          </w:p>
          <w:p>
            <w:pPr>
              <w:jc w:val="left"/>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压力表安装前应进行检定，在刻度盘上应当划出指示工作压力的红线，注明下次检定日期。压力表检定后应加铅封。</w:t>
            </w:r>
          </w:p>
        </w:tc>
        <w:tc>
          <w:tcPr>
            <w:tcW w:w="1984" w:type="dxa"/>
          </w:tcPr>
          <w:p>
            <w:pPr>
              <w:jc w:val="center"/>
              <w:rPr>
                <w:rFonts w:ascii="Times New Roman" w:hAnsi="Times New Roman" w:eastAsia="宋体" w:cs="Times New Roman"/>
                <w:color w:val="auto"/>
                <w:kern w:val="0"/>
                <w:sz w:val="21"/>
                <w:szCs w:val="21"/>
              </w:rPr>
            </w:pPr>
          </w:p>
        </w:tc>
        <w:tc>
          <w:tcPr>
            <w:tcW w:w="1843" w:type="dxa"/>
          </w:tcPr>
          <w:p>
            <w:pPr>
              <w:jc w:val="center"/>
              <w:rPr>
                <w:rFonts w:ascii="Times New Roman" w:hAnsi="Times New Roman" w:eastAsia="宋体" w:cs="Times New Roman"/>
                <w:color w:val="auto"/>
                <w:kern w:val="0"/>
                <w:sz w:val="21"/>
                <w:szCs w:val="21"/>
              </w:rPr>
            </w:pPr>
          </w:p>
        </w:tc>
        <w:tc>
          <w:tcPr>
            <w:tcW w:w="2126" w:type="dxa"/>
          </w:tcPr>
          <w:p>
            <w:pPr>
              <w:jc w:val="center"/>
              <w:rPr>
                <w:rFonts w:ascii="Times New Roman" w:hAnsi="Times New Roman" w:eastAsia="宋体" w:cs="Times New Roman"/>
                <w:color w:val="auto"/>
                <w:kern w:val="0"/>
                <w:sz w:val="21"/>
                <w:szCs w:val="21"/>
              </w:rPr>
            </w:pPr>
          </w:p>
        </w:tc>
        <w:tc>
          <w:tcPr>
            <w:tcW w:w="709" w:type="dxa"/>
          </w:tcPr>
          <w:p>
            <w:pPr>
              <w:jc w:val="center"/>
              <w:rPr>
                <w:rFonts w:ascii="Times New Roman" w:hAnsi="Times New Roman" w:eastAsia="宋体" w:cs="Times New Roman"/>
                <w:color w:val="auto"/>
                <w:kern w:val="0"/>
                <w:sz w:val="21"/>
                <w:szCs w:val="21"/>
              </w:rPr>
            </w:pPr>
          </w:p>
        </w:tc>
        <w:tc>
          <w:tcPr>
            <w:tcW w:w="786" w:type="dxa"/>
            <w:vAlign w:val="center"/>
          </w:tcPr>
          <w:p>
            <w:pPr>
              <w:widowControl/>
              <w:spacing w:line="280" w:lineRule="exact"/>
              <w:jc w:val="center"/>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33</w:t>
            </w:r>
          </w:p>
        </w:tc>
        <w:tc>
          <w:tcPr>
            <w:tcW w:w="567" w:type="dxa"/>
            <w:vMerge w:val="restart"/>
            <w:vAlign w:val="center"/>
          </w:tcPr>
          <w:p>
            <w:pPr>
              <w:jc w:val="center"/>
              <w:rPr>
                <w:rFonts w:hint="eastAsia" w:ascii="宋体" w:hAnsi="宋体" w:eastAsia="宋体" w:cs="Times New Roman"/>
                <w:color w:val="auto"/>
                <w:kern w:val="0"/>
                <w:sz w:val="21"/>
                <w:szCs w:val="21"/>
              </w:rPr>
            </w:pPr>
            <w:r>
              <w:rPr>
                <w:rFonts w:ascii="宋体" w:hAnsi="宋体" w:eastAsia="宋体" w:cs="Times New Roman"/>
                <w:color w:val="auto"/>
                <w:kern w:val="0"/>
                <w:sz w:val="21"/>
                <w:szCs w:val="21"/>
              </w:rPr>
              <w:t>承包商管理</w:t>
            </w:r>
          </w:p>
        </w:tc>
        <w:tc>
          <w:tcPr>
            <w:tcW w:w="2126" w:type="dxa"/>
            <w:vAlign w:val="center"/>
          </w:tcPr>
          <w:p>
            <w:pPr>
              <w:widowControl/>
              <w:spacing w:line="280" w:lineRule="exact"/>
              <w:textAlignment w:val="center"/>
              <w:rPr>
                <w:rFonts w:hint="eastAsia" w:ascii="宋体" w:hAnsi="宋体" w:eastAsia="宋体" w:cs="Times New Roman"/>
                <w:color w:val="auto"/>
                <w:kern w:val="0"/>
                <w:sz w:val="21"/>
                <w:szCs w:val="21"/>
              </w:rPr>
            </w:pPr>
            <w:r>
              <w:rPr>
                <w:rFonts w:ascii="Times New Roman" w:hAnsi="Times New Roman" w:eastAsia="宋体" w:cs="Times New Roman"/>
                <w:bCs/>
                <w:color w:val="auto"/>
                <w:kern w:val="0"/>
                <w:sz w:val="21"/>
                <w:szCs w:val="21"/>
              </w:rPr>
              <w:t>企业应根据自身规模、部门设置等实际，制订承包商安全管理制度，主要明确承包商选择、安全生产协议、入厂（场）、开工准备、作业安全、监督检查、评估考核、“黑名单”管理、续用以及建立合格承包商名录、档案等要求。承包商安全管理制度应符合国家和省有关法律、法规、规章、标准和规范性文件的要求，并定期修订更新。</w:t>
            </w:r>
          </w:p>
        </w:tc>
        <w:tc>
          <w:tcPr>
            <w:tcW w:w="2410"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《化工过程安全管理导则》AQ/T3034-2022第4.14.1条</w:t>
            </w:r>
          </w:p>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《关于加强化工过程安全管理的指导意见》（安监总管三〔2013〕88号）第二十条</w:t>
            </w:r>
          </w:p>
          <w:p>
            <w:pPr>
              <w:widowControl/>
              <w:spacing w:line="280" w:lineRule="exact"/>
              <w:textAlignment w:val="center"/>
              <w:rPr>
                <w:rFonts w:hint="eastAsia" w:ascii="宋体" w:hAnsi="宋体" w:eastAsia="宋体" w:cs="Times New Roman"/>
                <w:color w:val="auto"/>
                <w:kern w:val="0"/>
                <w:sz w:val="21"/>
                <w:szCs w:val="21"/>
              </w:rPr>
            </w:pPr>
            <w:bookmarkStart w:id="84" w:name="OLE_LINK85"/>
            <w:r>
              <w:rPr>
                <w:rFonts w:ascii="Times New Roman" w:hAnsi="Times New Roman" w:eastAsia="宋体" w:cs="Times New Roman"/>
                <w:color w:val="auto"/>
                <w:kern w:val="0"/>
                <w:sz w:val="21"/>
                <w:szCs w:val="21"/>
              </w:rPr>
              <w:t>《云南省危险化学品企业承包商安全管理工作指引（试行）》第2.3条</w:t>
            </w:r>
            <w:bookmarkEnd w:id="84"/>
          </w:p>
        </w:tc>
        <w:tc>
          <w:tcPr>
            <w:tcW w:w="1701" w:type="dxa"/>
            <w:vAlign w:val="center"/>
          </w:tcPr>
          <w:p>
            <w:pPr>
              <w:jc w:val="left"/>
              <w:rPr>
                <w:rFonts w:hint="eastAsia" w:ascii="宋体" w:hAnsi="宋体" w:eastAsia="宋体" w:cs="Times New Roman"/>
                <w:color w:val="auto"/>
                <w:kern w:val="0"/>
                <w:sz w:val="21"/>
                <w:szCs w:val="21"/>
              </w:rPr>
            </w:pPr>
            <w:r>
              <w:rPr>
                <w:rFonts w:ascii="Times New Roman" w:hAnsi="Times New Roman" w:eastAsia="宋体" w:cs="Times New Roman"/>
                <w:bCs/>
                <w:color w:val="auto"/>
                <w:kern w:val="0"/>
                <w:sz w:val="21"/>
                <w:szCs w:val="21"/>
              </w:rPr>
              <w:t>查阅承包商管理制度和台账核实企业是否建立了清晰、明确的承包商的选择的流程，是否严格执行了承包商的准入、绩效评价和退出管理机制。</w:t>
            </w:r>
          </w:p>
        </w:tc>
        <w:tc>
          <w:tcPr>
            <w:tcW w:w="1984" w:type="dxa"/>
          </w:tcPr>
          <w:p>
            <w:pPr>
              <w:jc w:val="center"/>
              <w:rPr>
                <w:rFonts w:hint="eastAsia" w:ascii="宋体" w:hAnsi="宋体" w:eastAsia="宋体" w:cs="Times New Roman"/>
                <w:color w:val="auto"/>
                <w:kern w:val="0"/>
                <w:sz w:val="21"/>
                <w:szCs w:val="21"/>
              </w:rPr>
            </w:pPr>
          </w:p>
        </w:tc>
        <w:tc>
          <w:tcPr>
            <w:tcW w:w="1843" w:type="dxa"/>
          </w:tcPr>
          <w:p>
            <w:pPr>
              <w:jc w:val="center"/>
              <w:rPr>
                <w:rFonts w:hint="eastAsia" w:ascii="宋体" w:hAnsi="宋体" w:eastAsia="宋体" w:cs="Times New Roman"/>
                <w:color w:val="auto"/>
                <w:kern w:val="0"/>
                <w:sz w:val="21"/>
                <w:szCs w:val="21"/>
              </w:rPr>
            </w:pPr>
          </w:p>
        </w:tc>
        <w:tc>
          <w:tcPr>
            <w:tcW w:w="2126" w:type="dxa"/>
          </w:tcPr>
          <w:p>
            <w:pPr>
              <w:jc w:val="center"/>
              <w:rPr>
                <w:rFonts w:hint="eastAsia" w:ascii="宋体" w:hAnsi="宋体" w:eastAsia="宋体" w:cs="Times New Roman"/>
                <w:color w:val="auto"/>
                <w:kern w:val="0"/>
                <w:sz w:val="21"/>
                <w:szCs w:val="21"/>
              </w:rPr>
            </w:pPr>
          </w:p>
        </w:tc>
        <w:tc>
          <w:tcPr>
            <w:tcW w:w="709" w:type="dxa"/>
          </w:tcPr>
          <w:p>
            <w:pPr>
              <w:jc w:val="center"/>
              <w:rPr>
                <w:rFonts w:hint="eastAsia" w:ascii="宋体" w:hAnsi="宋体" w:eastAsia="宋体" w:cs="Times New Roman"/>
                <w:color w:val="auto"/>
                <w:kern w:val="0"/>
                <w:sz w:val="21"/>
                <w:szCs w:val="21"/>
              </w:rPr>
            </w:pPr>
          </w:p>
        </w:tc>
        <w:tc>
          <w:tcPr>
            <w:tcW w:w="786" w:type="dxa"/>
            <w:vAlign w:val="center"/>
          </w:tcPr>
          <w:p>
            <w:pPr>
              <w:widowControl/>
              <w:spacing w:line="280" w:lineRule="exact"/>
              <w:jc w:val="center"/>
              <w:textAlignment w:val="center"/>
              <w:rPr>
                <w:rFonts w:hint="eastAsia" w:ascii="宋体" w:hAnsi="宋体" w:eastAsia="宋体" w:cs="Times New Roman"/>
                <w:color w:val="auto"/>
                <w:kern w:val="0"/>
                <w:sz w:val="21"/>
                <w:szCs w:val="21"/>
              </w:rPr>
            </w:pPr>
            <w:r>
              <w:rPr>
                <w:rFonts w:ascii="Times New Roman" w:hAnsi="Times New Roman" w:eastAsia="宋体" w:cs="Times New Roman"/>
                <w:bCs/>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34</w:t>
            </w:r>
          </w:p>
        </w:tc>
        <w:tc>
          <w:tcPr>
            <w:tcW w:w="567" w:type="dxa"/>
            <w:vMerge w:val="continue"/>
          </w:tcPr>
          <w:p>
            <w:pPr>
              <w:jc w:val="center"/>
              <w:rPr>
                <w:rFonts w:hint="eastAsia" w:ascii="宋体" w:hAnsi="宋体" w:eastAsia="宋体" w:cs="Times New Roman"/>
                <w:color w:val="auto"/>
                <w:kern w:val="0"/>
                <w:sz w:val="21"/>
                <w:szCs w:val="21"/>
              </w:rPr>
            </w:pPr>
          </w:p>
        </w:tc>
        <w:tc>
          <w:tcPr>
            <w:tcW w:w="2126" w:type="dxa"/>
            <w:vAlign w:val="center"/>
          </w:tcPr>
          <w:p>
            <w:pPr>
              <w:widowControl/>
              <w:spacing w:line="280" w:lineRule="exact"/>
              <w:textAlignment w:val="center"/>
              <w:rPr>
                <w:rFonts w:hint="eastAsia" w:ascii="宋体" w:hAnsi="宋体" w:eastAsia="宋体" w:cs="Times New Roman"/>
                <w:color w:val="auto"/>
                <w:kern w:val="0"/>
                <w:sz w:val="21"/>
                <w:szCs w:val="21"/>
              </w:rPr>
            </w:pPr>
            <w:r>
              <w:rPr>
                <w:rFonts w:ascii="Times New Roman" w:hAnsi="Times New Roman" w:eastAsia="宋体" w:cs="Times New Roman"/>
                <w:bCs/>
                <w:color w:val="auto"/>
                <w:kern w:val="0"/>
                <w:sz w:val="21"/>
                <w:szCs w:val="21"/>
              </w:rPr>
              <w:t>企业应对承包商施工安全资质、主要负责人、安全管理人员的人员资质、安全管理体系和业绩进行审查，建立合格承包商名录。</w:t>
            </w:r>
          </w:p>
        </w:tc>
        <w:tc>
          <w:tcPr>
            <w:tcW w:w="2410"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《关于加强化工过程安全管理的指导意见》（安监总管三〔2013〕88号）第二十条</w:t>
            </w:r>
          </w:p>
          <w:p>
            <w:pPr>
              <w:widowControl/>
              <w:spacing w:line="280" w:lineRule="exact"/>
              <w:textAlignment w:val="center"/>
              <w:rPr>
                <w:rFonts w:hint="eastAsia" w:ascii="宋体" w:hAnsi="宋体" w:eastAsia="宋体" w:cs="Times New Roman"/>
                <w:color w:val="auto"/>
                <w:kern w:val="0"/>
                <w:sz w:val="21"/>
                <w:szCs w:val="21"/>
              </w:rPr>
            </w:pPr>
            <w:r>
              <w:rPr>
                <w:rFonts w:ascii="Times New Roman" w:hAnsi="Times New Roman" w:eastAsia="宋体" w:cs="Times New Roman"/>
                <w:color w:val="auto"/>
                <w:kern w:val="0"/>
                <w:sz w:val="21"/>
                <w:szCs w:val="21"/>
              </w:rPr>
              <w:t>《云南省危险化学品企业承包商安全管理工作指引（试行）》第3.5条</w:t>
            </w:r>
          </w:p>
        </w:tc>
        <w:tc>
          <w:tcPr>
            <w:tcW w:w="1701" w:type="dxa"/>
            <w:vAlign w:val="center"/>
          </w:tcPr>
          <w:p>
            <w:pPr>
              <w:jc w:val="left"/>
              <w:rPr>
                <w:rFonts w:hint="eastAsia" w:ascii="宋体" w:hAnsi="宋体" w:eastAsia="宋体" w:cs="Times New Roman"/>
                <w:color w:val="auto"/>
                <w:kern w:val="0"/>
                <w:sz w:val="21"/>
                <w:szCs w:val="21"/>
              </w:rPr>
            </w:pPr>
            <w:r>
              <w:rPr>
                <w:rFonts w:ascii="Times New Roman" w:hAnsi="Times New Roman" w:eastAsia="宋体" w:cs="Times New Roman"/>
                <w:bCs/>
                <w:color w:val="auto"/>
                <w:kern w:val="0"/>
                <w:sz w:val="21"/>
                <w:szCs w:val="21"/>
              </w:rPr>
              <w:t>查阅合格承包商名录和承包商台账，随机抽取2～5家承包商的资料。</w:t>
            </w:r>
          </w:p>
        </w:tc>
        <w:tc>
          <w:tcPr>
            <w:tcW w:w="1984" w:type="dxa"/>
          </w:tcPr>
          <w:p>
            <w:pPr>
              <w:jc w:val="center"/>
              <w:rPr>
                <w:rFonts w:hint="eastAsia" w:ascii="宋体" w:hAnsi="宋体" w:eastAsia="宋体" w:cs="Times New Roman"/>
                <w:color w:val="auto"/>
                <w:kern w:val="0"/>
                <w:sz w:val="21"/>
                <w:szCs w:val="21"/>
              </w:rPr>
            </w:pPr>
          </w:p>
        </w:tc>
        <w:tc>
          <w:tcPr>
            <w:tcW w:w="1843" w:type="dxa"/>
          </w:tcPr>
          <w:p>
            <w:pPr>
              <w:jc w:val="center"/>
              <w:rPr>
                <w:rFonts w:hint="eastAsia" w:ascii="宋体" w:hAnsi="宋体" w:eastAsia="宋体" w:cs="Times New Roman"/>
                <w:color w:val="auto"/>
                <w:kern w:val="0"/>
                <w:sz w:val="21"/>
                <w:szCs w:val="21"/>
              </w:rPr>
            </w:pPr>
          </w:p>
        </w:tc>
        <w:tc>
          <w:tcPr>
            <w:tcW w:w="2126" w:type="dxa"/>
          </w:tcPr>
          <w:p>
            <w:pPr>
              <w:jc w:val="center"/>
              <w:rPr>
                <w:rFonts w:hint="eastAsia" w:ascii="宋体" w:hAnsi="宋体" w:eastAsia="宋体" w:cs="Times New Roman"/>
                <w:color w:val="auto"/>
                <w:kern w:val="0"/>
                <w:sz w:val="21"/>
                <w:szCs w:val="21"/>
              </w:rPr>
            </w:pPr>
          </w:p>
        </w:tc>
        <w:tc>
          <w:tcPr>
            <w:tcW w:w="709" w:type="dxa"/>
          </w:tcPr>
          <w:p>
            <w:pPr>
              <w:jc w:val="center"/>
              <w:rPr>
                <w:rFonts w:hint="eastAsia" w:ascii="宋体" w:hAnsi="宋体" w:eastAsia="宋体" w:cs="Times New Roman"/>
                <w:color w:val="auto"/>
                <w:kern w:val="0"/>
                <w:sz w:val="21"/>
                <w:szCs w:val="21"/>
              </w:rPr>
            </w:pPr>
          </w:p>
        </w:tc>
        <w:tc>
          <w:tcPr>
            <w:tcW w:w="786" w:type="dxa"/>
            <w:vAlign w:val="center"/>
          </w:tcPr>
          <w:p>
            <w:pPr>
              <w:widowControl/>
              <w:spacing w:line="280" w:lineRule="exact"/>
              <w:jc w:val="center"/>
              <w:textAlignment w:val="center"/>
              <w:rPr>
                <w:rFonts w:hint="eastAsia" w:ascii="宋体" w:hAnsi="宋体" w:eastAsia="宋体" w:cs="Times New Roman"/>
                <w:color w:val="auto"/>
                <w:kern w:val="0"/>
                <w:sz w:val="21"/>
                <w:szCs w:val="21"/>
              </w:rPr>
            </w:pPr>
            <w:r>
              <w:rPr>
                <w:rFonts w:ascii="Times New Roman" w:hAnsi="Times New Roman" w:eastAsia="宋体" w:cs="Times New Roman"/>
                <w:bCs/>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4"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35</w:t>
            </w:r>
          </w:p>
        </w:tc>
        <w:tc>
          <w:tcPr>
            <w:tcW w:w="567" w:type="dxa"/>
            <w:vMerge w:val="continue"/>
          </w:tcPr>
          <w:p>
            <w:pPr>
              <w:jc w:val="center"/>
              <w:rPr>
                <w:rFonts w:hint="eastAsia" w:ascii="宋体" w:hAnsi="宋体" w:eastAsia="宋体" w:cs="Times New Roman"/>
                <w:color w:val="auto"/>
                <w:kern w:val="0"/>
                <w:sz w:val="21"/>
                <w:szCs w:val="21"/>
              </w:rPr>
            </w:pPr>
          </w:p>
        </w:tc>
        <w:tc>
          <w:tcPr>
            <w:tcW w:w="2126" w:type="dxa"/>
            <w:vAlign w:val="center"/>
          </w:tcPr>
          <w:p>
            <w:pPr>
              <w:widowControl/>
              <w:spacing w:line="280" w:lineRule="exact"/>
              <w:textAlignment w:val="center"/>
              <w:rPr>
                <w:rFonts w:hint="eastAsia" w:ascii="宋体" w:hAnsi="宋体" w:eastAsia="宋体" w:cs="Times New Roman"/>
                <w:color w:val="auto"/>
                <w:kern w:val="0"/>
                <w:sz w:val="21"/>
                <w:szCs w:val="21"/>
              </w:rPr>
            </w:pPr>
            <w:r>
              <w:rPr>
                <w:rFonts w:ascii="Times New Roman" w:hAnsi="Times New Roman" w:eastAsia="宋体" w:cs="Times New Roman"/>
                <w:bCs/>
                <w:color w:val="auto"/>
                <w:kern w:val="0"/>
                <w:sz w:val="21"/>
                <w:szCs w:val="21"/>
              </w:rPr>
              <w:t>企业应与承包商签订安全管理协议。协议内容至少包括：双方工作范围、风险告知（含项目周边及潜在的火灾、爆炸、有毒物质泄漏等安全风险及应急响应措施）、安全责任划分、安全管理要求（含安全管理机构及人员配置、从业人员及工机具管理、作业风险分析、安全措施、安全教育培训、事故报告、隐患整改等）、应急处置流程、终止施工条款、考核奖惩、不得擅自转包分包、争议解决方式等。</w:t>
            </w:r>
          </w:p>
        </w:tc>
        <w:tc>
          <w:tcPr>
            <w:tcW w:w="2410"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《关于加强化工过程安全管理的指导意见》（安监总管三〔2013〕88号）第二十一条</w:t>
            </w:r>
          </w:p>
          <w:p>
            <w:pPr>
              <w:widowControl/>
              <w:spacing w:line="280" w:lineRule="exact"/>
              <w:textAlignment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《云南省危险化学品企业承包商安全管理工作指引（试行）》第3.1条</w:t>
            </w:r>
          </w:p>
        </w:tc>
        <w:tc>
          <w:tcPr>
            <w:tcW w:w="1701" w:type="dxa"/>
            <w:vAlign w:val="center"/>
          </w:tcPr>
          <w:p>
            <w:pPr>
              <w:jc w:val="left"/>
              <w:rPr>
                <w:rFonts w:hint="eastAsia" w:ascii="宋体" w:hAnsi="宋体" w:eastAsia="宋体" w:cs="Times New Roman"/>
                <w:color w:val="auto"/>
                <w:kern w:val="0"/>
                <w:sz w:val="21"/>
                <w:szCs w:val="21"/>
              </w:rPr>
            </w:pPr>
            <w:r>
              <w:rPr>
                <w:rFonts w:ascii="Times New Roman" w:hAnsi="Times New Roman" w:eastAsia="宋体" w:cs="Times New Roman"/>
                <w:bCs/>
                <w:color w:val="auto"/>
                <w:kern w:val="0"/>
                <w:sz w:val="21"/>
                <w:szCs w:val="21"/>
              </w:rPr>
              <w:t>企业是否与承包商签订安全施工协议，查看安全协议的内容是否满足要求。</w:t>
            </w:r>
          </w:p>
        </w:tc>
        <w:tc>
          <w:tcPr>
            <w:tcW w:w="1984" w:type="dxa"/>
          </w:tcPr>
          <w:p>
            <w:pPr>
              <w:jc w:val="center"/>
              <w:rPr>
                <w:rFonts w:hint="eastAsia" w:ascii="宋体" w:hAnsi="宋体" w:eastAsia="宋体" w:cs="Times New Roman"/>
                <w:color w:val="auto"/>
                <w:kern w:val="0"/>
                <w:sz w:val="21"/>
                <w:szCs w:val="21"/>
              </w:rPr>
            </w:pPr>
          </w:p>
        </w:tc>
        <w:tc>
          <w:tcPr>
            <w:tcW w:w="1843" w:type="dxa"/>
          </w:tcPr>
          <w:p>
            <w:pPr>
              <w:jc w:val="center"/>
              <w:rPr>
                <w:rFonts w:hint="eastAsia" w:ascii="宋体" w:hAnsi="宋体" w:eastAsia="宋体" w:cs="Times New Roman"/>
                <w:color w:val="auto"/>
                <w:kern w:val="0"/>
                <w:sz w:val="21"/>
                <w:szCs w:val="21"/>
              </w:rPr>
            </w:pPr>
          </w:p>
        </w:tc>
        <w:tc>
          <w:tcPr>
            <w:tcW w:w="2126" w:type="dxa"/>
          </w:tcPr>
          <w:p>
            <w:pPr>
              <w:jc w:val="center"/>
              <w:rPr>
                <w:rFonts w:hint="eastAsia" w:ascii="宋体" w:hAnsi="宋体" w:eastAsia="宋体" w:cs="Times New Roman"/>
                <w:color w:val="auto"/>
                <w:kern w:val="0"/>
                <w:sz w:val="21"/>
                <w:szCs w:val="21"/>
              </w:rPr>
            </w:pPr>
          </w:p>
        </w:tc>
        <w:tc>
          <w:tcPr>
            <w:tcW w:w="709" w:type="dxa"/>
          </w:tcPr>
          <w:p>
            <w:pPr>
              <w:jc w:val="center"/>
              <w:rPr>
                <w:rFonts w:hint="eastAsia" w:ascii="宋体" w:hAnsi="宋体" w:eastAsia="宋体" w:cs="Times New Roman"/>
                <w:color w:val="auto"/>
                <w:kern w:val="0"/>
                <w:sz w:val="21"/>
                <w:szCs w:val="21"/>
              </w:rPr>
            </w:pPr>
          </w:p>
        </w:tc>
        <w:tc>
          <w:tcPr>
            <w:tcW w:w="786" w:type="dxa"/>
            <w:vAlign w:val="center"/>
          </w:tcPr>
          <w:p>
            <w:pPr>
              <w:widowControl/>
              <w:spacing w:line="280" w:lineRule="exact"/>
              <w:jc w:val="center"/>
              <w:textAlignment w:val="center"/>
              <w:rPr>
                <w:rFonts w:hint="eastAsia" w:ascii="宋体" w:hAnsi="宋体" w:eastAsia="宋体" w:cs="Times New Roman"/>
                <w:color w:val="auto"/>
                <w:kern w:val="0"/>
                <w:sz w:val="21"/>
                <w:szCs w:val="21"/>
              </w:rPr>
            </w:pPr>
            <w:r>
              <w:rPr>
                <w:rFonts w:ascii="Times New Roman" w:hAnsi="Times New Roman" w:eastAsia="宋体" w:cs="Times New Roman"/>
                <w:bCs/>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36</w:t>
            </w:r>
          </w:p>
        </w:tc>
        <w:tc>
          <w:tcPr>
            <w:tcW w:w="567" w:type="dxa"/>
            <w:vMerge w:val="continue"/>
          </w:tcPr>
          <w:p>
            <w:pPr>
              <w:jc w:val="center"/>
              <w:rPr>
                <w:rFonts w:hint="eastAsia" w:ascii="宋体" w:hAnsi="宋体" w:eastAsia="宋体" w:cs="Times New Roman"/>
                <w:color w:val="auto"/>
                <w:kern w:val="0"/>
                <w:sz w:val="21"/>
                <w:szCs w:val="21"/>
              </w:rPr>
            </w:pPr>
          </w:p>
        </w:tc>
        <w:tc>
          <w:tcPr>
            <w:tcW w:w="2126" w:type="dxa"/>
            <w:vAlign w:val="center"/>
          </w:tcPr>
          <w:p>
            <w:pPr>
              <w:widowControl/>
              <w:spacing w:line="280" w:lineRule="exact"/>
              <w:textAlignment w:val="center"/>
              <w:rPr>
                <w:rFonts w:hint="eastAsia" w:ascii="宋体" w:hAnsi="宋体" w:eastAsia="宋体" w:cs="Times New Roman"/>
                <w:color w:val="auto"/>
                <w:kern w:val="0"/>
                <w:sz w:val="21"/>
                <w:szCs w:val="21"/>
              </w:rPr>
            </w:pPr>
            <w:r>
              <w:rPr>
                <w:rFonts w:ascii="宋体" w:hAnsi="宋体" w:eastAsia="宋体" w:cs="Times New Roman"/>
                <w:color w:val="auto"/>
                <w:kern w:val="0"/>
                <w:sz w:val="21"/>
                <w:szCs w:val="21"/>
              </w:rPr>
              <w:t>企业应要求承包商提供自主针对性安全培训情况，按照“谁引入、谁管理”要求，由承包商使用部门牵头，组织对承包商作业人员开展入厂（场）前安全教育及作业现场安全培训（根据实际情况可结合安全措施交底、作业现场安全风险分析进行）。</w:t>
            </w:r>
          </w:p>
        </w:tc>
        <w:tc>
          <w:tcPr>
            <w:tcW w:w="2410"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《关于加强化工过程安全管理的指导意见》（安监总管三〔2013〕88号）第二十条</w:t>
            </w:r>
          </w:p>
          <w:p>
            <w:pPr>
              <w:widowControl/>
              <w:spacing w:line="280" w:lineRule="exact"/>
              <w:textAlignment w:val="center"/>
              <w:rPr>
                <w:rFonts w:hint="eastAsia" w:ascii="宋体" w:hAnsi="宋体" w:eastAsia="宋体" w:cs="Times New Roman"/>
                <w:color w:val="auto"/>
                <w:kern w:val="0"/>
                <w:sz w:val="21"/>
                <w:szCs w:val="21"/>
              </w:rPr>
            </w:pPr>
            <w:r>
              <w:rPr>
                <w:rFonts w:ascii="Times New Roman" w:hAnsi="Times New Roman" w:eastAsia="宋体" w:cs="Times New Roman"/>
                <w:color w:val="auto"/>
                <w:kern w:val="0"/>
                <w:sz w:val="21"/>
                <w:szCs w:val="21"/>
              </w:rPr>
              <w:t>《云南省危险化学品企业承包商安全管理工作指引（试行）》第3.2条</w:t>
            </w:r>
          </w:p>
        </w:tc>
        <w:tc>
          <w:tcPr>
            <w:tcW w:w="1701" w:type="dxa"/>
            <w:vAlign w:val="center"/>
          </w:tcPr>
          <w:p>
            <w:pPr>
              <w:jc w:val="left"/>
              <w:rPr>
                <w:rFonts w:hint="eastAsia" w:ascii="宋体" w:hAnsi="宋体" w:eastAsia="宋体" w:cs="Times New Roman"/>
                <w:color w:val="auto"/>
                <w:kern w:val="0"/>
                <w:sz w:val="21"/>
                <w:szCs w:val="21"/>
              </w:rPr>
            </w:pPr>
            <w:r>
              <w:rPr>
                <w:rFonts w:ascii="Times New Roman" w:hAnsi="Times New Roman" w:eastAsia="宋体" w:cs="Times New Roman"/>
                <w:bCs/>
                <w:color w:val="auto"/>
                <w:kern w:val="0"/>
                <w:sz w:val="21"/>
                <w:szCs w:val="21"/>
              </w:rPr>
              <w:t>查阅承包商管理台账，是否落实企业对承包商进行了入厂前的教育培训、作业开始前的安全交底。</w:t>
            </w:r>
          </w:p>
        </w:tc>
        <w:tc>
          <w:tcPr>
            <w:tcW w:w="1984" w:type="dxa"/>
          </w:tcPr>
          <w:p>
            <w:pPr>
              <w:jc w:val="center"/>
              <w:rPr>
                <w:rFonts w:hint="eastAsia" w:ascii="宋体" w:hAnsi="宋体" w:eastAsia="宋体" w:cs="Times New Roman"/>
                <w:color w:val="auto"/>
                <w:kern w:val="0"/>
                <w:sz w:val="21"/>
                <w:szCs w:val="21"/>
              </w:rPr>
            </w:pPr>
          </w:p>
        </w:tc>
        <w:tc>
          <w:tcPr>
            <w:tcW w:w="1843" w:type="dxa"/>
          </w:tcPr>
          <w:p>
            <w:pPr>
              <w:jc w:val="center"/>
              <w:rPr>
                <w:rFonts w:hint="eastAsia" w:ascii="宋体" w:hAnsi="宋体" w:eastAsia="宋体" w:cs="Times New Roman"/>
                <w:color w:val="auto"/>
                <w:kern w:val="0"/>
                <w:sz w:val="21"/>
                <w:szCs w:val="21"/>
              </w:rPr>
            </w:pPr>
          </w:p>
        </w:tc>
        <w:tc>
          <w:tcPr>
            <w:tcW w:w="2126" w:type="dxa"/>
          </w:tcPr>
          <w:p>
            <w:pPr>
              <w:jc w:val="center"/>
              <w:rPr>
                <w:rFonts w:hint="eastAsia" w:ascii="宋体" w:hAnsi="宋体" w:eastAsia="宋体" w:cs="Times New Roman"/>
                <w:color w:val="auto"/>
                <w:kern w:val="0"/>
                <w:sz w:val="21"/>
                <w:szCs w:val="21"/>
              </w:rPr>
            </w:pPr>
          </w:p>
        </w:tc>
        <w:tc>
          <w:tcPr>
            <w:tcW w:w="709" w:type="dxa"/>
          </w:tcPr>
          <w:p>
            <w:pPr>
              <w:jc w:val="center"/>
              <w:rPr>
                <w:rFonts w:hint="eastAsia" w:ascii="宋体" w:hAnsi="宋体" w:eastAsia="宋体" w:cs="Times New Roman"/>
                <w:color w:val="auto"/>
                <w:kern w:val="0"/>
                <w:sz w:val="21"/>
                <w:szCs w:val="21"/>
              </w:rPr>
            </w:pPr>
          </w:p>
        </w:tc>
        <w:tc>
          <w:tcPr>
            <w:tcW w:w="786" w:type="dxa"/>
            <w:vAlign w:val="center"/>
          </w:tcPr>
          <w:p>
            <w:pPr>
              <w:widowControl/>
              <w:spacing w:line="280" w:lineRule="exact"/>
              <w:jc w:val="center"/>
              <w:textAlignment w:val="center"/>
              <w:rPr>
                <w:rFonts w:hint="eastAsia" w:ascii="宋体" w:hAnsi="宋体" w:eastAsia="宋体" w:cs="Times New Roman"/>
                <w:color w:val="auto"/>
                <w:kern w:val="0"/>
                <w:sz w:val="21"/>
                <w:szCs w:val="21"/>
              </w:rPr>
            </w:pPr>
            <w:r>
              <w:rPr>
                <w:rFonts w:ascii="Times New Roman" w:hAnsi="Times New Roman" w:eastAsia="宋体" w:cs="Times New Roman"/>
                <w:bCs/>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kern w:val="0"/>
                <w:sz w:val="21"/>
                <w:szCs w:val="21"/>
              </w:rPr>
            </w:pPr>
            <w:r>
              <w:rPr>
                <w:rFonts w:ascii="Times New Roman" w:hAnsi="Times New Roman" w:eastAsia="宋体" w:cs="Times New Roman"/>
                <w:color w:val="auto"/>
                <w:kern w:val="0"/>
                <w:sz w:val="21"/>
                <w:szCs w:val="21"/>
              </w:rPr>
              <w:t>37</w:t>
            </w:r>
          </w:p>
        </w:tc>
        <w:tc>
          <w:tcPr>
            <w:tcW w:w="567" w:type="dxa"/>
            <w:vMerge w:val="continue"/>
          </w:tcPr>
          <w:p>
            <w:pPr>
              <w:jc w:val="center"/>
              <w:rPr>
                <w:rFonts w:hint="eastAsia" w:ascii="宋体" w:hAnsi="宋体" w:eastAsia="宋体" w:cs="Times New Roman"/>
                <w:color w:val="auto"/>
                <w:kern w:val="0"/>
                <w:sz w:val="21"/>
                <w:szCs w:val="21"/>
              </w:rPr>
            </w:pPr>
          </w:p>
        </w:tc>
        <w:tc>
          <w:tcPr>
            <w:tcW w:w="2126" w:type="dxa"/>
            <w:vAlign w:val="center"/>
          </w:tcPr>
          <w:p>
            <w:pPr>
              <w:widowControl/>
              <w:spacing w:line="280" w:lineRule="exact"/>
              <w:textAlignment w:val="center"/>
              <w:rPr>
                <w:rFonts w:hint="eastAsia" w:ascii="宋体" w:hAnsi="宋体" w:eastAsia="宋体" w:cs="Times New Roman"/>
                <w:color w:val="auto"/>
                <w:kern w:val="0"/>
                <w:sz w:val="21"/>
                <w:szCs w:val="21"/>
              </w:rPr>
            </w:pPr>
            <w:r>
              <w:rPr>
                <w:rFonts w:ascii="Times New Roman" w:hAnsi="Times New Roman" w:eastAsia="宋体" w:cs="Times New Roman"/>
                <w:bCs/>
                <w:color w:val="auto"/>
                <w:kern w:val="0"/>
                <w:sz w:val="21"/>
                <w:szCs w:val="21"/>
              </w:rPr>
              <w:t>企业应审查承包商编制的施工方案，开展作业前安全交底，对作业过程进行监督检查，并将监督检查的结果作为承包商业绩评价的依据。</w:t>
            </w:r>
          </w:p>
        </w:tc>
        <w:tc>
          <w:tcPr>
            <w:tcW w:w="2410"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《关于加强化工过程安全管理的指导意见》（安监总管三〔2013〕88号）第二十一条</w:t>
            </w:r>
          </w:p>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《化工过程安全管理导则》AQ/T3034-2022第</w:t>
            </w:r>
          </w:p>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4.14.4条</w:t>
            </w:r>
          </w:p>
          <w:p>
            <w:pPr>
              <w:widowControl/>
              <w:spacing w:line="280" w:lineRule="exact"/>
              <w:textAlignment w:val="center"/>
              <w:rPr>
                <w:rFonts w:hint="eastAsia" w:ascii="宋体" w:hAnsi="宋体" w:eastAsia="宋体" w:cs="Times New Roman"/>
                <w:color w:val="auto"/>
                <w:kern w:val="0"/>
                <w:sz w:val="21"/>
                <w:szCs w:val="21"/>
              </w:rPr>
            </w:pPr>
            <w:r>
              <w:rPr>
                <w:rFonts w:ascii="Times New Roman" w:hAnsi="Times New Roman" w:eastAsia="宋体" w:cs="Times New Roman"/>
                <w:color w:val="auto"/>
                <w:kern w:val="0"/>
                <w:sz w:val="21"/>
                <w:szCs w:val="21"/>
              </w:rPr>
              <w:t>《云南省危险化学品企业承包商安全管理工作指引（试行）》第3.2、3.3条</w:t>
            </w:r>
          </w:p>
        </w:tc>
        <w:tc>
          <w:tcPr>
            <w:tcW w:w="1701" w:type="dxa"/>
            <w:vAlign w:val="center"/>
          </w:tcPr>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查阅承包商管理台账，企业是否安排相关部</w:t>
            </w:r>
          </w:p>
          <w:p>
            <w:pPr>
              <w:jc w:val="left"/>
              <w:rPr>
                <w:rFonts w:hint="eastAsia" w:ascii="宋体" w:hAnsi="宋体" w:eastAsia="宋体" w:cs="Times New Roman"/>
                <w:color w:val="auto"/>
                <w:kern w:val="0"/>
                <w:sz w:val="21"/>
                <w:szCs w:val="21"/>
              </w:rPr>
            </w:pPr>
            <w:r>
              <w:rPr>
                <w:rFonts w:ascii="Times New Roman" w:hAnsi="Times New Roman" w:eastAsia="宋体" w:cs="Times New Roman"/>
                <w:bCs/>
                <w:color w:val="auto"/>
                <w:kern w:val="0"/>
                <w:sz w:val="21"/>
                <w:szCs w:val="21"/>
              </w:rPr>
              <w:t>门、相关责任人对承包商的施工方案和应急预案进行了审查。</w:t>
            </w:r>
          </w:p>
        </w:tc>
        <w:tc>
          <w:tcPr>
            <w:tcW w:w="1984" w:type="dxa"/>
          </w:tcPr>
          <w:p>
            <w:pPr>
              <w:jc w:val="center"/>
              <w:rPr>
                <w:rFonts w:hint="eastAsia" w:ascii="宋体" w:hAnsi="宋体" w:eastAsia="宋体" w:cs="Times New Roman"/>
                <w:color w:val="auto"/>
                <w:kern w:val="0"/>
                <w:sz w:val="21"/>
                <w:szCs w:val="21"/>
              </w:rPr>
            </w:pPr>
          </w:p>
        </w:tc>
        <w:tc>
          <w:tcPr>
            <w:tcW w:w="1843" w:type="dxa"/>
          </w:tcPr>
          <w:p>
            <w:pPr>
              <w:jc w:val="center"/>
              <w:rPr>
                <w:rFonts w:hint="eastAsia" w:ascii="宋体" w:hAnsi="宋体" w:eastAsia="宋体" w:cs="Times New Roman"/>
                <w:color w:val="auto"/>
                <w:kern w:val="0"/>
                <w:sz w:val="21"/>
                <w:szCs w:val="21"/>
              </w:rPr>
            </w:pPr>
          </w:p>
        </w:tc>
        <w:tc>
          <w:tcPr>
            <w:tcW w:w="2126" w:type="dxa"/>
          </w:tcPr>
          <w:p>
            <w:pPr>
              <w:jc w:val="center"/>
              <w:rPr>
                <w:rFonts w:hint="eastAsia" w:ascii="宋体" w:hAnsi="宋体" w:eastAsia="宋体" w:cs="Times New Roman"/>
                <w:color w:val="auto"/>
                <w:kern w:val="0"/>
                <w:sz w:val="21"/>
                <w:szCs w:val="21"/>
              </w:rPr>
            </w:pPr>
          </w:p>
        </w:tc>
        <w:tc>
          <w:tcPr>
            <w:tcW w:w="709" w:type="dxa"/>
          </w:tcPr>
          <w:p>
            <w:pPr>
              <w:jc w:val="center"/>
              <w:rPr>
                <w:rFonts w:hint="eastAsia" w:ascii="宋体" w:hAnsi="宋体" w:eastAsia="宋体" w:cs="Times New Roman"/>
                <w:color w:val="auto"/>
                <w:kern w:val="0"/>
                <w:sz w:val="21"/>
                <w:szCs w:val="21"/>
              </w:rPr>
            </w:pPr>
          </w:p>
        </w:tc>
        <w:tc>
          <w:tcPr>
            <w:tcW w:w="786" w:type="dxa"/>
            <w:vAlign w:val="center"/>
          </w:tcPr>
          <w:p>
            <w:pPr>
              <w:widowControl/>
              <w:spacing w:line="280" w:lineRule="exact"/>
              <w:jc w:val="center"/>
              <w:textAlignment w:val="center"/>
              <w:rPr>
                <w:rFonts w:hint="eastAsia" w:ascii="宋体" w:hAnsi="宋体" w:eastAsia="宋体" w:cs="Times New Roman"/>
                <w:color w:val="auto"/>
                <w:kern w:val="0"/>
                <w:sz w:val="21"/>
                <w:szCs w:val="21"/>
              </w:rPr>
            </w:pPr>
            <w:r>
              <w:rPr>
                <w:rFonts w:ascii="Times New Roman" w:hAnsi="Times New Roman" w:eastAsia="宋体" w:cs="Times New Roman"/>
                <w:bCs/>
                <w:color w:val="auto"/>
                <w:kern w:val="0"/>
                <w:sz w:val="21"/>
                <w:szCs w:val="21"/>
              </w:rPr>
              <w:t>C级</w:t>
            </w:r>
          </w:p>
        </w:tc>
      </w:tr>
    </w:tbl>
    <w:p>
      <w:pPr>
        <w:jc w:val="left"/>
        <w:rPr>
          <w:rFonts w:hint="eastAsia" w:ascii="宋体" w:hAnsi="宋体" w:eastAsia="宋体"/>
          <w:color w:val="auto"/>
          <w:sz w:val="28"/>
          <w:szCs w:val="28"/>
        </w:rPr>
      </w:pPr>
    </w:p>
    <w:p>
      <w:pPr>
        <w:widowControl/>
        <w:jc w:val="left"/>
        <w:rPr>
          <w:rFonts w:hint="eastAsia" w:ascii="宋体" w:hAnsi="宋体" w:eastAsia="宋体"/>
          <w:b/>
          <w:bCs/>
          <w:color w:val="auto"/>
          <w:sz w:val="30"/>
          <w:szCs w:val="30"/>
        </w:rPr>
      </w:pPr>
      <w:r>
        <w:rPr>
          <w:rFonts w:ascii="宋体" w:hAnsi="宋体" w:eastAsia="宋体"/>
          <w:b/>
          <w:bCs/>
          <w:color w:val="auto"/>
          <w:sz w:val="30"/>
          <w:szCs w:val="30"/>
        </w:rPr>
        <w:br w:type="page"/>
      </w:r>
    </w:p>
    <w:p>
      <w:pPr>
        <w:jc w:val="left"/>
        <w:outlineLvl w:val="1"/>
        <w:rPr>
          <w:rFonts w:hint="eastAsia" w:ascii="宋体" w:hAnsi="宋体" w:eastAsia="宋体"/>
          <w:b/>
          <w:bCs/>
          <w:color w:val="auto"/>
          <w:sz w:val="30"/>
          <w:szCs w:val="30"/>
        </w:rPr>
      </w:pPr>
      <w:bookmarkStart w:id="85" w:name="_Toc237556460"/>
      <w:bookmarkStart w:id="86" w:name="OLE_LINK41"/>
      <w:bookmarkStart w:id="87" w:name="OLE_LINK42"/>
      <w:r>
        <w:rPr>
          <w:rFonts w:hint="eastAsia" w:ascii="宋体" w:hAnsi="宋体" w:eastAsia="宋体"/>
          <w:b/>
          <w:bCs/>
          <w:color w:val="auto"/>
          <w:sz w:val="30"/>
          <w:szCs w:val="30"/>
        </w:rPr>
        <w:t>附件4-4</w:t>
      </w:r>
      <w:r>
        <w:rPr>
          <w:rFonts w:ascii="宋体" w:hAnsi="宋体" w:eastAsia="宋体"/>
          <w:b/>
          <w:bCs/>
          <w:color w:val="auto"/>
          <w:sz w:val="30"/>
          <w:szCs w:val="30"/>
        </w:rPr>
        <w:t>：电仪专业检查表</w:t>
      </w:r>
      <w:bookmarkEnd w:id="85"/>
    </w:p>
    <w:bookmarkEnd w:id="86"/>
    <w:bookmarkEnd w:id="87"/>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4"/>
        <w:gridCol w:w="567"/>
        <w:gridCol w:w="2126"/>
        <w:gridCol w:w="2410"/>
        <w:gridCol w:w="1701"/>
        <w:gridCol w:w="1984"/>
        <w:gridCol w:w="1843"/>
        <w:gridCol w:w="2126"/>
        <w:gridCol w:w="709"/>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
                <w:color w:val="auto"/>
                <w:kern w:val="0"/>
                <w:sz w:val="20"/>
                <w:szCs w:val="21"/>
              </w:rPr>
            </w:pPr>
            <w:r>
              <w:rPr>
                <w:rFonts w:ascii="Times New Roman" w:hAnsi="Times New Roman" w:eastAsia="宋体" w:cs="Times New Roman"/>
                <w:b/>
                <w:color w:val="auto"/>
                <w:kern w:val="0"/>
                <w:sz w:val="20"/>
                <w:szCs w:val="21"/>
              </w:rPr>
              <w:t>序号</w:t>
            </w:r>
          </w:p>
        </w:tc>
        <w:tc>
          <w:tcPr>
            <w:tcW w:w="567" w:type="dxa"/>
            <w:vAlign w:val="center"/>
          </w:tcPr>
          <w:p>
            <w:pPr>
              <w:jc w:val="center"/>
              <w:rPr>
                <w:rFonts w:ascii="Times New Roman" w:hAnsi="Times New Roman" w:eastAsia="宋体" w:cs="Times New Roman"/>
                <w:b/>
                <w:color w:val="auto"/>
                <w:kern w:val="0"/>
                <w:sz w:val="20"/>
                <w:szCs w:val="21"/>
              </w:rPr>
            </w:pPr>
            <w:r>
              <w:rPr>
                <w:rFonts w:ascii="Times New Roman" w:hAnsi="Times New Roman" w:eastAsia="宋体" w:cs="Times New Roman"/>
                <w:b/>
                <w:color w:val="auto"/>
                <w:kern w:val="0"/>
                <w:sz w:val="20"/>
                <w:szCs w:val="21"/>
              </w:rPr>
              <w:t>要素</w:t>
            </w:r>
          </w:p>
        </w:tc>
        <w:tc>
          <w:tcPr>
            <w:tcW w:w="2126" w:type="dxa"/>
            <w:vAlign w:val="center"/>
          </w:tcPr>
          <w:p>
            <w:pPr>
              <w:jc w:val="center"/>
              <w:rPr>
                <w:rFonts w:ascii="Times New Roman" w:hAnsi="Times New Roman" w:eastAsia="宋体" w:cs="Times New Roman"/>
                <w:b/>
                <w:color w:val="auto"/>
                <w:kern w:val="0"/>
                <w:sz w:val="20"/>
                <w:szCs w:val="21"/>
              </w:rPr>
            </w:pPr>
            <w:r>
              <w:rPr>
                <w:rFonts w:ascii="Times New Roman" w:hAnsi="Times New Roman" w:eastAsia="宋体" w:cs="Times New Roman"/>
                <w:b/>
                <w:color w:val="auto"/>
                <w:kern w:val="0"/>
                <w:sz w:val="20"/>
                <w:szCs w:val="21"/>
              </w:rPr>
              <w:t>检查内容</w:t>
            </w:r>
          </w:p>
        </w:tc>
        <w:tc>
          <w:tcPr>
            <w:tcW w:w="2410" w:type="dxa"/>
            <w:vAlign w:val="center"/>
          </w:tcPr>
          <w:p>
            <w:pPr>
              <w:jc w:val="center"/>
              <w:rPr>
                <w:rFonts w:ascii="Times New Roman" w:hAnsi="Times New Roman" w:eastAsia="宋体" w:cs="Times New Roman"/>
                <w:b/>
                <w:color w:val="auto"/>
                <w:kern w:val="0"/>
                <w:sz w:val="20"/>
                <w:szCs w:val="21"/>
              </w:rPr>
            </w:pPr>
            <w:r>
              <w:rPr>
                <w:rFonts w:ascii="Times New Roman" w:hAnsi="Times New Roman" w:eastAsia="宋体" w:cs="Times New Roman"/>
                <w:b/>
                <w:color w:val="auto"/>
                <w:kern w:val="0"/>
                <w:sz w:val="20"/>
                <w:szCs w:val="21"/>
              </w:rPr>
              <w:t>检查依据</w:t>
            </w:r>
          </w:p>
        </w:tc>
        <w:tc>
          <w:tcPr>
            <w:tcW w:w="1701" w:type="dxa"/>
            <w:vAlign w:val="center"/>
          </w:tcPr>
          <w:p>
            <w:pPr>
              <w:jc w:val="center"/>
              <w:rPr>
                <w:rFonts w:ascii="Times New Roman" w:hAnsi="Times New Roman" w:eastAsia="宋体" w:cs="Times New Roman"/>
                <w:b/>
                <w:color w:val="auto"/>
                <w:kern w:val="0"/>
                <w:sz w:val="20"/>
                <w:szCs w:val="21"/>
              </w:rPr>
            </w:pPr>
            <w:r>
              <w:rPr>
                <w:rFonts w:ascii="Times New Roman" w:hAnsi="Times New Roman" w:eastAsia="宋体" w:cs="Times New Roman"/>
                <w:b/>
                <w:color w:val="auto"/>
                <w:kern w:val="0"/>
                <w:sz w:val="20"/>
                <w:szCs w:val="21"/>
              </w:rPr>
              <w:t>检查方式</w:t>
            </w:r>
          </w:p>
        </w:tc>
        <w:tc>
          <w:tcPr>
            <w:tcW w:w="1984" w:type="dxa"/>
            <w:vAlign w:val="center"/>
          </w:tcPr>
          <w:p>
            <w:pPr>
              <w:jc w:val="center"/>
              <w:rPr>
                <w:rFonts w:ascii="Times New Roman" w:hAnsi="Times New Roman" w:eastAsia="宋体" w:cs="Times New Roman"/>
                <w:b/>
                <w:color w:val="auto"/>
                <w:kern w:val="0"/>
                <w:sz w:val="20"/>
                <w:szCs w:val="21"/>
              </w:rPr>
            </w:pPr>
            <w:r>
              <w:rPr>
                <w:rFonts w:ascii="Times New Roman" w:hAnsi="Times New Roman" w:eastAsia="宋体" w:cs="Times New Roman"/>
                <w:b/>
                <w:color w:val="auto"/>
                <w:kern w:val="0"/>
                <w:sz w:val="20"/>
                <w:szCs w:val="21"/>
              </w:rPr>
              <w:t>检查情况</w:t>
            </w:r>
          </w:p>
        </w:tc>
        <w:tc>
          <w:tcPr>
            <w:tcW w:w="1843" w:type="dxa"/>
            <w:vAlign w:val="center"/>
          </w:tcPr>
          <w:p>
            <w:pPr>
              <w:jc w:val="center"/>
              <w:rPr>
                <w:rFonts w:ascii="Times New Roman" w:hAnsi="Times New Roman" w:eastAsia="宋体" w:cs="Times New Roman"/>
                <w:b/>
                <w:color w:val="auto"/>
                <w:kern w:val="0"/>
                <w:sz w:val="20"/>
                <w:szCs w:val="21"/>
              </w:rPr>
            </w:pPr>
            <w:r>
              <w:rPr>
                <w:rFonts w:ascii="Times New Roman" w:hAnsi="Times New Roman" w:eastAsia="宋体" w:cs="Times New Roman"/>
                <w:b/>
                <w:color w:val="auto"/>
                <w:kern w:val="0"/>
                <w:sz w:val="20"/>
                <w:szCs w:val="21"/>
              </w:rPr>
              <w:t>检查问题</w:t>
            </w:r>
          </w:p>
        </w:tc>
        <w:tc>
          <w:tcPr>
            <w:tcW w:w="2126" w:type="dxa"/>
            <w:vAlign w:val="center"/>
          </w:tcPr>
          <w:p>
            <w:pPr>
              <w:jc w:val="center"/>
              <w:rPr>
                <w:rFonts w:ascii="Times New Roman" w:hAnsi="Times New Roman" w:eastAsia="宋体" w:cs="Times New Roman"/>
                <w:b/>
                <w:color w:val="auto"/>
                <w:kern w:val="0"/>
                <w:sz w:val="20"/>
                <w:szCs w:val="21"/>
              </w:rPr>
            </w:pPr>
            <w:r>
              <w:rPr>
                <w:rFonts w:ascii="Times New Roman" w:hAnsi="Times New Roman" w:eastAsia="宋体" w:cs="Times New Roman"/>
                <w:b/>
                <w:color w:val="auto"/>
                <w:kern w:val="0"/>
                <w:sz w:val="20"/>
                <w:szCs w:val="21"/>
              </w:rPr>
              <w:t>整改建议</w:t>
            </w:r>
          </w:p>
        </w:tc>
        <w:tc>
          <w:tcPr>
            <w:tcW w:w="709" w:type="dxa"/>
            <w:vAlign w:val="center"/>
          </w:tcPr>
          <w:p>
            <w:pPr>
              <w:jc w:val="center"/>
              <w:rPr>
                <w:rFonts w:ascii="Times New Roman" w:hAnsi="Times New Roman" w:eastAsia="宋体" w:cs="Times New Roman"/>
                <w:b/>
                <w:color w:val="auto"/>
                <w:kern w:val="0"/>
                <w:sz w:val="20"/>
                <w:szCs w:val="21"/>
              </w:rPr>
            </w:pPr>
            <w:r>
              <w:rPr>
                <w:rFonts w:ascii="Times New Roman" w:hAnsi="Times New Roman" w:eastAsia="宋体" w:cs="Times New Roman"/>
                <w:b/>
                <w:color w:val="auto"/>
                <w:kern w:val="0"/>
                <w:sz w:val="20"/>
                <w:szCs w:val="21"/>
              </w:rPr>
              <w:t>重大</w:t>
            </w:r>
          </w:p>
          <w:p>
            <w:pPr>
              <w:jc w:val="center"/>
              <w:rPr>
                <w:rFonts w:ascii="Times New Roman" w:hAnsi="Times New Roman" w:eastAsia="宋体" w:cs="Times New Roman"/>
                <w:b/>
                <w:color w:val="auto"/>
                <w:kern w:val="0"/>
                <w:sz w:val="20"/>
                <w:szCs w:val="21"/>
              </w:rPr>
            </w:pPr>
            <w:r>
              <w:rPr>
                <w:rFonts w:ascii="Times New Roman" w:hAnsi="Times New Roman" w:eastAsia="宋体" w:cs="Times New Roman"/>
                <w:b/>
                <w:color w:val="auto"/>
                <w:kern w:val="0"/>
                <w:sz w:val="20"/>
                <w:szCs w:val="21"/>
              </w:rPr>
              <w:t>隐患</w:t>
            </w:r>
          </w:p>
        </w:tc>
        <w:tc>
          <w:tcPr>
            <w:tcW w:w="786" w:type="dxa"/>
            <w:vAlign w:val="center"/>
          </w:tcPr>
          <w:p>
            <w:pPr>
              <w:jc w:val="center"/>
              <w:rPr>
                <w:rFonts w:ascii="Times New Roman" w:hAnsi="Times New Roman" w:eastAsia="宋体" w:cs="Times New Roman"/>
                <w:b/>
                <w:color w:val="auto"/>
                <w:kern w:val="0"/>
                <w:sz w:val="20"/>
                <w:szCs w:val="21"/>
              </w:rPr>
            </w:pPr>
            <w:r>
              <w:rPr>
                <w:rFonts w:ascii="Times New Roman" w:hAnsi="Times New Roman" w:eastAsia="宋体" w:cs="Times New Roman"/>
                <w:b/>
                <w:color w:val="auto"/>
                <w:kern w:val="0"/>
                <w:sz w:val="20"/>
                <w:szCs w:val="21"/>
              </w:rPr>
              <w:t>不符合项等级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1</w:t>
            </w:r>
          </w:p>
        </w:tc>
        <w:tc>
          <w:tcPr>
            <w:tcW w:w="567" w:type="dxa"/>
            <w:vMerge w:val="restart"/>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电气安全</w:t>
            </w:r>
          </w:p>
        </w:tc>
        <w:tc>
          <w:tcPr>
            <w:tcW w:w="212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企业要建立电气检修、试验、运行、安全、事故处理规程和电气检修、试验、运行、设备缺陷、事故处理记录，对电气设备开展定期检修、定期试验、定期清扫紧固工作，实施工作票、操作票、临时用电票等电气作业许可制度。</w:t>
            </w:r>
          </w:p>
        </w:tc>
        <w:tc>
          <w:tcPr>
            <w:tcW w:w="2410"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《关于加强化工过程安全管理的指导意见》（安监总管三〔2013〕88号第十六条）</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《电力安全工作规程发电厂和变电站电气部分》DL/T408-2023</w:t>
            </w:r>
          </w:p>
        </w:tc>
        <w:tc>
          <w:tcPr>
            <w:tcW w:w="1701" w:type="dxa"/>
            <w:vAlign w:val="center"/>
          </w:tcPr>
          <w:p>
            <w:pPr>
              <w:jc w:val="left"/>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核实企业是否编制检修规程、电气安全管理规程、电气事故处理规程等，配电间的管理制度、操作规程和档案资料是否符合GB/T32893的相关要求，重点抽查制定的规程是否结合企业实际，企业是否按照规程开展了相应工作。</w:t>
            </w:r>
          </w:p>
        </w:tc>
        <w:tc>
          <w:tcPr>
            <w:tcW w:w="1984" w:type="dxa"/>
          </w:tcPr>
          <w:p>
            <w:pPr>
              <w:jc w:val="center"/>
              <w:rPr>
                <w:rFonts w:ascii="Times New Roman" w:hAnsi="Times New Roman" w:eastAsia="宋体" w:cs="Times New Roman"/>
                <w:bCs/>
                <w:color w:val="auto"/>
                <w:kern w:val="0"/>
                <w:sz w:val="20"/>
                <w:szCs w:val="21"/>
              </w:rPr>
            </w:pPr>
          </w:p>
        </w:tc>
        <w:tc>
          <w:tcPr>
            <w:tcW w:w="1843" w:type="dxa"/>
          </w:tcPr>
          <w:p>
            <w:pPr>
              <w:jc w:val="center"/>
              <w:rPr>
                <w:rFonts w:ascii="Times New Roman" w:hAnsi="Times New Roman" w:eastAsia="宋体" w:cs="Times New Roman"/>
                <w:bCs/>
                <w:color w:val="auto"/>
                <w:kern w:val="0"/>
                <w:sz w:val="20"/>
                <w:szCs w:val="21"/>
              </w:rPr>
            </w:pPr>
          </w:p>
        </w:tc>
        <w:tc>
          <w:tcPr>
            <w:tcW w:w="2126" w:type="dxa"/>
          </w:tcPr>
          <w:p>
            <w:pPr>
              <w:jc w:val="center"/>
              <w:rPr>
                <w:rFonts w:ascii="Times New Roman" w:hAnsi="Times New Roman" w:eastAsia="宋体" w:cs="Times New Roman"/>
                <w:bCs/>
                <w:color w:val="auto"/>
                <w:kern w:val="0"/>
                <w:sz w:val="20"/>
                <w:szCs w:val="21"/>
              </w:rPr>
            </w:pPr>
          </w:p>
        </w:tc>
        <w:tc>
          <w:tcPr>
            <w:tcW w:w="709" w:type="dxa"/>
          </w:tcPr>
          <w:p>
            <w:pPr>
              <w:jc w:val="center"/>
              <w:rPr>
                <w:rFonts w:ascii="Times New Roman" w:hAnsi="Times New Roman" w:eastAsia="宋体" w:cs="Times New Roman"/>
                <w:bCs/>
                <w:color w:val="auto"/>
                <w:kern w:val="0"/>
                <w:sz w:val="20"/>
                <w:szCs w:val="21"/>
              </w:rPr>
            </w:pPr>
          </w:p>
        </w:tc>
        <w:tc>
          <w:tcPr>
            <w:tcW w:w="78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2</w:t>
            </w:r>
          </w:p>
        </w:tc>
        <w:tc>
          <w:tcPr>
            <w:tcW w:w="567" w:type="dxa"/>
            <w:vMerge w:val="continue"/>
            <w:vAlign w:val="center"/>
          </w:tcPr>
          <w:p>
            <w:pPr>
              <w:jc w:val="center"/>
              <w:rPr>
                <w:rFonts w:ascii="Times New Roman" w:hAnsi="Times New Roman" w:eastAsia="宋体" w:cs="Times New Roman"/>
                <w:bCs/>
                <w:color w:val="auto"/>
                <w:kern w:val="0"/>
                <w:sz w:val="20"/>
                <w:szCs w:val="21"/>
              </w:rPr>
            </w:pPr>
          </w:p>
        </w:tc>
        <w:tc>
          <w:tcPr>
            <w:tcW w:w="2126" w:type="dxa"/>
            <w:vAlign w:val="center"/>
          </w:tcPr>
          <w:p>
            <w:pPr>
              <w:widowControl/>
              <w:spacing w:line="280" w:lineRule="exact"/>
              <w:textAlignment w:val="center"/>
              <w:rPr>
                <w:rFonts w:ascii="Times New Roman" w:hAnsi="Times New Roman" w:eastAsia="宋体" w:cs="Times New Roman"/>
                <w:bCs/>
                <w:color w:val="auto"/>
                <w:kern w:val="0"/>
                <w:sz w:val="20"/>
                <w:szCs w:val="21"/>
                <w:lang w:val="zh-CN"/>
              </w:rPr>
            </w:pPr>
            <w:r>
              <w:rPr>
                <w:rFonts w:ascii="Times New Roman" w:hAnsi="Times New Roman" w:eastAsia="宋体" w:cs="Times New Roman"/>
                <w:bCs/>
                <w:color w:val="auto"/>
                <w:kern w:val="0"/>
                <w:sz w:val="20"/>
                <w:szCs w:val="21"/>
                <w:lang w:val="zh-CN"/>
              </w:rPr>
              <w:t xml:space="preserve">化工生产装置未按照标准规范要求设置双重电源供电，企业的供电电源应满足不同负荷等级的供电要求： </w:t>
            </w:r>
          </w:p>
          <w:p>
            <w:pPr>
              <w:widowControl/>
              <w:spacing w:line="280" w:lineRule="exact"/>
              <w:textAlignment w:val="center"/>
              <w:rPr>
                <w:rFonts w:ascii="Times New Roman" w:hAnsi="Times New Roman" w:eastAsia="宋体" w:cs="Times New Roman"/>
                <w:bCs/>
                <w:color w:val="auto"/>
                <w:kern w:val="0"/>
                <w:sz w:val="20"/>
                <w:szCs w:val="21"/>
                <w:lang w:val="zh-CN"/>
              </w:rPr>
            </w:pPr>
            <w:r>
              <w:rPr>
                <w:rFonts w:ascii="Times New Roman" w:hAnsi="Times New Roman" w:eastAsia="宋体" w:cs="Times New Roman"/>
                <w:bCs/>
                <w:color w:val="auto"/>
                <w:kern w:val="0"/>
                <w:sz w:val="20"/>
                <w:szCs w:val="21"/>
                <w:lang w:val="zh-CN"/>
              </w:rPr>
              <w:t xml:space="preserve">1.一级负荷应由双重电源供电，当一电源发生故障时，另一电源不应同时受到损坏； </w:t>
            </w:r>
          </w:p>
          <w:p>
            <w:pPr>
              <w:widowControl/>
              <w:spacing w:line="280" w:lineRule="exact"/>
              <w:textAlignment w:val="center"/>
              <w:rPr>
                <w:rFonts w:ascii="Times New Roman" w:hAnsi="Times New Roman" w:eastAsia="宋体" w:cs="Times New Roman"/>
                <w:bCs/>
                <w:color w:val="auto"/>
                <w:kern w:val="0"/>
                <w:sz w:val="20"/>
                <w:szCs w:val="21"/>
                <w:lang w:val="zh-CN"/>
              </w:rPr>
            </w:pPr>
            <w:r>
              <w:rPr>
                <w:rFonts w:ascii="Times New Roman" w:hAnsi="Times New Roman" w:eastAsia="宋体" w:cs="Times New Roman"/>
                <w:bCs/>
                <w:color w:val="auto"/>
                <w:kern w:val="0"/>
                <w:sz w:val="20"/>
                <w:szCs w:val="21"/>
                <w:lang w:val="zh-CN"/>
              </w:rPr>
              <w:t xml:space="preserve">2.一级负荷中特别重要的负荷供电，尚应增设应急电源，并严禁将其他负荷接入应急供电系统；设备的供电电源的切换时间，应满足设备允许中断供电的要求； </w:t>
            </w:r>
          </w:p>
          <w:p>
            <w:pPr>
              <w:widowControl/>
              <w:spacing w:line="280" w:lineRule="exact"/>
              <w:textAlignment w:val="center"/>
              <w:rPr>
                <w:rFonts w:ascii="Times New Roman" w:hAnsi="Times New Roman" w:eastAsia="宋体" w:cs="Times New Roman"/>
                <w:bCs/>
                <w:color w:val="auto"/>
                <w:kern w:val="0"/>
                <w:sz w:val="20"/>
                <w:szCs w:val="21"/>
                <w:lang w:val="zh-CN"/>
              </w:rPr>
            </w:pPr>
            <w:r>
              <w:rPr>
                <w:rFonts w:ascii="Times New Roman" w:hAnsi="Times New Roman" w:eastAsia="宋体" w:cs="Times New Roman"/>
                <w:bCs/>
                <w:color w:val="auto"/>
                <w:kern w:val="0"/>
                <w:sz w:val="20"/>
                <w:szCs w:val="21"/>
                <w:lang w:val="zh-CN"/>
              </w:rPr>
              <w:t>3.二级负荷的供电系统，宜由两回线路供</w:t>
            </w:r>
          </w:p>
          <w:p>
            <w:pPr>
              <w:widowControl/>
              <w:spacing w:line="280" w:lineRule="exact"/>
              <w:textAlignment w:val="center"/>
              <w:rPr>
                <w:rFonts w:ascii="Times New Roman" w:hAnsi="Times New Roman" w:eastAsia="宋体" w:cs="Times New Roman"/>
                <w:bCs/>
                <w:color w:val="auto"/>
                <w:kern w:val="0"/>
                <w:sz w:val="20"/>
                <w:szCs w:val="21"/>
                <w:lang w:val="zh-CN"/>
              </w:rPr>
            </w:pPr>
            <w:r>
              <w:rPr>
                <w:rFonts w:ascii="Times New Roman" w:hAnsi="Times New Roman" w:eastAsia="宋体" w:cs="Times New Roman"/>
                <w:bCs/>
                <w:color w:val="auto"/>
                <w:kern w:val="0"/>
                <w:sz w:val="20"/>
                <w:szCs w:val="21"/>
                <w:lang w:val="zh-CN"/>
              </w:rPr>
              <w:t>电。在负荷较小或地区供电条件困难时，二级负荷可由一回 6kV及以上专用的架空线路供电。</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lang w:val="zh-CN"/>
              </w:rPr>
              <w:t>4.</w:t>
            </w:r>
            <w:r>
              <w:rPr>
                <w:rFonts w:ascii="等线" w:hAnsi="等线" w:eastAsia="等线" w:cs="Times New Roman"/>
                <w:color w:val="auto"/>
                <w:kern w:val="0"/>
                <w:sz w:val="20"/>
                <w:szCs w:val="20"/>
              </w:rPr>
              <w:t xml:space="preserve"> </w:t>
            </w:r>
            <w:r>
              <w:rPr>
                <w:rFonts w:ascii="Times New Roman" w:hAnsi="Times New Roman" w:eastAsia="宋体" w:cs="Times New Roman"/>
                <w:bCs/>
                <w:color w:val="auto"/>
                <w:kern w:val="0"/>
                <w:sz w:val="20"/>
                <w:szCs w:val="21"/>
                <w:lang w:val="zh-CN"/>
              </w:rPr>
              <w:t>BPCS、GDS和SIS设置UPS，UPS供电时间不少于30min</w:t>
            </w:r>
            <w:r>
              <w:rPr>
                <w:rFonts w:ascii="Times New Roman" w:hAnsi="Times New Roman" w:eastAsia="宋体" w:cs="Times New Roman"/>
                <w:bCs/>
                <w:color w:val="auto"/>
                <w:kern w:val="0"/>
                <w:sz w:val="20"/>
                <w:szCs w:val="21"/>
              </w:rPr>
              <w:t>。</w:t>
            </w:r>
          </w:p>
        </w:tc>
        <w:tc>
          <w:tcPr>
            <w:tcW w:w="2410"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《供配电系统设计规范》GB50052-2009第3.0.1条</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《化工和危险化学品生产经营企业重大生产安全事故隐患判定准则》（AQ 3067-2026）第5.4.1</w:t>
            </w:r>
          </w:p>
        </w:tc>
        <w:tc>
          <w:tcPr>
            <w:tcW w:w="1701" w:type="dxa"/>
            <w:vAlign w:val="center"/>
          </w:tcPr>
          <w:p>
            <w:pPr>
              <w:jc w:val="left"/>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 xml:space="preserve">查阅企业设计专篇，了解企业用电负荷等级，现场检查总变电室，核实一级负荷是否由双重电源供电，一级负荷中的特别重要负荷是否增设应急电源。核实二级负荷的供电系统，是否由两回线路供电。 </w:t>
            </w:r>
          </w:p>
          <w:p>
            <w:pPr>
              <w:jc w:val="left"/>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通过现场核实，确认消防泵、关键装置、关键机组等重点部位的供电情况是否满足以及负荷要求。</w:t>
            </w:r>
          </w:p>
        </w:tc>
        <w:tc>
          <w:tcPr>
            <w:tcW w:w="1984" w:type="dxa"/>
          </w:tcPr>
          <w:p>
            <w:pPr>
              <w:jc w:val="center"/>
              <w:rPr>
                <w:rFonts w:ascii="Times New Roman" w:hAnsi="Times New Roman" w:eastAsia="宋体" w:cs="Times New Roman"/>
                <w:bCs/>
                <w:color w:val="auto"/>
                <w:kern w:val="0"/>
                <w:sz w:val="20"/>
                <w:szCs w:val="21"/>
              </w:rPr>
            </w:pPr>
          </w:p>
        </w:tc>
        <w:tc>
          <w:tcPr>
            <w:tcW w:w="1843" w:type="dxa"/>
          </w:tcPr>
          <w:p>
            <w:pPr>
              <w:jc w:val="center"/>
              <w:rPr>
                <w:rFonts w:ascii="Times New Roman" w:hAnsi="Times New Roman" w:eastAsia="宋体" w:cs="Times New Roman"/>
                <w:bCs/>
                <w:color w:val="auto"/>
                <w:kern w:val="0"/>
                <w:sz w:val="20"/>
                <w:szCs w:val="21"/>
              </w:rPr>
            </w:pPr>
          </w:p>
        </w:tc>
        <w:tc>
          <w:tcPr>
            <w:tcW w:w="2126" w:type="dxa"/>
          </w:tcPr>
          <w:p>
            <w:pPr>
              <w:jc w:val="center"/>
              <w:rPr>
                <w:rFonts w:ascii="Times New Roman" w:hAnsi="Times New Roman" w:eastAsia="宋体" w:cs="Times New Roman"/>
                <w:bCs/>
                <w:color w:val="auto"/>
                <w:kern w:val="0"/>
                <w:sz w:val="20"/>
                <w:szCs w:val="21"/>
              </w:rPr>
            </w:pPr>
          </w:p>
        </w:tc>
        <w:tc>
          <w:tcPr>
            <w:tcW w:w="709" w:type="dxa"/>
          </w:tcPr>
          <w:p>
            <w:pPr>
              <w:jc w:val="center"/>
              <w:rPr>
                <w:rFonts w:ascii="Times New Roman" w:hAnsi="Times New Roman" w:eastAsia="宋体" w:cs="Times New Roman"/>
                <w:bCs/>
                <w:color w:val="auto"/>
                <w:kern w:val="0"/>
                <w:sz w:val="20"/>
                <w:szCs w:val="21"/>
              </w:rPr>
            </w:pPr>
          </w:p>
        </w:tc>
        <w:tc>
          <w:tcPr>
            <w:tcW w:w="786" w:type="dxa"/>
            <w:vAlign w:val="center"/>
          </w:tcPr>
          <w:p>
            <w:pPr>
              <w:widowControl/>
              <w:spacing w:line="280" w:lineRule="exact"/>
              <w:textAlignment w:val="center"/>
              <w:rPr>
                <w:rFonts w:ascii="Times New Roman" w:hAnsi="Times New Roman" w:eastAsia="宋体" w:cs="Times New Roman"/>
                <w:bCs/>
                <w:color w:val="auto"/>
                <w:kern w:val="0"/>
                <w:sz w:val="20"/>
                <w:szCs w:val="21"/>
              </w:rPr>
            </w:pPr>
            <w:bookmarkStart w:id="88" w:name="OLE_LINK101"/>
            <w:r>
              <w:rPr>
                <w:rFonts w:ascii="Times New Roman" w:hAnsi="Times New Roman" w:eastAsia="宋体" w:cs="Times New Roman"/>
                <w:bCs/>
                <w:color w:val="auto"/>
                <w:kern w:val="0"/>
                <w:sz w:val="20"/>
                <w:szCs w:val="21"/>
              </w:rPr>
              <w:t>A级</w:t>
            </w:r>
            <w:bookmarkEnd w:id="8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4"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3</w:t>
            </w:r>
          </w:p>
        </w:tc>
        <w:tc>
          <w:tcPr>
            <w:tcW w:w="567" w:type="dxa"/>
            <w:vMerge w:val="continue"/>
            <w:vAlign w:val="center"/>
          </w:tcPr>
          <w:p>
            <w:pPr>
              <w:jc w:val="center"/>
              <w:rPr>
                <w:rFonts w:ascii="Times New Roman" w:hAnsi="Times New Roman" w:eastAsia="宋体" w:cs="Times New Roman"/>
                <w:bCs/>
                <w:color w:val="auto"/>
                <w:kern w:val="0"/>
                <w:sz w:val="20"/>
                <w:szCs w:val="21"/>
              </w:rPr>
            </w:pPr>
          </w:p>
        </w:tc>
        <w:tc>
          <w:tcPr>
            <w:tcW w:w="2126" w:type="dxa"/>
            <w:vAlign w:val="center"/>
          </w:tcPr>
          <w:p>
            <w:pPr>
              <w:widowControl/>
              <w:spacing w:line="280" w:lineRule="exact"/>
              <w:textAlignment w:val="center"/>
              <w:rPr>
                <w:rFonts w:ascii="Times New Roman" w:hAnsi="Times New Roman" w:eastAsia="宋体" w:cs="Times New Roman"/>
                <w:color w:val="auto"/>
                <w:kern w:val="0"/>
                <w:sz w:val="20"/>
                <w:szCs w:val="21"/>
              </w:rPr>
            </w:pPr>
            <w:r>
              <w:rPr>
                <w:rFonts w:ascii="Times New Roman" w:hAnsi="Times New Roman" w:eastAsia="宋体" w:cs="Times New Roman"/>
                <w:color w:val="auto"/>
                <w:kern w:val="0"/>
                <w:sz w:val="20"/>
                <w:szCs w:val="21"/>
              </w:rPr>
              <w:t>变配电所电气设备完好，绝缘、屏护措施齐全，高压开关柜具备“五防”功能，电缆桥架孔洞封堵严实，落实变配电所防小动物措施。应按《电力安全工作规程》配备安全工器具，并定期进行检验；绝缘手套及绝缘靴检验周期为6个月；验电笔及令克棒检验周期为12个月；接地棒检验周期为5年。</w:t>
            </w:r>
          </w:p>
        </w:tc>
        <w:tc>
          <w:tcPr>
            <w:tcW w:w="2410" w:type="dxa"/>
            <w:vAlign w:val="center"/>
          </w:tcPr>
          <w:p>
            <w:pPr>
              <w:widowControl/>
              <w:spacing w:line="280" w:lineRule="exact"/>
              <w:jc w:val="center"/>
              <w:textAlignment w:val="center"/>
              <w:rPr>
                <w:rFonts w:ascii="Times New Roman" w:hAnsi="Times New Roman" w:eastAsia="宋体" w:cs="Times New Roman"/>
                <w:color w:val="auto"/>
                <w:kern w:val="0"/>
                <w:sz w:val="20"/>
                <w:szCs w:val="21"/>
              </w:rPr>
            </w:pPr>
            <w:r>
              <w:rPr>
                <w:rFonts w:ascii="Times New Roman" w:hAnsi="Times New Roman" w:eastAsia="宋体" w:cs="Times New Roman"/>
                <w:color w:val="auto"/>
                <w:kern w:val="0"/>
                <w:sz w:val="20"/>
                <w:szCs w:val="21"/>
              </w:rPr>
              <w:t>《用电检查规范》GB/T43456-2023</w:t>
            </w:r>
          </w:p>
          <w:p>
            <w:pPr>
              <w:widowControl/>
              <w:spacing w:line="280" w:lineRule="exact"/>
              <w:jc w:val="center"/>
              <w:textAlignment w:val="center"/>
              <w:rPr>
                <w:rFonts w:ascii="Times New Roman" w:hAnsi="Times New Roman" w:eastAsia="宋体" w:cs="Times New Roman"/>
                <w:color w:val="auto"/>
                <w:kern w:val="0"/>
                <w:sz w:val="20"/>
                <w:szCs w:val="21"/>
              </w:rPr>
            </w:pPr>
            <w:r>
              <w:rPr>
                <w:rFonts w:ascii="Times New Roman" w:hAnsi="Times New Roman" w:eastAsia="宋体" w:cs="Times New Roman"/>
                <w:color w:val="auto"/>
                <w:kern w:val="0"/>
                <w:sz w:val="20"/>
                <w:szCs w:val="21"/>
              </w:rPr>
              <w:t>《配电系统电气装置安装工程施工及验收规范》DL/T5759-2017</w:t>
            </w:r>
          </w:p>
          <w:p>
            <w:pPr>
              <w:widowControl/>
              <w:spacing w:line="280" w:lineRule="exact"/>
              <w:jc w:val="center"/>
              <w:textAlignment w:val="center"/>
              <w:rPr>
                <w:rFonts w:ascii="Times New Roman" w:hAnsi="Times New Roman" w:eastAsia="宋体" w:cs="Times New Roman"/>
                <w:color w:val="auto"/>
                <w:kern w:val="0"/>
                <w:sz w:val="20"/>
                <w:szCs w:val="21"/>
              </w:rPr>
            </w:pPr>
            <w:r>
              <w:rPr>
                <w:rFonts w:ascii="Times New Roman" w:hAnsi="Times New Roman" w:eastAsia="宋体" w:cs="Times New Roman"/>
                <w:color w:val="auto"/>
                <w:kern w:val="0"/>
                <w:sz w:val="20"/>
                <w:szCs w:val="21"/>
              </w:rPr>
              <w:t>《20kV及以下变电所设计规范》GB50053-2013</w:t>
            </w:r>
          </w:p>
          <w:p>
            <w:pPr>
              <w:widowControl/>
              <w:spacing w:line="280" w:lineRule="exact"/>
              <w:jc w:val="center"/>
              <w:textAlignment w:val="center"/>
              <w:rPr>
                <w:rFonts w:ascii="Times New Roman" w:hAnsi="Times New Roman" w:eastAsia="宋体" w:cs="Times New Roman"/>
                <w:color w:val="auto"/>
                <w:kern w:val="0"/>
                <w:sz w:val="20"/>
                <w:szCs w:val="21"/>
              </w:rPr>
            </w:pPr>
            <w:r>
              <w:rPr>
                <w:rFonts w:ascii="Times New Roman" w:hAnsi="Times New Roman" w:eastAsia="宋体" w:cs="Times New Roman"/>
                <w:color w:val="auto"/>
                <w:kern w:val="0"/>
                <w:sz w:val="20"/>
                <w:szCs w:val="21"/>
              </w:rPr>
              <w:t>《建筑电气工程施工质量验收规范》GB50303-2015</w:t>
            </w:r>
          </w:p>
          <w:p>
            <w:pPr>
              <w:widowControl/>
              <w:spacing w:line="280" w:lineRule="exact"/>
              <w:jc w:val="center"/>
              <w:textAlignment w:val="center"/>
              <w:rPr>
                <w:rFonts w:ascii="Times New Roman" w:hAnsi="Times New Roman" w:eastAsia="宋体" w:cs="Times New Roman"/>
                <w:color w:val="auto"/>
                <w:kern w:val="0"/>
                <w:sz w:val="20"/>
                <w:szCs w:val="21"/>
              </w:rPr>
            </w:pPr>
            <w:r>
              <w:rPr>
                <w:rFonts w:ascii="Times New Roman" w:hAnsi="Times New Roman" w:eastAsia="宋体" w:cs="Times New Roman"/>
                <w:color w:val="auto"/>
                <w:kern w:val="0"/>
                <w:sz w:val="20"/>
                <w:szCs w:val="21"/>
              </w:rPr>
              <w:t>《电力安全工作规程》DL/T408-2023</w:t>
            </w:r>
          </w:p>
          <w:p>
            <w:pPr>
              <w:widowControl/>
              <w:spacing w:line="280" w:lineRule="exact"/>
              <w:jc w:val="center"/>
              <w:textAlignment w:val="center"/>
              <w:rPr>
                <w:rFonts w:ascii="Times New Roman" w:hAnsi="Times New Roman" w:eastAsia="宋体" w:cs="Times New Roman"/>
                <w:color w:val="auto"/>
                <w:kern w:val="0"/>
                <w:sz w:val="20"/>
                <w:szCs w:val="21"/>
              </w:rPr>
            </w:pPr>
            <w:r>
              <w:rPr>
                <w:rFonts w:ascii="Times New Roman" w:hAnsi="Times New Roman" w:eastAsia="宋体" w:cs="Times New Roman"/>
                <w:color w:val="auto"/>
                <w:kern w:val="0"/>
                <w:sz w:val="20"/>
                <w:szCs w:val="21"/>
              </w:rPr>
              <w:t>《电力用户变电所运行规程》DB32／T1702-2010</w:t>
            </w:r>
          </w:p>
        </w:tc>
        <w:tc>
          <w:tcPr>
            <w:tcW w:w="1701" w:type="dxa"/>
            <w:vAlign w:val="center"/>
          </w:tcPr>
          <w:p>
            <w:pPr>
              <w:jc w:val="left"/>
              <w:rPr>
                <w:rFonts w:ascii="Times New Roman" w:hAnsi="Times New Roman" w:eastAsia="宋体" w:cs="Times New Roman"/>
                <w:bCs/>
                <w:color w:val="auto"/>
                <w:kern w:val="0"/>
                <w:sz w:val="20"/>
                <w:szCs w:val="21"/>
              </w:rPr>
            </w:pPr>
          </w:p>
        </w:tc>
        <w:tc>
          <w:tcPr>
            <w:tcW w:w="1984" w:type="dxa"/>
          </w:tcPr>
          <w:p>
            <w:pPr>
              <w:jc w:val="center"/>
              <w:rPr>
                <w:rFonts w:ascii="Times New Roman" w:hAnsi="Times New Roman" w:eastAsia="宋体" w:cs="Times New Roman"/>
                <w:bCs/>
                <w:color w:val="auto"/>
                <w:kern w:val="0"/>
                <w:sz w:val="20"/>
                <w:szCs w:val="21"/>
              </w:rPr>
            </w:pPr>
          </w:p>
        </w:tc>
        <w:tc>
          <w:tcPr>
            <w:tcW w:w="1843" w:type="dxa"/>
          </w:tcPr>
          <w:p>
            <w:pPr>
              <w:jc w:val="center"/>
              <w:rPr>
                <w:rFonts w:ascii="Times New Roman" w:hAnsi="Times New Roman" w:eastAsia="宋体" w:cs="Times New Roman"/>
                <w:bCs/>
                <w:color w:val="auto"/>
                <w:kern w:val="0"/>
                <w:sz w:val="20"/>
                <w:szCs w:val="21"/>
              </w:rPr>
            </w:pPr>
          </w:p>
        </w:tc>
        <w:tc>
          <w:tcPr>
            <w:tcW w:w="2126" w:type="dxa"/>
          </w:tcPr>
          <w:p>
            <w:pPr>
              <w:jc w:val="center"/>
              <w:rPr>
                <w:rFonts w:ascii="Times New Roman" w:hAnsi="Times New Roman" w:eastAsia="宋体" w:cs="Times New Roman"/>
                <w:bCs/>
                <w:color w:val="auto"/>
                <w:kern w:val="0"/>
                <w:sz w:val="20"/>
                <w:szCs w:val="21"/>
              </w:rPr>
            </w:pPr>
          </w:p>
        </w:tc>
        <w:tc>
          <w:tcPr>
            <w:tcW w:w="709" w:type="dxa"/>
          </w:tcPr>
          <w:p>
            <w:pPr>
              <w:jc w:val="center"/>
              <w:rPr>
                <w:rFonts w:ascii="Times New Roman" w:hAnsi="Times New Roman" w:eastAsia="宋体" w:cs="Times New Roman"/>
                <w:bCs/>
                <w:color w:val="auto"/>
                <w:kern w:val="0"/>
                <w:sz w:val="20"/>
                <w:szCs w:val="21"/>
              </w:rPr>
            </w:pPr>
          </w:p>
        </w:tc>
        <w:tc>
          <w:tcPr>
            <w:tcW w:w="78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4</w:t>
            </w:r>
          </w:p>
        </w:tc>
        <w:tc>
          <w:tcPr>
            <w:tcW w:w="567" w:type="dxa"/>
            <w:vMerge w:val="continue"/>
            <w:vAlign w:val="center"/>
          </w:tcPr>
          <w:p>
            <w:pPr>
              <w:jc w:val="center"/>
              <w:rPr>
                <w:rFonts w:ascii="Times New Roman" w:hAnsi="Times New Roman" w:eastAsia="宋体" w:cs="Times New Roman"/>
                <w:bCs/>
                <w:color w:val="auto"/>
                <w:kern w:val="0"/>
                <w:sz w:val="20"/>
                <w:szCs w:val="21"/>
              </w:rPr>
            </w:pPr>
          </w:p>
        </w:tc>
        <w:tc>
          <w:tcPr>
            <w:tcW w:w="212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爆炸危险场所应按国家标准安装使用防爆电气设备。</w:t>
            </w:r>
          </w:p>
        </w:tc>
        <w:tc>
          <w:tcPr>
            <w:tcW w:w="2410" w:type="dxa"/>
            <w:vAlign w:val="center"/>
          </w:tcPr>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《爆炸危险环境电力装置设计规范》GB50058-2014第5.2.3条</w:t>
            </w:r>
          </w:p>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《化工和危险化学品生产经营企业重大生产安全事故隐患判定准则》（AQ 3067-2026）第5.4.3条</w:t>
            </w:r>
          </w:p>
        </w:tc>
        <w:tc>
          <w:tcPr>
            <w:tcW w:w="1701" w:type="dxa"/>
            <w:vAlign w:val="center"/>
          </w:tcPr>
          <w:p>
            <w:pPr>
              <w:jc w:val="left"/>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对爆炸危险区域内的防爆电气设备随机抽样（如涉及到氢、乙炔、二硫化碳、硝酸乙酯、水煤气的场所必查，不要忽略粉尘爆炸场所，并符合 GB12476.1 的要求），确认防爆电气符合要求，重点关注防爆电气型号、电气防爆等级、电气设施防爆密封是否符合标准要求，密封胶圈是否完好、防爆接线盒是否完好，有防爆检测要求的地区，是否按要求开展防爆电气的检测并形成报告。</w:t>
            </w:r>
          </w:p>
        </w:tc>
        <w:tc>
          <w:tcPr>
            <w:tcW w:w="1984" w:type="dxa"/>
          </w:tcPr>
          <w:p>
            <w:pPr>
              <w:jc w:val="center"/>
              <w:rPr>
                <w:rFonts w:ascii="Times New Roman" w:hAnsi="Times New Roman" w:eastAsia="宋体" w:cs="Times New Roman"/>
                <w:bCs/>
                <w:color w:val="auto"/>
                <w:kern w:val="0"/>
                <w:sz w:val="20"/>
                <w:szCs w:val="21"/>
              </w:rPr>
            </w:pPr>
          </w:p>
        </w:tc>
        <w:tc>
          <w:tcPr>
            <w:tcW w:w="1843" w:type="dxa"/>
          </w:tcPr>
          <w:p>
            <w:pPr>
              <w:jc w:val="center"/>
              <w:rPr>
                <w:rFonts w:ascii="Times New Roman" w:hAnsi="Times New Roman" w:eastAsia="宋体" w:cs="Times New Roman"/>
                <w:bCs/>
                <w:color w:val="auto"/>
                <w:kern w:val="0"/>
                <w:sz w:val="20"/>
                <w:szCs w:val="21"/>
              </w:rPr>
            </w:pPr>
          </w:p>
        </w:tc>
        <w:tc>
          <w:tcPr>
            <w:tcW w:w="2126" w:type="dxa"/>
          </w:tcPr>
          <w:p>
            <w:pPr>
              <w:jc w:val="center"/>
              <w:rPr>
                <w:rFonts w:ascii="Times New Roman" w:hAnsi="Times New Roman" w:eastAsia="宋体" w:cs="Times New Roman"/>
                <w:bCs/>
                <w:color w:val="auto"/>
                <w:kern w:val="0"/>
                <w:sz w:val="20"/>
                <w:szCs w:val="21"/>
              </w:rPr>
            </w:pPr>
          </w:p>
        </w:tc>
        <w:tc>
          <w:tcPr>
            <w:tcW w:w="709" w:type="dxa"/>
          </w:tcPr>
          <w:p>
            <w:pPr>
              <w:jc w:val="center"/>
              <w:rPr>
                <w:rFonts w:ascii="Times New Roman" w:hAnsi="Times New Roman" w:eastAsia="宋体" w:cs="Times New Roman"/>
                <w:bCs/>
                <w:color w:val="auto"/>
                <w:kern w:val="0"/>
                <w:sz w:val="20"/>
                <w:szCs w:val="21"/>
              </w:rPr>
            </w:pPr>
          </w:p>
        </w:tc>
        <w:tc>
          <w:tcPr>
            <w:tcW w:w="78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5</w:t>
            </w:r>
          </w:p>
        </w:tc>
        <w:tc>
          <w:tcPr>
            <w:tcW w:w="567" w:type="dxa"/>
            <w:vMerge w:val="continue"/>
            <w:vAlign w:val="center"/>
          </w:tcPr>
          <w:p>
            <w:pPr>
              <w:jc w:val="center"/>
              <w:rPr>
                <w:rFonts w:ascii="Times New Roman" w:hAnsi="Times New Roman" w:eastAsia="宋体" w:cs="Times New Roman"/>
                <w:bCs/>
                <w:color w:val="auto"/>
                <w:kern w:val="0"/>
                <w:sz w:val="20"/>
                <w:szCs w:val="21"/>
              </w:rPr>
            </w:pPr>
          </w:p>
        </w:tc>
        <w:tc>
          <w:tcPr>
            <w:tcW w:w="212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现场电气设备应完好，防爆电气设备密封严实、螺栓齐全、采用防爆挠性管或防爆格兰头。现场动力箱、控制箱安装牢固，孔洞封堵严实，保护接地措施完善，零部件、指示灯、仪表等应齐全完好。使用移动式、手持式电气设备必须做到“一机一闸一保护”。</w:t>
            </w:r>
          </w:p>
        </w:tc>
        <w:tc>
          <w:tcPr>
            <w:tcW w:w="2410"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《爆炸危险环境电力装置设计规范》</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GB50058-2014第5.2.3条</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《建筑电气工程施工质量验收规范》</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GB50303-2015</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《电气装置安装工程低压电器施工及验收规范》GB50254-2014</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电气装置安装工程电力变流设备施工及验收规范GB50255-2014</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《电气装置安装工程爆炸和火灾危险环境电气装置施工及验收规范》GB50257-2014</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《手持式电动工具的管理、使用、检查和维修安全技术规程》</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GB/T3787-2017</w:t>
            </w:r>
          </w:p>
        </w:tc>
        <w:tc>
          <w:tcPr>
            <w:tcW w:w="1701"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查现场</w:t>
            </w:r>
          </w:p>
        </w:tc>
        <w:tc>
          <w:tcPr>
            <w:tcW w:w="1984" w:type="dxa"/>
          </w:tcPr>
          <w:p>
            <w:pPr>
              <w:jc w:val="center"/>
              <w:rPr>
                <w:rFonts w:ascii="Times New Roman" w:hAnsi="Times New Roman" w:eastAsia="宋体" w:cs="Times New Roman"/>
                <w:bCs/>
                <w:color w:val="auto"/>
                <w:kern w:val="0"/>
                <w:sz w:val="20"/>
                <w:szCs w:val="21"/>
              </w:rPr>
            </w:pPr>
          </w:p>
        </w:tc>
        <w:tc>
          <w:tcPr>
            <w:tcW w:w="1843" w:type="dxa"/>
          </w:tcPr>
          <w:p>
            <w:pPr>
              <w:jc w:val="center"/>
              <w:rPr>
                <w:rFonts w:ascii="Times New Roman" w:hAnsi="Times New Roman" w:eastAsia="宋体" w:cs="Times New Roman"/>
                <w:bCs/>
                <w:color w:val="auto"/>
                <w:kern w:val="0"/>
                <w:sz w:val="20"/>
                <w:szCs w:val="21"/>
              </w:rPr>
            </w:pPr>
          </w:p>
        </w:tc>
        <w:tc>
          <w:tcPr>
            <w:tcW w:w="2126" w:type="dxa"/>
          </w:tcPr>
          <w:p>
            <w:pPr>
              <w:jc w:val="center"/>
              <w:rPr>
                <w:rFonts w:ascii="Times New Roman" w:hAnsi="Times New Roman" w:eastAsia="宋体" w:cs="Times New Roman"/>
                <w:bCs/>
                <w:color w:val="auto"/>
                <w:kern w:val="0"/>
                <w:sz w:val="20"/>
                <w:szCs w:val="21"/>
              </w:rPr>
            </w:pPr>
          </w:p>
        </w:tc>
        <w:tc>
          <w:tcPr>
            <w:tcW w:w="709" w:type="dxa"/>
          </w:tcPr>
          <w:p>
            <w:pPr>
              <w:jc w:val="center"/>
              <w:rPr>
                <w:rFonts w:ascii="Times New Roman" w:hAnsi="Times New Roman" w:eastAsia="宋体" w:cs="Times New Roman"/>
                <w:bCs/>
                <w:color w:val="auto"/>
                <w:kern w:val="0"/>
                <w:sz w:val="20"/>
                <w:szCs w:val="21"/>
              </w:rPr>
            </w:pPr>
          </w:p>
        </w:tc>
        <w:tc>
          <w:tcPr>
            <w:tcW w:w="78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6</w:t>
            </w:r>
          </w:p>
        </w:tc>
        <w:tc>
          <w:tcPr>
            <w:tcW w:w="567" w:type="dxa"/>
            <w:vMerge w:val="continue"/>
            <w:vAlign w:val="center"/>
          </w:tcPr>
          <w:p>
            <w:pPr>
              <w:jc w:val="center"/>
              <w:rPr>
                <w:rFonts w:ascii="Times New Roman" w:hAnsi="Times New Roman" w:eastAsia="宋体" w:cs="Times New Roman"/>
                <w:bCs/>
                <w:color w:val="auto"/>
                <w:kern w:val="0"/>
                <w:sz w:val="20"/>
                <w:szCs w:val="21"/>
              </w:rPr>
            </w:pPr>
          </w:p>
        </w:tc>
        <w:tc>
          <w:tcPr>
            <w:tcW w:w="212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工艺装置内露天布置的塔、容器等和可燃气体、液化烃、可燃液体的钢罐，应设置防雷接地；防雷装置应当每年检测一次，对爆炸和火灾危险环境场所的防雷装置应当每半年检测一次。</w:t>
            </w:r>
          </w:p>
        </w:tc>
        <w:tc>
          <w:tcPr>
            <w:tcW w:w="2410"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《石油化工企业设计防火标准》GB50160-2008（2018年版）第9.2.2条</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《防雷减灾管理办法》</w:t>
            </w:r>
          </w:p>
        </w:tc>
        <w:tc>
          <w:tcPr>
            <w:tcW w:w="1701"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查现场、查防雷接地检测报告</w:t>
            </w:r>
          </w:p>
        </w:tc>
        <w:tc>
          <w:tcPr>
            <w:tcW w:w="1984" w:type="dxa"/>
          </w:tcPr>
          <w:p>
            <w:pPr>
              <w:jc w:val="center"/>
              <w:rPr>
                <w:rFonts w:ascii="Times New Roman" w:hAnsi="Times New Roman" w:eastAsia="宋体" w:cs="Times New Roman"/>
                <w:bCs/>
                <w:color w:val="auto"/>
                <w:kern w:val="0"/>
                <w:sz w:val="20"/>
                <w:szCs w:val="21"/>
              </w:rPr>
            </w:pPr>
          </w:p>
        </w:tc>
        <w:tc>
          <w:tcPr>
            <w:tcW w:w="1843" w:type="dxa"/>
          </w:tcPr>
          <w:p>
            <w:pPr>
              <w:jc w:val="center"/>
              <w:rPr>
                <w:rFonts w:ascii="Times New Roman" w:hAnsi="Times New Roman" w:eastAsia="宋体" w:cs="Times New Roman"/>
                <w:bCs/>
                <w:color w:val="auto"/>
                <w:kern w:val="0"/>
                <w:sz w:val="20"/>
                <w:szCs w:val="21"/>
              </w:rPr>
            </w:pPr>
          </w:p>
        </w:tc>
        <w:tc>
          <w:tcPr>
            <w:tcW w:w="2126" w:type="dxa"/>
          </w:tcPr>
          <w:p>
            <w:pPr>
              <w:jc w:val="center"/>
              <w:rPr>
                <w:rFonts w:ascii="Times New Roman" w:hAnsi="Times New Roman" w:eastAsia="宋体" w:cs="Times New Roman"/>
                <w:bCs/>
                <w:color w:val="auto"/>
                <w:kern w:val="0"/>
                <w:sz w:val="20"/>
                <w:szCs w:val="21"/>
              </w:rPr>
            </w:pPr>
          </w:p>
        </w:tc>
        <w:tc>
          <w:tcPr>
            <w:tcW w:w="709" w:type="dxa"/>
          </w:tcPr>
          <w:p>
            <w:pPr>
              <w:jc w:val="center"/>
              <w:rPr>
                <w:rFonts w:ascii="Times New Roman" w:hAnsi="Times New Roman" w:eastAsia="宋体" w:cs="Times New Roman"/>
                <w:bCs/>
                <w:color w:val="auto"/>
                <w:kern w:val="0"/>
                <w:sz w:val="20"/>
                <w:szCs w:val="21"/>
              </w:rPr>
            </w:pPr>
          </w:p>
        </w:tc>
        <w:tc>
          <w:tcPr>
            <w:tcW w:w="78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4"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7</w:t>
            </w:r>
          </w:p>
        </w:tc>
        <w:tc>
          <w:tcPr>
            <w:tcW w:w="567" w:type="dxa"/>
            <w:vMerge w:val="continue"/>
            <w:vAlign w:val="center"/>
          </w:tcPr>
          <w:p>
            <w:pPr>
              <w:jc w:val="center"/>
              <w:rPr>
                <w:rFonts w:ascii="Times New Roman" w:hAnsi="Times New Roman" w:eastAsia="宋体" w:cs="Times New Roman"/>
                <w:bCs/>
                <w:color w:val="auto"/>
                <w:kern w:val="0"/>
                <w:sz w:val="20"/>
                <w:szCs w:val="21"/>
              </w:rPr>
            </w:pPr>
          </w:p>
        </w:tc>
        <w:tc>
          <w:tcPr>
            <w:tcW w:w="212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对爆炸、火灾危险场所内可能产生静电危险的设备和管道，均应采取静电接地措施。可燃气体、液化烃、可燃液体、可燃固体的管道在进出装置区或设施处、爆炸危险场所的边界、管道泵及泵入口永久过滤器、缓冲器等部位设静电接地设施。可燃液体、可燃气体、液化烃的汽车罐车、铁路罐车和装卸栈台应设静电专用接地线。</w:t>
            </w:r>
          </w:p>
        </w:tc>
        <w:tc>
          <w:tcPr>
            <w:tcW w:w="2410"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《石油化工企业设计防火标准》GB50160-2008（2018年版）第9.3.1条、第9.3.3条</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《石油化工静电接地设计规范》SHT3097-2017第5.2.2条</w:t>
            </w:r>
          </w:p>
        </w:tc>
        <w:tc>
          <w:tcPr>
            <w:tcW w:w="1701"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查现场</w:t>
            </w:r>
          </w:p>
        </w:tc>
        <w:tc>
          <w:tcPr>
            <w:tcW w:w="1984" w:type="dxa"/>
          </w:tcPr>
          <w:p>
            <w:pPr>
              <w:jc w:val="center"/>
              <w:rPr>
                <w:rFonts w:ascii="Times New Roman" w:hAnsi="Times New Roman" w:eastAsia="宋体" w:cs="Times New Roman"/>
                <w:bCs/>
                <w:color w:val="auto"/>
                <w:kern w:val="0"/>
                <w:sz w:val="20"/>
                <w:szCs w:val="21"/>
              </w:rPr>
            </w:pPr>
          </w:p>
        </w:tc>
        <w:tc>
          <w:tcPr>
            <w:tcW w:w="1843" w:type="dxa"/>
          </w:tcPr>
          <w:p>
            <w:pPr>
              <w:jc w:val="center"/>
              <w:rPr>
                <w:rFonts w:ascii="Times New Roman" w:hAnsi="Times New Roman" w:eastAsia="宋体" w:cs="Times New Roman"/>
                <w:bCs/>
                <w:color w:val="auto"/>
                <w:kern w:val="0"/>
                <w:sz w:val="20"/>
                <w:szCs w:val="21"/>
              </w:rPr>
            </w:pPr>
          </w:p>
        </w:tc>
        <w:tc>
          <w:tcPr>
            <w:tcW w:w="2126" w:type="dxa"/>
          </w:tcPr>
          <w:p>
            <w:pPr>
              <w:jc w:val="center"/>
              <w:rPr>
                <w:rFonts w:ascii="Times New Roman" w:hAnsi="Times New Roman" w:eastAsia="宋体" w:cs="Times New Roman"/>
                <w:bCs/>
                <w:color w:val="auto"/>
                <w:kern w:val="0"/>
                <w:sz w:val="20"/>
                <w:szCs w:val="21"/>
              </w:rPr>
            </w:pPr>
          </w:p>
        </w:tc>
        <w:tc>
          <w:tcPr>
            <w:tcW w:w="709" w:type="dxa"/>
          </w:tcPr>
          <w:p>
            <w:pPr>
              <w:jc w:val="center"/>
              <w:rPr>
                <w:rFonts w:ascii="Times New Roman" w:hAnsi="Times New Roman" w:eastAsia="宋体" w:cs="Times New Roman"/>
                <w:bCs/>
                <w:color w:val="auto"/>
                <w:kern w:val="0"/>
                <w:sz w:val="20"/>
                <w:szCs w:val="21"/>
              </w:rPr>
            </w:pPr>
          </w:p>
        </w:tc>
        <w:tc>
          <w:tcPr>
            <w:tcW w:w="78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8</w:t>
            </w:r>
          </w:p>
        </w:tc>
        <w:tc>
          <w:tcPr>
            <w:tcW w:w="567" w:type="dxa"/>
            <w:vMerge w:val="continue"/>
            <w:vAlign w:val="center"/>
          </w:tcPr>
          <w:p>
            <w:pPr>
              <w:jc w:val="center"/>
              <w:rPr>
                <w:rFonts w:ascii="Times New Roman" w:hAnsi="Times New Roman" w:eastAsia="宋体" w:cs="Times New Roman"/>
                <w:bCs/>
                <w:color w:val="auto"/>
                <w:kern w:val="0"/>
                <w:sz w:val="20"/>
                <w:szCs w:val="21"/>
              </w:rPr>
            </w:pPr>
          </w:p>
        </w:tc>
        <w:tc>
          <w:tcPr>
            <w:tcW w:w="212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化工企业重点防火、防爆作业区的入口处，可燃液体、可燃气体、液化烃的在汽车栈台、铁路栈台操作平台梯子入口处，储罐的扶梯进口处应设置消除人体静电装置。</w:t>
            </w:r>
          </w:p>
        </w:tc>
        <w:tc>
          <w:tcPr>
            <w:tcW w:w="2410"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《化工企业安全卫生设计规范》HG20571-2014第4.2.10条</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《石油化工静电接地设计规范》SHT3097-2017第5.2.2条</w:t>
            </w:r>
          </w:p>
        </w:tc>
        <w:tc>
          <w:tcPr>
            <w:tcW w:w="1701"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查现场</w:t>
            </w:r>
          </w:p>
        </w:tc>
        <w:tc>
          <w:tcPr>
            <w:tcW w:w="1984" w:type="dxa"/>
          </w:tcPr>
          <w:p>
            <w:pPr>
              <w:jc w:val="center"/>
              <w:rPr>
                <w:rFonts w:ascii="Times New Roman" w:hAnsi="Times New Roman" w:eastAsia="宋体" w:cs="Times New Roman"/>
                <w:bCs/>
                <w:color w:val="auto"/>
                <w:kern w:val="0"/>
                <w:sz w:val="20"/>
                <w:szCs w:val="21"/>
              </w:rPr>
            </w:pPr>
          </w:p>
        </w:tc>
        <w:tc>
          <w:tcPr>
            <w:tcW w:w="1843" w:type="dxa"/>
          </w:tcPr>
          <w:p>
            <w:pPr>
              <w:jc w:val="center"/>
              <w:rPr>
                <w:rFonts w:ascii="Times New Roman" w:hAnsi="Times New Roman" w:eastAsia="宋体" w:cs="Times New Roman"/>
                <w:bCs/>
                <w:color w:val="auto"/>
                <w:kern w:val="0"/>
                <w:sz w:val="20"/>
                <w:szCs w:val="21"/>
              </w:rPr>
            </w:pPr>
          </w:p>
        </w:tc>
        <w:tc>
          <w:tcPr>
            <w:tcW w:w="2126" w:type="dxa"/>
          </w:tcPr>
          <w:p>
            <w:pPr>
              <w:jc w:val="center"/>
              <w:rPr>
                <w:rFonts w:ascii="Times New Roman" w:hAnsi="Times New Roman" w:eastAsia="宋体" w:cs="Times New Roman"/>
                <w:bCs/>
                <w:color w:val="auto"/>
                <w:kern w:val="0"/>
                <w:sz w:val="20"/>
                <w:szCs w:val="21"/>
              </w:rPr>
            </w:pPr>
          </w:p>
        </w:tc>
        <w:tc>
          <w:tcPr>
            <w:tcW w:w="709" w:type="dxa"/>
          </w:tcPr>
          <w:p>
            <w:pPr>
              <w:jc w:val="center"/>
              <w:rPr>
                <w:rFonts w:ascii="Times New Roman" w:hAnsi="Times New Roman" w:eastAsia="宋体" w:cs="Times New Roman"/>
                <w:bCs/>
                <w:color w:val="auto"/>
                <w:kern w:val="0"/>
                <w:sz w:val="20"/>
                <w:szCs w:val="21"/>
              </w:rPr>
            </w:pPr>
          </w:p>
        </w:tc>
        <w:tc>
          <w:tcPr>
            <w:tcW w:w="78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8</w:t>
            </w:r>
          </w:p>
        </w:tc>
        <w:tc>
          <w:tcPr>
            <w:tcW w:w="567" w:type="dxa"/>
            <w:vMerge w:val="restart"/>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仪表管理要求</w:t>
            </w:r>
          </w:p>
        </w:tc>
        <w:tc>
          <w:tcPr>
            <w:tcW w:w="212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企业应建立自动控制系统、安全仪表系统、可燃/有毒气体检测报警系统等专业管理制度，管理制度应包含部门职责、管理内容、检查与考核要求等内容。</w:t>
            </w:r>
          </w:p>
        </w:tc>
        <w:tc>
          <w:tcPr>
            <w:tcW w:w="2410"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《关于加强化工过程安全管理的指导意见》（安监总管三〔2013〕88号）第十六条</w:t>
            </w:r>
          </w:p>
        </w:tc>
        <w:tc>
          <w:tcPr>
            <w:tcW w:w="1701" w:type="dxa"/>
            <w:vAlign w:val="center"/>
          </w:tcPr>
          <w:p>
            <w:pPr>
              <w:jc w:val="left"/>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查阅仪表相关管理制度，核实制度版本的有效性、制度内容是否齐全，且与企业实际相符。</w:t>
            </w:r>
          </w:p>
        </w:tc>
        <w:tc>
          <w:tcPr>
            <w:tcW w:w="1984" w:type="dxa"/>
          </w:tcPr>
          <w:p>
            <w:pPr>
              <w:jc w:val="center"/>
              <w:rPr>
                <w:rFonts w:ascii="Times New Roman" w:hAnsi="Times New Roman" w:eastAsia="宋体" w:cs="Times New Roman"/>
                <w:bCs/>
                <w:color w:val="auto"/>
                <w:kern w:val="0"/>
                <w:sz w:val="20"/>
                <w:szCs w:val="21"/>
              </w:rPr>
            </w:pPr>
          </w:p>
        </w:tc>
        <w:tc>
          <w:tcPr>
            <w:tcW w:w="1843" w:type="dxa"/>
          </w:tcPr>
          <w:p>
            <w:pPr>
              <w:jc w:val="center"/>
              <w:rPr>
                <w:rFonts w:ascii="Times New Roman" w:hAnsi="Times New Roman" w:eastAsia="宋体" w:cs="Times New Roman"/>
                <w:bCs/>
                <w:color w:val="auto"/>
                <w:kern w:val="0"/>
                <w:sz w:val="20"/>
                <w:szCs w:val="21"/>
              </w:rPr>
            </w:pPr>
          </w:p>
        </w:tc>
        <w:tc>
          <w:tcPr>
            <w:tcW w:w="2126" w:type="dxa"/>
          </w:tcPr>
          <w:p>
            <w:pPr>
              <w:jc w:val="center"/>
              <w:rPr>
                <w:rFonts w:ascii="Times New Roman" w:hAnsi="Times New Roman" w:eastAsia="宋体" w:cs="Times New Roman"/>
                <w:bCs/>
                <w:color w:val="auto"/>
                <w:kern w:val="0"/>
                <w:sz w:val="20"/>
                <w:szCs w:val="21"/>
              </w:rPr>
            </w:pPr>
          </w:p>
        </w:tc>
        <w:tc>
          <w:tcPr>
            <w:tcW w:w="709" w:type="dxa"/>
          </w:tcPr>
          <w:p>
            <w:pPr>
              <w:jc w:val="center"/>
              <w:rPr>
                <w:rFonts w:ascii="Times New Roman" w:hAnsi="Times New Roman" w:eastAsia="宋体" w:cs="Times New Roman"/>
                <w:bCs/>
                <w:color w:val="auto"/>
                <w:kern w:val="0"/>
                <w:sz w:val="20"/>
                <w:szCs w:val="21"/>
              </w:rPr>
            </w:pPr>
          </w:p>
        </w:tc>
        <w:tc>
          <w:tcPr>
            <w:tcW w:w="78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9</w:t>
            </w:r>
          </w:p>
        </w:tc>
        <w:tc>
          <w:tcPr>
            <w:tcW w:w="567" w:type="dxa"/>
            <w:vMerge w:val="continue"/>
            <w:vAlign w:val="center"/>
          </w:tcPr>
          <w:p>
            <w:pPr>
              <w:jc w:val="center"/>
              <w:rPr>
                <w:rFonts w:ascii="Times New Roman" w:hAnsi="Times New Roman" w:eastAsia="宋体" w:cs="Times New Roman"/>
                <w:bCs/>
                <w:color w:val="auto"/>
                <w:kern w:val="0"/>
                <w:sz w:val="20"/>
                <w:szCs w:val="21"/>
              </w:rPr>
            </w:pPr>
          </w:p>
        </w:tc>
        <w:tc>
          <w:tcPr>
            <w:tcW w:w="212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企业应建立现场仪表定期检定（校准）的登记台账，应包含仪表的名称、型号、位号、量程、检定（校准）日期等信息。应建立DCS、SIS、PLC联锁清单，清单中的仪表名称、位号、联锁值、联锁动作应与设计文件一致。</w:t>
            </w:r>
          </w:p>
        </w:tc>
        <w:tc>
          <w:tcPr>
            <w:tcW w:w="2410"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《危险化学品企业安全风险隐患排查治理导则》（应急〔2019〕78号）第6（仪表安全风险隐患排查清单）（一）</w:t>
            </w:r>
          </w:p>
        </w:tc>
        <w:tc>
          <w:tcPr>
            <w:tcW w:w="1701" w:type="dxa"/>
            <w:vAlign w:val="center"/>
          </w:tcPr>
          <w:p>
            <w:pPr>
              <w:jc w:val="left"/>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查阅企业仪表台帐、仪表回路调试记录、巡回检查记录等，核实企业是否定期进行仪表联锁回路调试、仪表定期校验，是否对安全仪表功能进行定期全面检验测试等。</w:t>
            </w:r>
          </w:p>
        </w:tc>
        <w:tc>
          <w:tcPr>
            <w:tcW w:w="1984" w:type="dxa"/>
          </w:tcPr>
          <w:p>
            <w:pPr>
              <w:jc w:val="center"/>
              <w:rPr>
                <w:rFonts w:ascii="Times New Roman" w:hAnsi="Times New Roman" w:eastAsia="宋体" w:cs="Times New Roman"/>
                <w:bCs/>
                <w:color w:val="auto"/>
                <w:kern w:val="0"/>
                <w:sz w:val="20"/>
                <w:szCs w:val="21"/>
              </w:rPr>
            </w:pPr>
          </w:p>
        </w:tc>
        <w:tc>
          <w:tcPr>
            <w:tcW w:w="1843" w:type="dxa"/>
          </w:tcPr>
          <w:p>
            <w:pPr>
              <w:jc w:val="center"/>
              <w:rPr>
                <w:rFonts w:ascii="Times New Roman" w:hAnsi="Times New Roman" w:eastAsia="宋体" w:cs="Times New Roman"/>
                <w:bCs/>
                <w:color w:val="auto"/>
                <w:kern w:val="0"/>
                <w:sz w:val="20"/>
                <w:szCs w:val="21"/>
              </w:rPr>
            </w:pPr>
          </w:p>
        </w:tc>
        <w:tc>
          <w:tcPr>
            <w:tcW w:w="2126" w:type="dxa"/>
          </w:tcPr>
          <w:p>
            <w:pPr>
              <w:jc w:val="center"/>
              <w:rPr>
                <w:rFonts w:ascii="Times New Roman" w:hAnsi="Times New Roman" w:eastAsia="宋体" w:cs="Times New Roman"/>
                <w:bCs/>
                <w:color w:val="auto"/>
                <w:kern w:val="0"/>
                <w:sz w:val="20"/>
                <w:szCs w:val="21"/>
              </w:rPr>
            </w:pPr>
          </w:p>
        </w:tc>
        <w:tc>
          <w:tcPr>
            <w:tcW w:w="709" w:type="dxa"/>
          </w:tcPr>
          <w:p>
            <w:pPr>
              <w:jc w:val="center"/>
              <w:rPr>
                <w:rFonts w:ascii="Times New Roman" w:hAnsi="Times New Roman" w:eastAsia="宋体" w:cs="Times New Roman"/>
                <w:bCs/>
                <w:color w:val="auto"/>
                <w:kern w:val="0"/>
                <w:sz w:val="20"/>
                <w:szCs w:val="21"/>
              </w:rPr>
            </w:pPr>
          </w:p>
        </w:tc>
        <w:tc>
          <w:tcPr>
            <w:tcW w:w="78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B级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4"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10</w:t>
            </w:r>
          </w:p>
        </w:tc>
        <w:tc>
          <w:tcPr>
            <w:tcW w:w="567" w:type="dxa"/>
            <w:vMerge w:val="continue"/>
            <w:vAlign w:val="center"/>
          </w:tcPr>
          <w:p>
            <w:pPr>
              <w:jc w:val="center"/>
              <w:rPr>
                <w:rFonts w:ascii="Times New Roman" w:hAnsi="Times New Roman" w:eastAsia="宋体" w:cs="Times New Roman"/>
                <w:bCs/>
                <w:color w:val="auto"/>
                <w:kern w:val="0"/>
                <w:sz w:val="20"/>
                <w:szCs w:val="21"/>
              </w:rPr>
            </w:pPr>
          </w:p>
        </w:tc>
        <w:tc>
          <w:tcPr>
            <w:tcW w:w="212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 xml:space="preserve">新（改、扩）建装置和大修装置的仪表自动化控制系统投用前、长期停用的仪表自动化控制系统再次启用前，必须进行检查确认。 </w:t>
            </w:r>
          </w:p>
        </w:tc>
        <w:tc>
          <w:tcPr>
            <w:tcW w:w="2410"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《国家安全监管总局关于加强化工过程安全管理的指导意见》（安监总管三〔2013〕88号）第十六条</w:t>
            </w:r>
          </w:p>
        </w:tc>
        <w:tc>
          <w:tcPr>
            <w:tcW w:w="1701" w:type="dxa"/>
            <w:vAlign w:val="center"/>
          </w:tcPr>
          <w:p>
            <w:pPr>
              <w:jc w:val="left"/>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查阅企业仪表回路调试记录，核实企业是否有仪表自动化控制系统投用前的检查确认记录（包括新投用装置、大修装置、长期停用后再次投用）。</w:t>
            </w:r>
          </w:p>
        </w:tc>
        <w:tc>
          <w:tcPr>
            <w:tcW w:w="1984" w:type="dxa"/>
          </w:tcPr>
          <w:p>
            <w:pPr>
              <w:jc w:val="center"/>
              <w:rPr>
                <w:rFonts w:ascii="Times New Roman" w:hAnsi="Times New Roman" w:eastAsia="宋体" w:cs="Times New Roman"/>
                <w:bCs/>
                <w:color w:val="auto"/>
                <w:kern w:val="0"/>
                <w:sz w:val="20"/>
                <w:szCs w:val="21"/>
              </w:rPr>
            </w:pPr>
          </w:p>
        </w:tc>
        <w:tc>
          <w:tcPr>
            <w:tcW w:w="1843" w:type="dxa"/>
          </w:tcPr>
          <w:p>
            <w:pPr>
              <w:jc w:val="center"/>
              <w:rPr>
                <w:rFonts w:ascii="Times New Roman" w:hAnsi="Times New Roman" w:eastAsia="宋体" w:cs="Times New Roman"/>
                <w:bCs/>
                <w:color w:val="auto"/>
                <w:kern w:val="0"/>
                <w:sz w:val="20"/>
                <w:szCs w:val="21"/>
              </w:rPr>
            </w:pPr>
          </w:p>
        </w:tc>
        <w:tc>
          <w:tcPr>
            <w:tcW w:w="2126" w:type="dxa"/>
          </w:tcPr>
          <w:p>
            <w:pPr>
              <w:jc w:val="center"/>
              <w:rPr>
                <w:rFonts w:ascii="Times New Roman" w:hAnsi="Times New Roman" w:eastAsia="宋体" w:cs="Times New Roman"/>
                <w:bCs/>
                <w:color w:val="auto"/>
                <w:kern w:val="0"/>
                <w:sz w:val="20"/>
                <w:szCs w:val="21"/>
              </w:rPr>
            </w:pPr>
          </w:p>
        </w:tc>
        <w:tc>
          <w:tcPr>
            <w:tcW w:w="709" w:type="dxa"/>
          </w:tcPr>
          <w:p>
            <w:pPr>
              <w:jc w:val="center"/>
              <w:rPr>
                <w:rFonts w:ascii="Times New Roman" w:hAnsi="Times New Roman" w:eastAsia="宋体" w:cs="Times New Roman"/>
                <w:bCs/>
                <w:color w:val="auto"/>
                <w:kern w:val="0"/>
                <w:sz w:val="20"/>
                <w:szCs w:val="21"/>
              </w:rPr>
            </w:pPr>
          </w:p>
        </w:tc>
        <w:tc>
          <w:tcPr>
            <w:tcW w:w="786" w:type="dxa"/>
            <w:vAlign w:val="center"/>
          </w:tcPr>
          <w:p>
            <w:pPr>
              <w:widowControl/>
              <w:spacing w:line="280" w:lineRule="exact"/>
              <w:textAlignment w:val="center"/>
              <w:rPr>
                <w:rFonts w:ascii="Times New Roman" w:hAnsi="Times New Roman" w:eastAsia="宋体" w:cs="Times New Roman"/>
                <w:bCs/>
                <w:color w:val="auto"/>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11</w:t>
            </w:r>
          </w:p>
        </w:tc>
        <w:tc>
          <w:tcPr>
            <w:tcW w:w="567" w:type="dxa"/>
            <w:vMerge w:val="continue"/>
            <w:vAlign w:val="center"/>
          </w:tcPr>
          <w:p>
            <w:pPr>
              <w:jc w:val="center"/>
              <w:rPr>
                <w:rFonts w:ascii="Times New Roman" w:hAnsi="Times New Roman" w:eastAsia="宋体" w:cs="Times New Roman"/>
                <w:bCs/>
                <w:color w:val="auto"/>
                <w:kern w:val="0"/>
                <w:sz w:val="20"/>
                <w:szCs w:val="21"/>
              </w:rPr>
            </w:pPr>
          </w:p>
        </w:tc>
        <w:tc>
          <w:tcPr>
            <w:tcW w:w="212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企业应建立安全联锁保护系统停运、变更专业会签和技术负责人审批制度。联锁保护系统的管理应满足：</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1.联锁逻辑图、定期维修校验记录、临时停用记录等技术资料齐全；</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2.应对工艺和设备联锁回路定期调试；</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3.联锁保护系统（设定值、联锁程序、联锁方式、取消）变更应办理审批手续；</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4.联锁摘除和恢复应办理工作票，有部门会签和领导签批手续；</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 xml:space="preserve">5.摘除联锁保护系统应有防范措施及整改方案。 </w:t>
            </w:r>
          </w:p>
        </w:tc>
        <w:tc>
          <w:tcPr>
            <w:tcW w:w="2410"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《工业自动化和控制系统网络安全集散控制系统(DCS)第2部分：管理要求》</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（GB/T 33009.2-2016）</w:t>
            </w:r>
          </w:p>
        </w:tc>
        <w:tc>
          <w:tcPr>
            <w:tcW w:w="1701" w:type="dxa"/>
            <w:vAlign w:val="center"/>
          </w:tcPr>
          <w:p>
            <w:pPr>
              <w:jc w:val="left"/>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查阅是否建立联锁管理制度，包括联锁维护、摘除与恢复、变更等管理内容。</w:t>
            </w:r>
          </w:p>
          <w:p>
            <w:pPr>
              <w:jc w:val="left"/>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查阅企业变更管理台账、控制室操作记录、交接班记录、仪表定期维修校验记录、临时停用记录，核实企业是否发生过联锁值、联锁方式等变更。</w:t>
            </w:r>
          </w:p>
        </w:tc>
        <w:tc>
          <w:tcPr>
            <w:tcW w:w="1984" w:type="dxa"/>
          </w:tcPr>
          <w:p>
            <w:pPr>
              <w:jc w:val="center"/>
              <w:rPr>
                <w:rFonts w:ascii="Times New Roman" w:hAnsi="Times New Roman" w:eastAsia="宋体" w:cs="Times New Roman"/>
                <w:bCs/>
                <w:color w:val="auto"/>
                <w:kern w:val="0"/>
                <w:sz w:val="20"/>
                <w:szCs w:val="21"/>
              </w:rPr>
            </w:pPr>
          </w:p>
        </w:tc>
        <w:tc>
          <w:tcPr>
            <w:tcW w:w="1843" w:type="dxa"/>
          </w:tcPr>
          <w:p>
            <w:pPr>
              <w:jc w:val="center"/>
              <w:rPr>
                <w:rFonts w:ascii="Times New Roman" w:hAnsi="Times New Roman" w:eastAsia="宋体" w:cs="Times New Roman"/>
                <w:bCs/>
                <w:color w:val="auto"/>
                <w:kern w:val="0"/>
                <w:sz w:val="20"/>
                <w:szCs w:val="21"/>
              </w:rPr>
            </w:pPr>
          </w:p>
        </w:tc>
        <w:tc>
          <w:tcPr>
            <w:tcW w:w="2126" w:type="dxa"/>
          </w:tcPr>
          <w:p>
            <w:pPr>
              <w:jc w:val="center"/>
              <w:rPr>
                <w:rFonts w:ascii="Times New Roman" w:hAnsi="Times New Roman" w:eastAsia="宋体" w:cs="Times New Roman"/>
                <w:bCs/>
                <w:color w:val="auto"/>
                <w:kern w:val="0"/>
                <w:sz w:val="20"/>
                <w:szCs w:val="21"/>
              </w:rPr>
            </w:pPr>
          </w:p>
        </w:tc>
        <w:tc>
          <w:tcPr>
            <w:tcW w:w="709" w:type="dxa"/>
          </w:tcPr>
          <w:p>
            <w:pPr>
              <w:jc w:val="center"/>
              <w:rPr>
                <w:rFonts w:ascii="Times New Roman" w:hAnsi="Times New Roman" w:eastAsia="宋体" w:cs="Times New Roman"/>
                <w:bCs/>
                <w:color w:val="auto"/>
                <w:kern w:val="0"/>
                <w:sz w:val="20"/>
                <w:szCs w:val="21"/>
              </w:rPr>
            </w:pPr>
          </w:p>
        </w:tc>
        <w:tc>
          <w:tcPr>
            <w:tcW w:w="78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12</w:t>
            </w:r>
          </w:p>
        </w:tc>
        <w:tc>
          <w:tcPr>
            <w:tcW w:w="567" w:type="dxa"/>
            <w:vMerge w:val="continue"/>
            <w:vAlign w:val="center"/>
          </w:tcPr>
          <w:p>
            <w:pPr>
              <w:jc w:val="center"/>
              <w:rPr>
                <w:rFonts w:ascii="Times New Roman" w:hAnsi="Times New Roman" w:eastAsia="宋体" w:cs="Times New Roman"/>
                <w:bCs/>
                <w:color w:val="auto"/>
                <w:kern w:val="0"/>
                <w:sz w:val="20"/>
                <w:szCs w:val="21"/>
              </w:rPr>
            </w:pPr>
          </w:p>
        </w:tc>
        <w:tc>
          <w:tcPr>
            <w:tcW w:w="212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涉及重点监管的危险化工工艺生产装置、构成重大危险源的生产装置或储存设施的安全联锁摘除未履行审批手续或摘除后的联锁未按照审批要求恢复。涉及物料发生热分解失控风险的生产装置、储存设施的控制、联锁设施未投入使用或功能失效。</w:t>
            </w:r>
          </w:p>
        </w:tc>
        <w:tc>
          <w:tcPr>
            <w:tcW w:w="2410"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《化工和危险化学品生产经营企业重大生产安全事故隐患判定准则》（AQ 3067-2026）第5.5.7条</w:t>
            </w:r>
          </w:p>
        </w:tc>
        <w:tc>
          <w:tcPr>
            <w:tcW w:w="1701" w:type="dxa"/>
            <w:vAlign w:val="center"/>
          </w:tcPr>
          <w:p>
            <w:pPr>
              <w:jc w:val="left"/>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查阅 DCS 界面和历史记录，查看是否存在联锁摘除现象，若存在，应调阅联锁工作票，查看是否经过审批，并核实是否制订了联摘除后的防范措施，是否及时恢复该联锁。</w:t>
            </w:r>
          </w:p>
        </w:tc>
        <w:tc>
          <w:tcPr>
            <w:tcW w:w="1984" w:type="dxa"/>
          </w:tcPr>
          <w:p>
            <w:pPr>
              <w:jc w:val="center"/>
              <w:rPr>
                <w:rFonts w:ascii="Times New Roman" w:hAnsi="Times New Roman" w:eastAsia="宋体" w:cs="Times New Roman"/>
                <w:bCs/>
                <w:color w:val="auto"/>
                <w:kern w:val="0"/>
                <w:sz w:val="20"/>
                <w:szCs w:val="21"/>
              </w:rPr>
            </w:pPr>
          </w:p>
        </w:tc>
        <w:tc>
          <w:tcPr>
            <w:tcW w:w="1843" w:type="dxa"/>
          </w:tcPr>
          <w:p>
            <w:pPr>
              <w:jc w:val="center"/>
              <w:rPr>
                <w:rFonts w:ascii="Times New Roman" w:hAnsi="Times New Roman" w:eastAsia="宋体" w:cs="Times New Roman"/>
                <w:bCs/>
                <w:color w:val="auto"/>
                <w:kern w:val="0"/>
                <w:sz w:val="20"/>
                <w:szCs w:val="21"/>
              </w:rPr>
            </w:pPr>
          </w:p>
        </w:tc>
        <w:tc>
          <w:tcPr>
            <w:tcW w:w="2126" w:type="dxa"/>
          </w:tcPr>
          <w:p>
            <w:pPr>
              <w:jc w:val="center"/>
              <w:rPr>
                <w:rFonts w:ascii="Times New Roman" w:hAnsi="Times New Roman" w:eastAsia="宋体" w:cs="Times New Roman"/>
                <w:bCs/>
                <w:color w:val="auto"/>
                <w:kern w:val="0"/>
                <w:sz w:val="20"/>
                <w:szCs w:val="21"/>
              </w:rPr>
            </w:pPr>
          </w:p>
        </w:tc>
        <w:tc>
          <w:tcPr>
            <w:tcW w:w="709" w:type="dxa"/>
          </w:tcPr>
          <w:p>
            <w:pPr>
              <w:jc w:val="center"/>
              <w:rPr>
                <w:rFonts w:ascii="Times New Roman" w:hAnsi="Times New Roman" w:eastAsia="宋体" w:cs="Times New Roman"/>
                <w:bCs/>
                <w:color w:val="auto"/>
                <w:kern w:val="0"/>
                <w:sz w:val="20"/>
                <w:szCs w:val="21"/>
              </w:rPr>
            </w:pPr>
          </w:p>
        </w:tc>
        <w:tc>
          <w:tcPr>
            <w:tcW w:w="78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13</w:t>
            </w:r>
          </w:p>
        </w:tc>
        <w:tc>
          <w:tcPr>
            <w:tcW w:w="567" w:type="dxa"/>
            <w:vMerge w:val="restart"/>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自动控制系统</w:t>
            </w:r>
          </w:p>
        </w:tc>
        <w:tc>
          <w:tcPr>
            <w:tcW w:w="212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 xml:space="preserve">新建化工装置必须设置自动化控制系统，根据工艺过程危险和安全风险分析结果，确定配备安全仪表系统。 </w:t>
            </w:r>
          </w:p>
        </w:tc>
        <w:tc>
          <w:tcPr>
            <w:tcW w:w="2410"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《关于进一步加强危险化学品建设项目安全设计管理的通知》（安监总管三〔2013〕76号）第十九条</w:t>
            </w:r>
          </w:p>
        </w:tc>
        <w:tc>
          <w:tcPr>
            <w:tcW w:w="1701"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查阅设计资料、PID图、HAZOP分析报告、LOPA等资料，核实企业是否按照要求设置了安全仪表系统。 企业是否在HAZOP、LOPA分析的基础上开展SIL评估。</w:t>
            </w:r>
          </w:p>
        </w:tc>
        <w:tc>
          <w:tcPr>
            <w:tcW w:w="1984" w:type="dxa"/>
          </w:tcPr>
          <w:p>
            <w:pPr>
              <w:jc w:val="center"/>
              <w:rPr>
                <w:rFonts w:ascii="Times New Roman" w:hAnsi="Times New Roman" w:eastAsia="宋体" w:cs="Times New Roman"/>
                <w:bCs/>
                <w:color w:val="auto"/>
                <w:kern w:val="0"/>
                <w:sz w:val="20"/>
                <w:szCs w:val="21"/>
              </w:rPr>
            </w:pPr>
          </w:p>
        </w:tc>
        <w:tc>
          <w:tcPr>
            <w:tcW w:w="1843" w:type="dxa"/>
          </w:tcPr>
          <w:p>
            <w:pPr>
              <w:jc w:val="center"/>
              <w:rPr>
                <w:rFonts w:ascii="Times New Roman" w:hAnsi="Times New Roman" w:eastAsia="宋体" w:cs="Times New Roman"/>
                <w:bCs/>
                <w:color w:val="auto"/>
                <w:kern w:val="0"/>
                <w:sz w:val="20"/>
                <w:szCs w:val="21"/>
              </w:rPr>
            </w:pPr>
          </w:p>
        </w:tc>
        <w:tc>
          <w:tcPr>
            <w:tcW w:w="2126" w:type="dxa"/>
          </w:tcPr>
          <w:p>
            <w:pPr>
              <w:jc w:val="center"/>
              <w:rPr>
                <w:rFonts w:ascii="Times New Roman" w:hAnsi="Times New Roman" w:eastAsia="宋体" w:cs="Times New Roman"/>
                <w:bCs/>
                <w:color w:val="auto"/>
                <w:kern w:val="0"/>
                <w:sz w:val="20"/>
                <w:szCs w:val="21"/>
              </w:rPr>
            </w:pPr>
          </w:p>
        </w:tc>
        <w:tc>
          <w:tcPr>
            <w:tcW w:w="709" w:type="dxa"/>
          </w:tcPr>
          <w:p>
            <w:pPr>
              <w:jc w:val="center"/>
              <w:rPr>
                <w:rFonts w:ascii="Times New Roman" w:hAnsi="Times New Roman" w:eastAsia="宋体" w:cs="Times New Roman"/>
                <w:bCs/>
                <w:color w:val="auto"/>
                <w:kern w:val="0"/>
                <w:sz w:val="20"/>
                <w:szCs w:val="21"/>
              </w:rPr>
            </w:pPr>
          </w:p>
        </w:tc>
        <w:tc>
          <w:tcPr>
            <w:tcW w:w="78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B级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4"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14</w:t>
            </w:r>
          </w:p>
        </w:tc>
        <w:tc>
          <w:tcPr>
            <w:tcW w:w="567" w:type="dxa"/>
            <w:vMerge w:val="continue"/>
            <w:vAlign w:val="center"/>
          </w:tcPr>
          <w:p>
            <w:pPr>
              <w:jc w:val="center"/>
              <w:rPr>
                <w:rFonts w:ascii="Times New Roman" w:hAnsi="Times New Roman" w:eastAsia="宋体" w:cs="Times New Roman"/>
                <w:bCs/>
                <w:color w:val="auto"/>
                <w:kern w:val="0"/>
                <w:sz w:val="20"/>
                <w:szCs w:val="21"/>
              </w:rPr>
            </w:pPr>
          </w:p>
        </w:tc>
        <w:tc>
          <w:tcPr>
            <w:tcW w:w="212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构成一级、二级重大危险源危险化学品罐区各储罐进、出液相物料管道未实现紧急切断功能或功能失效。</w:t>
            </w:r>
          </w:p>
        </w:tc>
        <w:tc>
          <w:tcPr>
            <w:tcW w:w="2410"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《化工和危险化学品生产经营企业重大生产安全事故隐患判定准则》（AQ 3067-2026）第5.5.6条</w:t>
            </w:r>
          </w:p>
        </w:tc>
        <w:tc>
          <w:tcPr>
            <w:tcW w:w="1701"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查现场</w:t>
            </w:r>
          </w:p>
        </w:tc>
        <w:tc>
          <w:tcPr>
            <w:tcW w:w="1984" w:type="dxa"/>
          </w:tcPr>
          <w:p>
            <w:pPr>
              <w:jc w:val="center"/>
              <w:rPr>
                <w:rFonts w:ascii="Times New Roman" w:hAnsi="Times New Roman" w:eastAsia="宋体" w:cs="Times New Roman"/>
                <w:bCs/>
                <w:color w:val="auto"/>
                <w:kern w:val="0"/>
                <w:sz w:val="20"/>
                <w:szCs w:val="21"/>
              </w:rPr>
            </w:pPr>
          </w:p>
        </w:tc>
        <w:tc>
          <w:tcPr>
            <w:tcW w:w="1843" w:type="dxa"/>
          </w:tcPr>
          <w:p>
            <w:pPr>
              <w:jc w:val="center"/>
              <w:rPr>
                <w:rFonts w:ascii="Times New Roman" w:hAnsi="Times New Roman" w:eastAsia="宋体" w:cs="Times New Roman"/>
                <w:bCs/>
                <w:color w:val="auto"/>
                <w:kern w:val="0"/>
                <w:sz w:val="20"/>
                <w:szCs w:val="21"/>
              </w:rPr>
            </w:pPr>
          </w:p>
        </w:tc>
        <w:tc>
          <w:tcPr>
            <w:tcW w:w="2126" w:type="dxa"/>
          </w:tcPr>
          <w:p>
            <w:pPr>
              <w:jc w:val="center"/>
              <w:rPr>
                <w:rFonts w:ascii="Times New Roman" w:hAnsi="Times New Roman" w:eastAsia="宋体" w:cs="Times New Roman"/>
                <w:bCs/>
                <w:color w:val="auto"/>
                <w:kern w:val="0"/>
                <w:sz w:val="20"/>
                <w:szCs w:val="21"/>
              </w:rPr>
            </w:pPr>
          </w:p>
        </w:tc>
        <w:tc>
          <w:tcPr>
            <w:tcW w:w="709" w:type="dxa"/>
          </w:tcPr>
          <w:p>
            <w:pPr>
              <w:jc w:val="center"/>
              <w:rPr>
                <w:rFonts w:ascii="Times New Roman" w:hAnsi="Times New Roman" w:eastAsia="宋体" w:cs="Times New Roman"/>
                <w:bCs/>
                <w:color w:val="auto"/>
                <w:kern w:val="0"/>
                <w:sz w:val="20"/>
                <w:szCs w:val="21"/>
              </w:rPr>
            </w:pPr>
          </w:p>
        </w:tc>
        <w:tc>
          <w:tcPr>
            <w:tcW w:w="78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15</w:t>
            </w:r>
          </w:p>
        </w:tc>
        <w:tc>
          <w:tcPr>
            <w:tcW w:w="567" w:type="dxa"/>
            <w:vMerge w:val="continue"/>
            <w:vAlign w:val="center"/>
          </w:tcPr>
          <w:p>
            <w:pPr>
              <w:jc w:val="center"/>
              <w:rPr>
                <w:rFonts w:ascii="Times New Roman" w:hAnsi="Times New Roman" w:eastAsia="宋体" w:cs="Times New Roman"/>
                <w:bCs/>
                <w:color w:val="auto"/>
                <w:kern w:val="0"/>
                <w:sz w:val="20"/>
                <w:szCs w:val="21"/>
              </w:rPr>
            </w:pPr>
          </w:p>
        </w:tc>
        <w:tc>
          <w:tcPr>
            <w:tcW w:w="212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仪表工程的回路试验和系统试验，应按设计文件和《自动化仪表工程施工及质量验收规范》规定进行，并应经试验合格。企业应对工艺和设备联锁回路定期调试，调试记录齐全。</w:t>
            </w:r>
          </w:p>
        </w:tc>
        <w:tc>
          <w:tcPr>
            <w:tcW w:w="2410"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《自动化仪表工程施工及质量验收规范》GB50093-2013第13.1.2条</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《危险化学品企业安全风险隐患排查治理导则》6仪表安全风险隐患排查清单（一）仪表安全管理第3条、第6.2条</w:t>
            </w:r>
          </w:p>
        </w:tc>
        <w:tc>
          <w:tcPr>
            <w:tcW w:w="1701"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查记录</w:t>
            </w:r>
          </w:p>
        </w:tc>
        <w:tc>
          <w:tcPr>
            <w:tcW w:w="1984" w:type="dxa"/>
          </w:tcPr>
          <w:p>
            <w:pPr>
              <w:jc w:val="center"/>
              <w:rPr>
                <w:rFonts w:ascii="Times New Roman" w:hAnsi="Times New Roman" w:eastAsia="宋体" w:cs="Times New Roman"/>
                <w:bCs/>
                <w:color w:val="auto"/>
                <w:kern w:val="0"/>
                <w:sz w:val="20"/>
                <w:szCs w:val="21"/>
              </w:rPr>
            </w:pPr>
          </w:p>
        </w:tc>
        <w:tc>
          <w:tcPr>
            <w:tcW w:w="1843" w:type="dxa"/>
          </w:tcPr>
          <w:p>
            <w:pPr>
              <w:jc w:val="center"/>
              <w:rPr>
                <w:rFonts w:ascii="Times New Roman" w:hAnsi="Times New Roman" w:eastAsia="宋体" w:cs="Times New Roman"/>
                <w:bCs/>
                <w:color w:val="auto"/>
                <w:kern w:val="0"/>
                <w:sz w:val="20"/>
                <w:szCs w:val="21"/>
              </w:rPr>
            </w:pPr>
          </w:p>
        </w:tc>
        <w:tc>
          <w:tcPr>
            <w:tcW w:w="2126" w:type="dxa"/>
          </w:tcPr>
          <w:p>
            <w:pPr>
              <w:jc w:val="center"/>
              <w:rPr>
                <w:rFonts w:ascii="Times New Roman" w:hAnsi="Times New Roman" w:eastAsia="宋体" w:cs="Times New Roman"/>
                <w:bCs/>
                <w:color w:val="auto"/>
                <w:kern w:val="0"/>
                <w:sz w:val="20"/>
                <w:szCs w:val="21"/>
              </w:rPr>
            </w:pPr>
          </w:p>
        </w:tc>
        <w:tc>
          <w:tcPr>
            <w:tcW w:w="709" w:type="dxa"/>
          </w:tcPr>
          <w:p>
            <w:pPr>
              <w:jc w:val="center"/>
              <w:rPr>
                <w:rFonts w:ascii="Times New Roman" w:hAnsi="Times New Roman" w:eastAsia="宋体" w:cs="Times New Roman"/>
                <w:bCs/>
                <w:color w:val="auto"/>
                <w:kern w:val="0"/>
                <w:sz w:val="20"/>
                <w:szCs w:val="21"/>
              </w:rPr>
            </w:pPr>
          </w:p>
        </w:tc>
        <w:tc>
          <w:tcPr>
            <w:tcW w:w="78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16</w:t>
            </w:r>
          </w:p>
        </w:tc>
        <w:tc>
          <w:tcPr>
            <w:tcW w:w="567" w:type="dxa"/>
            <w:vMerge w:val="restart"/>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安全仪表系统</w:t>
            </w:r>
          </w:p>
        </w:tc>
        <w:tc>
          <w:tcPr>
            <w:tcW w:w="212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企业应对安全仪表系统开展安全功能评估，编制安全完整性等级（SIL）报告，并进行验证。验证评估报告中的改进建议应逐项落实整改，确保达到应有的安全功能。</w:t>
            </w:r>
          </w:p>
        </w:tc>
        <w:tc>
          <w:tcPr>
            <w:tcW w:w="2410"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《国家安全监管总局关于加强化工安全仪表系统管理的指导意见》（安监总管三〔2014〕116号）第四、十四条</w:t>
            </w:r>
          </w:p>
        </w:tc>
        <w:tc>
          <w:tcPr>
            <w:tcW w:w="1701"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查阅评估报告，是否对需要配置安全仪表系统的化工装置开展安全仪表功能评估，确定SIL等级、进行了SIL验证，并按照评估报告要求进行配置。</w:t>
            </w:r>
          </w:p>
        </w:tc>
        <w:tc>
          <w:tcPr>
            <w:tcW w:w="1984" w:type="dxa"/>
          </w:tcPr>
          <w:p>
            <w:pPr>
              <w:jc w:val="center"/>
              <w:rPr>
                <w:rFonts w:ascii="Times New Roman" w:hAnsi="Times New Roman" w:eastAsia="宋体" w:cs="Times New Roman"/>
                <w:bCs/>
                <w:color w:val="auto"/>
                <w:kern w:val="0"/>
                <w:sz w:val="20"/>
                <w:szCs w:val="21"/>
              </w:rPr>
            </w:pPr>
          </w:p>
        </w:tc>
        <w:tc>
          <w:tcPr>
            <w:tcW w:w="1843" w:type="dxa"/>
          </w:tcPr>
          <w:p>
            <w:pPr>
              <w:jc w:val="center"/>
              <w:rPr>
                <w:rFonts w:ascii="Times New Roman" w:hAnsi="Times New Roman" w:eastAsia="宋体" w:cs="Times New Roman"/>
                <w:bCs/>
                <w:color w:val="auto"/>
                <w:kern w:val="0"/>
                <w:sz w:val="20"/>
                <w:szCs w:val="21"/>
              </w:rPr>
            </w:pPr>
          </w:p>
        </w:tc>
        <w:tc>
          <w:tcPr>
            <w:tcW w:w="2126" w:type="dxa"/>
          </w:tcPr>
          <w:p>
            <w:pPr>
              <w:jc w:val="center"/>
              <w:rPr>
                <w:rFonts w:ascii="Times New Roman" w:hAnsi="Times New Roman" w:eastAsia="宋体" w:cs="Times New Roman"/>
                <w:bCs/>
                <w:color w:val="auto"/>
                <w:kern w:val="0"/>
                <w:sz w:val="20"/>
                <w:szCs w:val="21"/>
              </w:rPr>
            </w:pPr>
          </w:p>
        </w:tc>
        <w:tc>
          <w:tcPr>
            <w:tcW w:w="709" w:type="dxa"/>
          </w:tcPr>
          <w:p>
            <w:pPr>
              <w:jc w:val="center"/>
              <w:rPr>
                <w:rFonts w:ascii="Times New Roman" w:hAnsi="Times New Roman" w:eastAsia="宋体" w:cs="Times New Roman"/>
                <w:bCs/>
                <w:color w:val="auto"/>
                <w:kern w:val="0"/>
                <w:sz w:val="20"/>
                <w:szCs w:val="21"/>
              </w:rPr>
            </w:pPr>
          </w:p>
        </w:tc>
        <w:tc>
          <w:tcPr>
            <w:tcW w:w="78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17</w:t>
            </w:r>
          </w:p>
        </w:tc>
        <w:tc>
          <w:tcPr>
            <w:tcW w:w="567" w:type="dxa"/>
            <w:vMerge w:val="continue"/>
            <w:vAlign w:val="center"/>
          </w:tcPr>
          <w:p>
            <w:pPr>
              <w:jc w:val="center"/>
              <w:rPr>
                <w:rFonts w:ascii="Times New Roman" w:hAnsi="Times New Roman" w:eastAsia="宋体" w:cs="Times New Roman"/>
                <w:bCs/>
                <w:color w:val="auto"/>
                <w:kern w:val="0"/>
                <w:sz w:val="20"/>
                <w:szCs w:val="21"/>
              </w:rPr>
            </w:pPr>
          </w:p>
        </w:tc>
        <w:tc>
          <w:tcPr>
            <w:tcW w:w="212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涉及毒性气体、液化气体、剧毒液体储罐一级或者二级重大危险源应配备独立的安全仪表系统，其测量单元、逻辑控制器、执行机构等均应独立设置。</w:t>
            </w:r>
          </w:p>
        </w:tc>
        <w:tc>
          <w:tcPr>
            <w:tcW w:w="2410"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《危险化学品重大危险源安全监控技术规范》（GB17681-2024）</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《化工和危险化学品生产经营企业重大生产安全事故隐患判定准则》（AQ 3067-2026）第5.5.5条</w:t>
            </w:r>
          </w:p>
        </w:tc>
        <w:tc>
          <w:tcPr>
            <w:tcW w:w="1701"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查设计资料、现场</w:t>
            </w:r>
          </w:p>
        </w:tc>
        <w:tc>
          <w:tcPr>
            <w:tcW w:w="1984" w:type="dxa"/>
          </w:tcPr>
          <w:p>
            <w:pPr>
              <w:jc w:val="center"/>
              <w:rPr>
                <w:rFonts w:ascii="Times New Roman" w:hAnsi="Times New Roman" w:eastAsia="宋体" w:cs="Times New Roman"/>
                <w:bCs/>
                <w:color w:val="auto"/>
                <w:kern w:val="0"/>
                <w:sz w:val="20"/>
                <w:szCs w:val="21"/>
              </w:rPr>
            </w:pPr>
          </w:p>
        </w:tc>
        <w:tc>
          <w:tcPr>
            <w:tcW w:w="1843" w:type="dxa"/>
          </w:tcPr>
          <w:p>
            <w:pPr>
              <w:jc w:val="center"/>
              <w:rPr>
                <w:rFonts w:ascii="Times New Roman" w:hAnsi="Times New Roman" w:eastAsia="宋体" w:cs="Times New Roman"/>
                <w:bCs/>
                <w:color w:val="auto"/>
                <w:kern w:val="0"/>
                <w:sz w:val="20"/>
                <w:szCs w:val="21"/>
              </w:rPr>
            </w:pPr>
          </w:p>
        </w:tc>
        <w:tc>
          <w:tcPr>
            <w:tcW w:w="2126" w:type="dxa"/>
          </w:tcPr>
          <w:p>
            <w:pPr>
              <w:jc w:val="center"/>
              <w:rPr>
                <w:rFonts w:ascii="Times New Roman" w:hAnsi="Times New Roman" w:eastAsia="宋体" w:cs="Times New Roman"/>
                <w:bCs/>
                <w:color w:val="auto"/>
                <w:kern w:val="0"/>
                <w:sz w:val="20"/>
                <w:szCs w:val="21"/>
              </w:rPr>
            </w:pPr>
          </w:p>
        </w:tc>
        <w:tc>
          <w:tcPr>
            <w:tcW w:w="709" w:type="dxa"/>
          </w:tcPr>
          <w:p>
            <w:pPr>
              <w:jc w:val="center"/>
              <w:rPr>
                <w:rFonts w:ascii="Times New Roman" w:hAnsi="Times New Roman" w:eastAsia="宋体" w:cs="Times New Roman"/>
                <w:bCs/>
                <w:color w:val="auto"/>
                <w:kern w:val="0"/>
                <w:sz w:val="20"/>
                <w:szCs w:val="21"/>
              </w:rPr>
            </w:pPr>
          </w:p>
        </w:tc>
        <w:tc>
          <w:tcPr>
            <w:tcW w:w="786" w:type="dxa"/>
            <w:vAlign w:val="center"/>
          </w:tcPr>
          <w:p>
            <w:pPr>
              <w:spacing w:line="280" w:lineRule="exact"/>
              <w:rPr>
                <w:rFonts w:ascii="Times New Roman" w:hAnsi="Times New Roman" w:eastAsia="宋体" w:cs="Times New Roman"/>
                <w:bCs/>
                <w:color w:val="auto"/>
                <w:kern w:val="0"/>
                <w:sz w:val="20"/>
                <w:szCs w:val="21"/>
                <w:lang w:eastAsia="zh-TW" w:bidi="zh-TW"/>
              </w:rPr>
            </w:pPr>
            <w:r>
              <w:rPr>
                <w:rFonts w:ascii="Times New Roman" w:hAnsi="Times New Roman" w:eastAsia="宋体" w:cs="Times New Roman"/>
                <w:bCs/>
                <w:color w:val="auto"/>
                <w:kern w:val="0"/>
                <w:sz w:val="20"/>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4"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18</w:t>
            </w:r>
          </w:p>
        </w:tc>
        <w:tc>
          <w:tcPr>
            <w:tcW w:w="567" w:type="dxa"/>
            <w:vMerge w:val="continue"/>
            <w:vAlign w:val="center"/>
          </w:tcPr>
          <w:p>
            <w:pPr>
              <w:jc w:val="center"/>
              <w:rPr>
                <w:rFonts w:ascii="Times New Roman" w:hAnsi="Times New Roman" w:eastAsia="宋体" w:cs="Times New Roman"/>
                <w:bCs/>
                <w:color w:val="auto"/>
                <w:kern w:val="0"/>
                <w:sz w:val="20"/>
                <w:szCs w:val="21"/>
              </w:rPr>
            </w:pPr>
          </w:p>
        </w:tc>
        <w:tc>
          <w:tcPr>
            <w:tcW w:w="212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重大危险源常压和低压储罐应至少设置2套液位连续检测仪表，或1套液位连续检测仪表和2个液位开关。</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压力式储罐应至少设置2套液位连续检测仪表和1个高高液位开关，或设置3套液位连续检测仪表。液位连续检测仪表应具备液位就地指示、高低液位报警、高高和低低液位报警功能，高高液位报警应联锁关闭储罐进料管道上的紧急切断阀，并对进料泵采取防憋压措施；低低液位报警应联锁切断出料。</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全冷冻储罐应至少设置3套液位检测仪表，其中至少2套应为液位连续检测仪表，用于液位测量和高低液位报警、高高液位报警及联锁、低低液位报警及联锁。</w:t>
            </w:r>
          </w:p>
        </w:tc>
        <w:tc>
          <w:tcPr>
            <w:tcW w:w="2410"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《危险化学品重大危险源安全监控技术规范》（GB 17681-2024）</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第6.3.2.1 条、第 6.3.3.1 条、第 6.3.4.1 条</w:t>
            </w:r>
          </w:p>
        </w:tc>
        <w:tc>
          <w:tcPr>
            <w:tcW w:w="1701"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查设计资料、现场</w:t>
            </w:r>
          </w:p>
        </w:tc>
        <w:tc>
          <w:tcPr>
            <w:tcW w:w="1984" w:type="dxa"/>
          </w:tcPr>
          <w:p>
            <w:pPr>
              <w:jc w:val="center"/>
              <w:rPr>
                <w:rFonts w:ascii="Times New Roman" w:hAnsi="Times New Roman" w:eastAsia="宋体" w:cs="Times New Roman"/>
                <w:bCs/>
                <w:color w:val="auto"/>
                <w:kern w:val="0"/>
                <w:sz w:val="20"/>
                <w:szCs w:val="21"/>
              </w:rPr>
            </w:pPr>
          </w:p>
        </w:tc>
        <w:tc>
          <w:tcPr>
            <w:tcW w:w="1843" w:type="dxa"/>
          </w:tcPr>
          <w:p>
            <w:pPr>
              <w:jc w:val="center"/>
              <w:rPr>
                <w:rFonts w:ascii="Times New Roman" w:hAnsi="Times New Roman" w:eastAsia="宋体" w:cs="Times New Roman"/>
                <w:bCs/>
                <w:color w:val="auto"/>
                <w:kern w:val="0"/>
                <w:sz w:val="20"/>
                <w:szCs w:val="21"/>
              </w:rPr>
            </w:pPr>
          </w:p>
        </w:tc>
        <w:tc>
          <w:tcPr>
            <w:tcW w:w="2126" w:type="dxa"/>
          </w:tcPr>
          <w:p>
            <w:pPr>
              <w:jc w:val="center"/>
              <w:rPr>
                <w:rFonts w:ascii="Times New Roman" w:hAnsi="Times New Roman" w:eastAsia="宋体" w:cs="Times New Roman"/>
                <w:bCs/>
                <w:color w:val="auto"/>
                <w:kern w:val="0"/>
                <w:sz w:val="20"/>
                <w:szCs w:val="21"/>
              </w:rPr>
            </w:pPr>
          </w:p>
        </w:tc>
        <w:tc>
          <w:tcPr>
            <w:tcW w:w="709" w:type="dxa"/>
          </w:tcPr>
          <w:p>
            <w:pPr>
              <w:jc w:val="center"/>
              <w:rPr>
                <w:rFonts w:ascii="Times New Roman" w:hAnsi="Times New Roman" w:eastAsia="宋体" w:cs="Times New Roman"/>
                <w:bCs/>
                <w:color w:val="auto"/>
                <w:kern w:val="0"/>
                <w:sz w:val="20"/>
                <w:szCs w:val="21"/>
              </w:rPr>
            </w:pPr>
          </w:p>
        </w:tc>
        <w:tc>
          <w:tcPr>
            <w:tcW w:w="786" w:type="dxa"/>
            <w:vAlign w:val="center"/>
          </w:tcPr>
          <w:p>
            <w:pPr>
              <w:spacing w:line="280" w:lineRule="exact"/>
              <w:rPr>
                <w:rFonts w:ascii="Times New Roman" w:hAnsi="Times New Roman" w:eastAsia="宋体" w:cs="Times New Roman"/>
                <w:bCs/>
                <w:color w:val="auto"/>
                <w:kern w:val="0"/>
                <w:sz w:val="20"/>
                <w:szCs w:val="21"/>
                <w:lang w:eastAsia="zh-TW" w:bidi="zh-TW"/>
              </w:rPr>
            </w:pPr>
            <w:r>
              <w:rPr>
                <w:rFonts w:ascii="Times New Roman" w:hAnsi="Times New Roman" w:eastAsia="宋体" w:cs="Times New Roman"/>
                <w:bCs/>
                <w:color w:val="auto"/>
                <w:kern w:val="0"/>
                <w:sz w:val="20"/>
                <w:szCs w:val="21"/>
              </w:rPr>
              <w:t>B级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19</w:t>
            </w:r>
          </w:p>
        </w:tc>
        <w:tc>
          <w:tcPr>
            <w:tcW w:w="567" w:type="dxa"/>
            <w:vMerge w:val="continue"/>
            <w:vAlign w:val="center"/>
          </w:tcPr>
          <w:p>
            <w:pPr>
              <w:jc w:val="center"/>
              <w:rPr>
                <w:rFonts w:ascii="Times New Roman" w:hAnsi="Times New Roman" w:eastAsia="宋体" w:cs="Times New Roman"/>
                <w:bCs/>
                <w:color w:val="auto"/>
                <w:kern w:val="0"/>
                <w:sz w:val="20"/>
                <w:szCs w:val="21"/>
              </w:rPr>
            </w:pPr>
          </w:p>
        </w:tc>
        <w:tc>
          <w:tcPr>
            <w:tcW w:w="212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SIS的压力联锁变送器与过程控制系统的压力控制变送器、现场压力表不应共用同一取源口、根部阀和引压管。</w:t>
            </w:r>
          </w:p>
        </w:tc>
        <w:tc>
          <w:tcPr>
            <w:tcW w:w="2410" w:type="dxa"/>
            <w:vAlign w:val="center"/>
          </w:tcPr>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《信号报警及联锁系统设计规范》</w:t>
            </w:r>
          </w:p>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HG/T20511-2014</w:t>
            </w:r>
          </w:p>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第4.2.5条</w:t>
            </w:r>
          </w:p>
        </w:tc>
        <w:tc>
          <w:tcPr>
            <w:tcW w:w="1701"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查设计资料、现场</w:t>
            </w:r>
          </w:p>
        </w:tc>
        <w:tc>
          <w:tcPr>
            <w:tcW w:w="1984" w:type="dxa"/>
          </w:tcPr>
          <w:p>
            <w:pPr>
              <w:jc w:val="center"/>
              <w:rPr>
                <w:rFonts w:ascii="Times New Roman" w:hAnsi="Times New Roman" w:eastAsia="宋体" w:cs="Times New Roman"/>
                <w:bCs/>
                <w:color w:val="auto"/>
                <w:kern w:val="0"/>
                <w:sz w:val="20"/>
                <w:szCs w:val="21"/>
              </w:rPr>
            </w:pPr>
          </w:p>
        </w:tc>
        <w:tc>
          <w:tcPr>
            <w:tcW w:w="1843" w:type="dxa"/>
          </w:tcPr>
          <w:p>
            <w:pPr>
              <w:jc w:val="center"/>
              <w:rPr>
                <w:rFonts w:ascii="Times New Roman" w:hAnsi="Times New Roman" w:eastAsia="宋体" w:cs="Times New Roman"/>
                <w:bCs/>
                <w:color w:val="auto"/>
                <w:kern w:val="0"/>
                <w:sz w:val="20"/>
                <w:szCs w:val="21"/>
              </w:rPr>
            </w:pPr>
          </w:p>
        </w:tc>
        <w:tc>
          <w:tcPr>
            <w:tcW w:w="2126" w:type="dxa"/>
          </w:tcPr>
          <w:p>
            <w:pPr>
              <w:jc w:val="center"/>
              <w:rPr>
                <w:rFonts w:ascii="Times New Roman" w:hAnsi="Times New Roman" w:eastAsia="宋体" w:cs="Times New Roman"/>
                <w:bCs/>
                <w:color w:val="auto"/>
                <w:kern w:val="0"/>
                <w:sz w:val="20"/>
                <w:szCs w:val="21"/>
              </w:rPr>
            </w:pPr>
          </w:p>
        </w:tc>
        <w:tc>
          <w:tcPr>
            <w:tcW w:w="709" w:type="dxa"/>
          </w:tcPr>
          <w:p>
            <w:pPr>
              <w:jc w:val="center"/>
              <w:rPr>
                <w:rFonts w:ascii="Times New Roman" w:hAnsi="Times New Roman" w:eastAsia="宋体" w:cs="Times New Roman"/>
                <w:bCs/>
                <w:color w:val="auto"/>
                <w:kern w:val="0"/>
                <w:sz w:val="20"/>
                <w:szCs w:val="21"/>
              </w:rPr>
            </w:pPr>
          </w:p>
        </w:tc>
        <w:tc>
          <w:tcPr>
            <w:tcW w:w="78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B级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20</w:t>
            </w:r>
          </w:p>
        </w:tc>
        <w:tc>
          <w:tcPr>
            <w:tcW w:w="567" w:type="dxa"/>
            <w:vMerge w:val="continue"/>
            <w:vAlign w:val="center"/>
          </w:tcPr>
          <w:p>
            <w:pPr>
              <w:jc w:val="center"/>
              <w:rPr>
                <w:rFonts w:ascii="Times New Roman" w:hAnsi="Times New Roman" w:eastAsia="宋体" w:cs="Times New Roman"/>
                <w:bCs/>
                <w:color w:val="auto"/>
                <w:kern w:val="0"/>
                <w:sz w:val="20"/>
                <w:szCs w:val="21"/>
              </w:rPr>
            </w:pPr>
          </w:p>
        </w:tc>
        <w:tc>
          <w:tcPr>
            <w:tcW w:w="212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应按照安全完整性定级和验证要求的检验测试周期，对安全仪表功能进行定期全面检验、测试，并详细记录测试过程和结果。</w:t>
            </w:r>
          </w:p>
        </w:tc>
        <w:tc>
          <w:tcPr>
            <w:tcW w:w="2410"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《化工过程安全管理导则》AQ/T3034-2022第4.11.2.4条</w:t>
            </w:r>
          </w:p>
        </w:tc>
        <w:tc>
          <w:tcPr>
            <w:tcW w:w="1701"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查台账、记录</w:t>
            </w:r>
          </w:p>
        </w:tc>
        <w:tc>
          <w:tcPr>
            <w:tcW w:w="1984" w:type="dxa"/>
          </w:tcPr>
          <w:p>
            <w:pPr>
              <w:jc w:val="center"/>
              <w:rPr>
                <w:rFonts w:ascii="Times New Roman" w:hAnsi="Times New Roman" w:eastAsia="宋体" w:cs="Times New Roman"/>
                <w:bCs/>
                <w:color w:val="auto"/>
                <w:kern w:val="0"/>
                <w:sz w:val="20"/>
                <w:szCs w:val="21"/>
              </w:rPr>
            </w:pPr>
          </w:p>
        </w:tc>
        <w:tc>
          <w:tcPr>
            <w:tcW w:w="1843" w:type="dxa"/>
          </w:tcPr>
          <w:p>
            <w:pPr>
              <w:jc w:val="center"/>
              <w:rPr>
                <w:rFonts w:ascii="Times New Roman" w:hAnsi="Times New Roman" w:eastAsia="宋体" w:cs="Times New Roman"/>
                <w:bCs/>
                <w:color w:val="auto"/>
                <w:kern w:val="0"/>
                <w:sz w:val="20"/>
                <w:szCs w:val="21"/>
              </w:rPr>
            </w:pPr>
          </w:p>
        </w:tc>
        <w:tc>
          <w:tcPr>
            <w:tcW w:w="2126" w:type="dxa"/>
          </w:tcPr>
          <w:p>
            <w:pPr>
              <w:jc w:val="center"/>
              <w:rPr>
                <w:rFonts w:ascii="Times New Roman" w:hAnsi="Times New Roman" w:eastAsia="宋体" w:cs="Times New Roman"/>
                <w:bCs/>
                <w:color w:val="auto"/>
                <w:kern w:val="0"/>
                <w:sz w:val="20"/>
                <w:szCs w:val="21"/>
              </w:rPr>
            </w:pPr>
          </w:p>
        </w:tc>
        <w:tc>
          <w:tcPr>
            <w:tcW w:w="709" w:type="dxa"/>
          </w:tcPr>
          <w:p>
            <w:pPr>
              <w:jc w:val="center"/>
              <w:rPr>
                <w:rFonts w:ascii="Times New Roman" w:hAnsi="Times New Roman" w:eastAsia="宋体" w:cs="Times New Roman"/>
                <w:bCs/>
                <w:color w:val="auto"/>
                <w:kern w:val="0"/>
                <w:sz w:val="20"/>
                <w:szCs w:val="21"/>
              </w:rPr>
            </w:pPr>
          </w:p>
        </w:tc>
        <w:tc>
          <w:tcPr>
            <w:tcW w:w="78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21</w:t>
            </w:r>
          </w:p>
        </w:tc>
        <w:tc>
          <w:tcPr>
            <w:tcW w:w="567" w:type="dxa"/>
            <w:vMerge w:val="continue"/>
            <w:vAlign w:val="center"/>
          </w:tcPr>
          <w:p>
            <w:pPr>
              <w:jc w:val="center"/>
              <w:rPr>
                <w:rFonts w:ascii="Times New Roman" w:hAnsi="Times New Roman" w:eastAsia="宋体" w:cs="Times New Roman"/>
                <w:bCs/>
                <w:color w:val="auto"/>
                <w:kern w:val="0"/>
                <w:sz w:val="20"/>
                <w:szCs w:val="21"/>
              </w:rPr>
            </w:pPr>
          </w:p>
        </w:tc>
        <w:tc>
          <w:tcPr>
            <w:tcW w:w="212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紧急停车按钮应有可靠防护措施，应标识清晰。</w:t>
            </w:r>
          </w:p>
        </w:tc>
        <w:tc>
          <w:tcPr>
            <w:tcW w:w="2410"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《信号报警及联锁系统设计规范》HG/T20511-2014第4.11.4条</w:t>
            </w:r>
          </w:p>
        </w:tc>
        <w:tc>
          <w:tcPr>
            <w:tcW w:w="1701" w:type="dxa"/>
            <w:vAlign w:val="center"/>
          </w:tcPr>
          <w:p>
            <w:pPr>
              <w:jc w:val="left"/>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现场核实紧急停车按钮是否有可靠防护措施</w:t>
            </w:r>
          </w:p>
        </w:tc>
        <w:tc>
          <w:tcPr>
            <w:tcW w:w="1984" w:type="dxa"/>
          </w:tcPr>
          <w:p>
            <w:pPr>
              <w:jc w:val="center"/>
              <w:rPr>
                <w:rFonts w:ascii="Times New Roman" w:hAnsi="Times New Roman" w:eastAsia="宋体" w:cs="Times New Roman"/>
                <w:bCs/>
                <w:color w:val="auto"/>
                <w:kern w:val="0"/>
                <w:sz w:val="20"/>
                <w:szCs w:val="21"/>
              </w:rPr>
            </w:pPr>
          </w:p>
        </w:tc>
        <w:tc>
          <w:tcPr>
            <w:tcW w:w="1843" w:type="dxa"/>
          </w:tcPr>
          <w:p>
            <w:pPr>
              <w:jc w:val="center"/>
              <w:rPr>
                <w:rFonts w:ascii="Times New Roman" w:hAnsi="Times New Roman" w:eastAsia="宋体" w:cs="Times New Roman"/>
                <w:bCs/>
                <w:color w:val="auto"/>
                <w:kern w:val="0"/>
                <w:sz w:val="20"/>
                <w:szCs w:val="21"/>
              </w:rPr>
            </w:pPr>
          </w:p>
        </w:tc>
        <w:tc>
          <w:tcPr>
            <w:tcW w:w="2126" w:type="dxa"/>
          </w:tcPr>
          <w:p>
            <w:pPr>
              <w:jc w:val="center"/>
              <w:rPr>
                <w:rFonts w:ascii="Times New Roman" w:hAnsi="Times New Roman" w:eastAsia="宋体" w:cs="Times New Roman"/>
                <w:bCs/>
                <w:color w:val="auto"/>
                <w:kern w:val="0"/>
                <w:sz w:val="20"/>
                <w:szCs w:val="21"/>
              </w:rPr>
            </w:pPr>
          </w:p>
        </w:tc>
        <w:tc>
          <w:tcPr>
            <w:tcW w:w="709" w:type="dxa"/>
          </w:tcPr>
          <w:p>
            <w:pPr>
              <w:jc w:val="center"/>
              <w:rPr>
                <w:rFonts w:ascii="Times New Roman" w:hAnsi="Times New Roman" w:eastAsia="宋体" w:cs="Times New Roman"/>
                <w:bCs/>
                <w:color w:val="auto"/>
                <w:kern w:val="0"/>
                <w:sz w:val="20"/>
                <w:szCs w:val="21"/>
              </w:rPr>
            </w:pPr>
          </w:p>
        </w:tc>
        <w:tc>
          <w:tcPr>
            <w:tcW w:w="786" w:type="dxa"/>
            <w:vAlign w:val="center"/>
          </w:tcPr>
          <w:p>
            <w:pPr>
              <w:widowControl/>
              <w:spacing w:line="280" w:lineRule="exact"/>
              <w:jc w:val="lef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4"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22</w:t>
            </w:r>
          </w:p>
        </w:tc>
        <w:tc>
          <w:tcPr>
            <w:tcW w:w="567" w:type="dxa"/>
            <w:vMerge w:val="continue"/>
            <w:vAlign w:val="center"/>
          </w:tcPr>
          <w:p>
            <w:pPr>
              <w:jc w:val="center"/>
              <w:rPr>
                <w:rFonts w:ascii="Times New Roman" w:hAnsi="Times New Roman" w:eastAsia="宋体" w:cs="Times New Roman"/>
                <w:bCs/>
                <w:color w:val="auto"/>
                <w:kern w:val="0"/>
                <w:sz w:val="20"/>
                <w:szCs w:val="21"/>
              </w:rPr>
            </w:pPr>
          </w:p>
        </w:tc>
        <w:tc>
          <w:tcPr>
            <w:tcW w:w="212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安全仪表系统应为故障安全型。当有可靠的仪表空气系统时，开关阀（紧急切断阀）应首选气动执行机构，且采用FC或FO型；选型应符合设计要求。当工艺要求采用FL型时，应选用双作用气缸执行机构，并配有仪表空气罐，阀门保位时间不低于48小时；当无仪表气源、有一级负荷的电力电源系统时，可选用电动阀；当工艺、转动设备有特殊要求时，也可选用电液开关阀。开关阀防火应满足GB50160要求。</w:t>
            </w:r>
          </w:p>
        </w:tc>
        <w:tc>
          <w:tcPr>
            <w:tcW w:w="2410"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《自动化仪表选型设计规范》HG/T20507-2014第11.9.9、第11.10.11条</w:t>
            </w:r>
          </w:p>
        </w:tc>
        <w:tc>
          <w:tcPr>
            <w:tcW w:w="1701"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查现场</w:t>
            </w:r>
          </w:p>
        </w:tc>
        <w:tc>
          <w:tcPr>
            <w:tcW w:w="1984" w:type="dxa"/>
          </w:tcPr>
          <w:p>
            <w:pPr>
              <w:jc w:val="center"/>
              <w:rPr>
                <w:rFonts w:ascii="Times New Roman" w:hAnsi="Times New Roman" w:eastAsia="宋体" w:cs="Times New Roman"/>
                <w:bCs/>
                <w:color w:val="auto"/>
                <w:kern w:val="0"/>
                <w:sz w:val="20"/>
                <w:szCs w:val="21"/>
              </w:rPr>
            </w:pPr>
          </w:p>
        </w:tc>
        <w:tc>
          <w:tcPr>
            <w:tcW w:w="1843" w:type="dxa"/>
          </w:tcPr>
          <w:p>
            <w:pPr>
              <w:jc w:val="center"/>
              <w:rPr>
                <w:rFonts w:ascii="Times New Roman" w:hAnsi="Times New Roman" w:eastAsia="宋体" w:cs="Times New Roman"/>
                <w:bCs/>
                <w:color w:val="auto"/>
                <w:kern w:val="0"/>
                <w:sz w:val="20"/>
                <w:szCs w:val="21"/>
              </w:rPr>
            </w:pPr>
          </w:p>
        </w:tc>
        <w:tc>
          <w:tcPr>
            <w:tcW w:w="2126" w:type="dxa"/>
          </w:tcPr>
          <w:p>
            <w:pPr>
              <w:jc w:val="center"/>
              <w:rPr>
                <w:rFonts w:ascii="Times New Roman" w:hAnsi="Times New Roman" w:eastAsia="宋体" w:cs="Times New Roman"/>
                <w:bCs/>
                <w:color w:val="auto"/>
                <w:kern w:val="0"/>
                <w:sz w:val="20"/>
                <w:szCs w:val="21"/>
              </w:rPr>
            </w:pPr>
          </w:p>
        </w:tc>
        <w:tc>
          <w:tcPr>
            <w:tcW w:w="709" w:type="dxa"/>
          </w:tcPr>
          <w:p>
            <w:pPr>
              <w:jc w:val="center"/>
              <w:rPr>
                <w:rFonts w:ascii="Times New Roman" w:hAnsi="Times New Roman" w:eastAsia="宋体" w:cs="Times New Roman"/>
                <w:bCs/>
                <w:color w:val="auto"/>
                <w:kern w:val="0"/>
                <w:sz w:val="20"/>
                <w:szCs w:val="21"/>
              </w:rPr>
            </w:pPr>
          </w:p>
        </w:tc>
        <w:tc>
          <w:tcPr>
            <w:tcW w:w="78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B级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23</w:t>
            </w:r>
          </w:p>
        </w:tc>
        <w:tc>
          <w:tcPr>
            <w:tcW w:w="567" w:type="dxa"/>
            <w:vMerge w:val="continue"/>
            <w:vAlign w:val="center"/>
          </w:tcPr>
          <w:p>
            <w:pPr>
              <w:jc w:val="center"/>
              <w:rPr>
                <w:rFonts w:ascii="Times New Roman" w:hAnsi="Times New Roman" w:eastAsia="宋体" w:cs="Times New Roman"/>
                <w:bCs/>
                <w:color w:val="auto"/>
                <w:kern w:val="0"/>
                <w:sz w:val="20"/>
                <w:szCs w:val="21"/>
              </w:rPr>
            </w:pPr>
          </w:p>
        </w:tc>
        <w:tc>
          <w:tcPr>
            <w:tcW w:w="212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输送可燃气体、液化烃和可燃液体的管道在进出石油化工企业时，应在围墙内设紧急切断阀。紧急切断阀应具有自动和手动切断功能。</w:t>
            </w:r>
          </w:p>
        </w:tc>
        <w:tc>
          <w:tcPr>
            <w:tcW w:w="2410"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《石油化工企业设计防火标准》GB50160-2008（2018年版）第7.2.17条</w:t>
            </w:r>
          </w:p>
        </w:tc>
        <w:tc>
          <w:tcPr>
            <w:tcW w:w="1701"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查设计资料、DCS系统</w:t>
            </w:r>
          </w:p>
        </w:tc>
        <w:tc>
          <w:tcPr>
            <w:tcW w:w="1984" w:type="dxa"/>
          </w:tcPr>
          <w:p>
            <w:pPr>
              <w:jc w:val="center"/>
              <w:rPr>
                <w:rFonts w:ascii="Times New Roman" w:hAnsi="Times New Roman" w:eastAsia="宋体" w:cs="Times New Roman"/>
                <w:bCs/>
                <w:color w:val="auto"/>
                <w:kern w:val="0"/>
                <w:sz w:val="20"/>
                <w:szCs w:val="21"/>
              </w:rPr>
            </w:pPr>
          </w:p>
        </w:tc>
        <w:tc>
          <w:tcPr>
            <w:tcW w:w="1843" w:type="dxa"/>
          </w:tcPr>
          <w:p>
            <w:pPr>
              <w:jc w:val="center"/>
              <w:rPr>
                <w:rFonts w:ascii="Times New Roman" w:hAnsi="Times New Roman" w:eastAsia="宋体" w:cs="Times New Roman"/>
                <w:bCs/>
                <w:color w:val="auto"/>
                <w:kern w:val="0"/>
                <w:sz w:val="20"/>
                <w:szCs w:val="21"/>
              </w:rPr>
            </w:pPr>
          </w:p>
        </w:tc>
        <w:tc>
          <w:tcPr>
            <w:tcW w:w="2126" w:type="dxa"/>
          </w:tcPr>
          <w:p>
            <w:pPr>
              <w:jc w:val="center"/>
              <w:rPr>
                <w:rFonts w:ascii="Times New Roman" w:hAnsi="Times New Roman" w:eastAsia="宋体" w:cs="Times New Roman"/>
                <w:bCs/>
                <w:color w:val="auto"/>
                <w:kern w:val="0"/>
                <w:sz w:val="20"/>
                <w:szCs w:val="21"/>
              </w:rPr>
            </w:pPr>
          </w:p>
        </w:tc>
        <w:tc>
          <w:tcPr>
            <w:tcW w:w="709" w:type="dxa"/>
          </w:tcPr>
          <w:p>
            <w:pPr>
              <w:jc w:val="center"/>
              <w:rPr>
                <w:rFonts w:ascii="Times New Roman" w:hAnsi="Times New Roman" w:eastAsia="宋体" w:cs="Times New Roman"/>
                <w:bCs/>
                <w:color w:val="auto"/>
                <w:kern w:val="0"/>
                <w:sz w:val="20"/>
                <w:szCs w:val="21"/>
              </w:rPr>
            </w:pPr>
          </w:p>
        </w:tc>
        <w:tc>
          <w:tcPr>
            <w:tcW w:w="78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24</w:t>
            </w:r>
          </w:p>
        </w:tc>
        <w:tc>
          <w:tcPr>
            <w:tcW w:w="567" w:type="dxa"/>
            <w:vMerge w:val="restart"/>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仪表系统</w:t>
            </w:r>
          </w:p>
        </w:tc>
        <w:tc>
          <w:tcPr>
            <w:tcW w:w="2126" w:type="dxa"/>
            <w:vAlign w:val="center"/>
          </w:tcPr>
          <w:p>
            <w:pPr>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仪表气源应符合下列要求：</w:t>
            </w:r>
          </w:p>
          <w:p>
            <w:pPr>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1.采用清洁、干燥的空气；</w:t>
            </w:r>
          </w:p>
          <w:p>
            <w:pPr>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2.应设置备用气源。备用气源可采用备用压缩机组、贮气罐或第二气源（也可用干燥的氮气）。</w:t>
            </w:r>
          </w:p>
        </w:tc>
        <w:tc>
          <w:tcPr>
            <w:tcW w:w="2410" w:type="dxa"/>
            <w:vAlign w:val="center"/>
          </w:tcPr>
          <w:p>
            <w:pPr>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《仪表供气设计规范》（HG/T 20510-2014）</w:t>
            </w:r>
          </w:p>
          <w:p>
            <w:pPr>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第3.0.1、3.0.2、3.0.3、4.4.1、4.4.2条</w:t>
            </w:r>
          </w:p>
          <w:p>
            <w:pPr>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《石油化工仪表供气设计规范》（SH 3020-2013）</w:t>
            </w:r>
          </w:p>
          <w:p>
            <w:pPr>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第3.0.1、4.3.1条</w:t>
            </w:r>
          </w:p>
        </w:tc>
        <w:tc>
          <w:tcPr>
            <w:tcW w:w="1701"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查现场</w:t>
            </w:r>
          </w:p>
        </w:tc>
        <w:tc>
          <w:tcPr>
            <w:tcW w:w="1984" w:type="dxa"/>
          </w:tcPr>
          <w:p>
            <w:pPr>
              <w:jc w:val="center"/>
              <w:rPr>
                <w:rFonts w:ascii="Times New Roman" w:hAnsi="Times New Roman" w:eastAsia="宋体" w:cs="Times New Roman"/>
                <w:bCs/>
                <w:color w:val="auto"/>
                <w:kern w:val="0"/>
                <w:sz w:val="20"/>
                <w:szCs w:val="21"/>
              </w:rPr>
            </w:pPr>
          </w:p>
        </w:tc>
        <w:tc>
          <w:tcPr>
            <w:tcW w:w="1843" w:type="dxa"/>
          </w:tcPr>
          <w:p>
            <w:pPr>
              <w:jc w:val="center"/>
              <w:rPr>
                <w:rFonts w:ascii="Times New Roman" w:hAnsi="Times New Roman" w:eastAsia="宋体" w:cs="Times New Roman"/>
                <w:bCs/>
                <w:color w:val="auto"/>
                <w:kern w:val="0"/>
                <w:sz w:val="20"/>
                <w:szCs w:val="21"/>
              </w:rPr>
            </w:pPr>
          </w:p>
        </w:tc>
        <w:tc>
          <w:tcPr>
            <w:tcW w:w="2126" w:type="dxa"/>
          </w:tcPr>
          <w:p>
            <w:pPr>
              <w:jc w:val="center"/>
              <w:rPr>
                <w:rFonts w:ascii="Times New Roman" w:hAnsi="Times New Roman" w:eastAsia="宋体" w:cs="Times New Roman"/>
                <w:bCs/>
                <w:color w:val="auto"/>
                <w:kern w:val="0"/>
                <w:sz w:val="20"/>
                <w:szCs w:val="21"/>
              </w:rPr>
            </w:pPr>
          </w:p>
        </w:tc>
        <w:tc>
          <w:tcPr>
            <w:tcW w:w="709" w:type="dxa"/>
          </w:tcPr>
          <w:p>
            <w:pPr>
              <w:jc w:val="center"/>
              <w:rPr>
                <w:rFonts w:ascii="Times New Roman" w:hAnsi="Times New Roman" w:eastAsia="宋体" w:cs="Times New Roman"/>
                <w:bCs/>
                <w:color w:val="auto"/>
                <w:kern w:val="0"/>
                <w:sz w:val="20"/>
                <w:szCs w:val="21"/>
              </w:rPr>
            </w:pPr>
          </w:p>
        </w:tc>
        <w:tc>
          <w:tcPr>
            <w:tcW w:w="786" w:type="dxa"/>
            <w:vAlign w:val="center"/>
          </w:tcPr>
          <w:p>
            <w:pPr>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25</w:t>
            </w:r>
          </w:p>
        </w:tc>
        <w:tc>
          <w:tcPr>
            <w:tcW w:w="567" w:type="dxa"/>
            <w:vMerge w:val="continue"/>
            <w:vAlign w:val="center"/>
          </w:tcPr>
          <w:p>
            <w:pPr>
              <w:jc w:val="center"/>
              <w:rPr>
                <w:rFonts w:ascii="Times New Roman" w:hAnsi="Times New Roman" w:eastAsia="宋体" w:cs="Times New Roman"/>
                <w:bCs/>
                <w:color w:val="auto"/>
                <w:kern w:val="0"/>
                <w:sz w:val="20"/>
                <w:szCs w:val="21"/>
              </w:rPr>
            </w:pPr>
          </w:p>
        </w:tc>
        <w:tc>
          <w:tcPr>
            <w:tcW w:w="2126" w:type="dxa"/>
            <w:vAlign w:val="center"/>
          </w:tcPr>
          <w:p>
            <w:pPr>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控制室应设置仪表供气系统的压力指示和低限报警。</w:t>
            </w:r>
          </w:p>
        </w:tc>
        <w:tc>
          <w:tcPr>
            <w:tcW w:w="2410" w:type="dxa"/>
            <w:vAlign w:val="center"/>
          </w:tcPr>
          <w:p>
            <w:pPr>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《仪表供气设计规范》HG/T20510-2014第4.3.1条</w:t>
            </w:r>
          </w:p>
        </w:tc>
        <w:tc>
          <w:tcPr>
            <w:tcW w:w="1701"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查DCS系统</w:t>
            </w:r>
          </w:p>
        </w:tc>
        <w:tc>
          <w:tcPr>
            <w:tcW w:w="1984" w:type="dxa"/>
          </w:tcPr>
          <w:p>
            <w:pPr>
              <w:jc w:val="center"/>
              <w:rPr>
                <w:rFonts w:ascii="Times New Roman" w:hAnsi="Times New Roman" w:eastAsia="宋体" w:cs="Times New Roman"/>
                <w:bCs/>
                <w:color w:val="auto"/>
                <w:kern w:val="0"/>
                <w:sz w:val="20"/>
                <w:szCs w:val="21"/>
              </w:rPr>
            </w:pPr>
          </w:p>
        </w:tc>
        <w:tc>
          <w:tcPr>
            <w:tcW w:w="1843" w:type="dxa"/>
          </w:tcPr>
          <w:p>
            <w:pPr>
              <w:jc w:val="center"/>
              <w:rPr>
                <w:rFonts w:ascii="Times New Roman" w:hAnsi="Times New Roman" w:eastAsia="宋体" w:cs="Times New Roman"/>
                <w:bCs/>
                <w:color w:val="auto"/>
                <w:kern w:val="0"/>
                <w:sz w:val="20"/>
                <w:szCs w:val="21"/>
              </w:rPr>
            </w:pPr>
          </w:p>
        </w:tc>
        <w:tc>
          <w:tcPr>
            <w:tcW w:w="2126" w:type="dxa"/>
          </w:tcPr>
          <w:p>
            <w:pPr>
              <w:jc w:val="center"/>
              <w:rPr>
                <w:rFonts w:ascii="Times New Roman" w:hAnsi="Times New Roman" w:eastAsia="宋体" w:cs="Times New Roman"/>
                <w:bCs/>
                <w:color w:val="auto"/>
                <w:kern w:val="0"/>
                <w:sz w:val="20"/>
                <w:szCs w:val="21"/>
              </w:rPr>
            </w:pPr>
          </w:p>
        </w:tc>
        <w:tc>
          <w:tcPr>
            <w:tcW w:w="709" w:type="dxa"/>
          </w:tcPr>
          <w:p>
            <w:pPr>
              <w:jc w:val="center"/>
              <w:rPr>
                <w:rFonts w:ascii="Times New Roman" w:hAnsi="Times New Roman" w:eastAsia="宋体" w:cs="Times New Roman"/>
                <w:bCs/>
                <w:color w:val="auto"/>
                <w:kern w:val="0"/>
                <w:sz w:val="20"/>
                <w:szCs w:val="21"/>
              </w:rPr>
            </w:pPr>
          </w:p>
        </w:tc>
        <w:tc>
          <w:tcPr>
            <w:tcW w:w="786" w:type="dxa"/>
            <w:vAlign w:val="center"/>
          </w:tcPr>
          <w:p>
            <w:pPr>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4"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26</w:t>
            </w:r>
          </w:p>
        </w:tc>
        <w:tc>
          <w:tcPr>
            <w:tcW w:w="567" w:type="dxa"/>
            <w:vMerge w:val="continue"/>
            <w:vAlign w:val="center"/>
          </w:tcPr>
          <w:p>
            <w:pPr>
              <w:jc w:val="center"/>
              <w:rPr>
                <w:rFonts w:ascii="Times New Roman" w:hAnsi="Times New Roman" w:eastAsia="宋体" w:cs="Times New Roman"/>
                <w:bCs/>
                <w:color w:val="auto"/>
                <w:kern w:val="0"/>
                <w:sz w:val="20"/>
                <w:szCs w:val="21"/>
              </w:rPr>
            </w:pPr>
          </w:p>
        </w:tc>
        <w:tc>
          <w:tcPr>
            <w:tcW w:w="212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当供气气源采用压缩机组时，应采用自动切换方式；当备用压缩机组不具备自动切换时，应设置备用气源罐，备用气源罐大小需满足备用空压机启动时间内仪表用气要求。</w:t>
            </w:r>
          </w:p>
        </w:tc>
        <w:tc>
          <w:tcPr>
            <w:tcW w:w="2410"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《重点化工企业全流程自动化控制配备和提升规范》DB32/T4743-2024第12.4条</w:t>
            </w:r>
          </w:p>
        </w:tc>
        <w:tc>
          <w:tcPr>
            <w:tcW w:w="1701"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查现场</w:t>
            </w:r>
          </w:p>
        </w:tc>
        <w:tc>
          <w:tcPr>
            <w:tcW w:w="1984" w:type="dxa"/>
          </w:tcPr>
          <w:p>
            <w:pPr>
              <w:jc w:val="center"/>
              <w:rPr>
                <w:rFonts w:ascii="Times New Roman" w:hAnsi="Times New Roman" w:eastAsia="宋体" w:cs="Times New Roman"/>
                <w:bCs/>
                <w:color w:val="auto"/>
                <w:kern w:val="0"/>
                <w:sz w:val="20"/>
                <w:szCs w:val="21"/>
              </w:rPr>
            </w:pPr>
          </w:p>
        </w:tc>
        <w:tc>
          <w:tcPr>
            <w:tcW w:w="1843" w:type="dxa"/>
          </w:tcPr>
          <w:p>
            <w:pPr>
              <w:jc w:val="center"/>
              <w:rPr>
                <w:rFonts w:ascii="Times New Roman" w:hAnsi="Times New Roman" w:eastAsia="宋体" w:cs="Times New Roman"/>
                <w:bCs/>
                <w:color w:val="auto"/>
                <w:kern w:val="0"/>
                <w:sz w:val="20"/>
                <w:szCs w:val="21"/>
              </w:rPr>
            </w:pPr>
          </w:p>
        </w:tc>
        <w:tc>
          <w:tcPr>
            <w:tcW w:w="2126" w:type="dxa"/>
          </w:tcPr>
          <w:p>
            <w:pPr>
              <w:jc w:val="center"/>
              <w:rPr>
                <w:rFonts w:ascii="Times New Roman" w:hAnsi="Times New Roman" w:eastAsia="宋体" w:cs="Times New Roman"/>
                <w:bCs/>
                <w:color w:val="auto"/>
                <w:kern w:val="0"/>
                <w:sz w:val="20"/>
                <w:szCs w:val="21"/>
              </w:rPr>
            </w:pPr>
          </w:p>
        </w:tc>
        <w:tc>
          <w:tcPr>
            <w:tcW w:w="709" w:type="dxa"/>
          </w:tcPr>
          <w:p>
            <w:pPr>
              <w:jc w:val="center"/>
              <w:rPr>
                <w:rFonts w:ascii="Times New Roman" w:hAnsi="Times New Roman" w:eastAsia="宋体" w:cs="Times New Roman"/>
                <w:bCs/>
                <w:color w:val="auto"/>
                <w:kern w:val="0"/>
                <w:sz w:val="20"/>
                <w:szCs w:val="21"/>
              </w:rPr>
            </w:pPr>
          </w:p>
        </w:tc>
        <w:tc>
          <w:tcPr>
            <w:tcW w:w="78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27</w:t>
            </w:r>
          </w:p>
        </w:tc>
        <w:tc>
          <w:tcPr>
            <w:tcW w:w="567" w:type="dxa"/>
            <w:vMerge w:val="continue"/>
            <w:vAlign w:val="center"/>
          </w:tcPr>
          <w:p>
            <w:pPr>
              <w:jc w:val="center"/>
              <w:rPr>
                <w:rFonts w:ascii="Times New Roman" w:hAnsi="Times New Roman" w:eastAsia="宋体" w:cs="Times New Roman"/>
                <w:bCs/>
                <w:color w:val="auto"/>
                <w:kern w:val="0"/>
                <w:sz w:val="20"/>
                <w:szCs w:val="21"/>
              </w:rPr>
            </w:pPr>
          </w:p>
        </w:tc>
        <w:tc>
          <w:tcPr>
            <w:tcW w:w="212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安装DCS、PLC、SIS等设备的控制室、机柜室、过程控制计算机的机房，应考虑防静电接地。其室内的导静电地面、活动地板、工作台等应进行防静电接地。</w:t>
            </w:r>
          </w:p>
        </w:tc>
        <w:tc>
          <w:tcPr>
            <w:tcW w:w="2410" w:type="dxa"/>
            <w:vAlign w:val="center"/>
          </w:tcPr>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《仪表系统接地设计规范》</w:t>
            </w:r>
          </w:p>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（HG/T 20513-2014）</w:t>
            </w:r>
          </w:p>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第5.3.1条</w:t>
            </w:r>
          </w:p>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《石油化工仪表接地设计规范》</w:t>
            </w:r>
          </w:p>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（SH/T 3081-2003）</w:t>
            </w:r>
          </w:p>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第2.4.1条</w:t>
            </w:r>
          </w:p>
        </w:tc>
        <w:tc>
          <w:tcPr>
            <w:tcW w:w="1701"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抽查DCS的控制室等的机房，核实是否进行防静电接地。</w:t>
            </w:r>
          </w:p>
        </w:tc>
        <w:tc>
          <w:tcPr>
            <w:tcW w:w="1984" w:type="dxa"/>
          </w:tcPr>
          <w:p>
            <w:pPr>
              <w:jc w:val="center"/>
              <w:rPr>
                <w:rFonts w:ascii="Times New Roman" w:hAnsi="Times New Roman" w:eastAsia="宋体" w:cs="Times New Roman"/>
                <w:bCs/>
                <w:color w:val="auto"/>
                <w:kern w:val="0"/>
                <w:sz w:val="20"/>
                <w:szCs w:val="21"/>
              </w:rPr>
            </w:pPr>
          </w:p>
        </w:tc>
        <w:tc>
          <w:tcPr>
            <w:tcW w:w="1843" w:type="dxa"/>
          </w:tcPr>
          <w:p>
            <w:pPr>
              <w:jc w:val="center"/>
              <w:rPr>
                <w:rFonts w:ascii="Times New Roman" w:hAnsi="Times New Roman" w:eastAsia="宋体" w:cs="Times New Roman"/>
                <w:bCs/>
                <w:color w:val="auto"/>
                <w:kern w:val="0"/>
                <w:sz w:val="20"/>
                <w:szCs w:val="21"/>
              </w:rPr>
            </w:pPr>
          </w:p>
        </w:tc>
        <w:tc>
          <w:tcPr>
            <w:tcW w:w="2126" w:type="dxa"/>
          </w:tcPr>
          <w:p>
            <w:pPr>
              <w:jc w:val="center"/>
              <w:rPr>
                <w:rFonts w:ascii="Times New Roman" w:hAnsi="Times New Roman" w:eastAsia="宋体" w:cs="Times New Roman"/>
                <w:bCs/>
                <w:color w:val="auto"/>
                <w:kern w:val="0"/>
                <w:sz w:val="20"/>
                <w:szCs w:val="21"/>
              </w:rPr>
            </w:pPr>
          </w:p>
        </w:tc>
        <w:tc>
          <w:tcPr>
            <w:tcW w:w="709" w:type="dxa"/>
          </w:tcPr>
          <w:p>
            <w:pPr>
              <w:jc w:val="center"/>
              <w:rPr>
                <w:rFonts w:ascii="Times New Roman" w:hAnsi="Times New Roman" w:eastAsia="宋体" w:cs="Times New Roman"/>
                <w:bCs/>
                <w:color w:val="auto"/>
                <w:kern w:val="0"/>
                <w:sz w:val="20"/>
                <w:szCs w:val="21"/>
              </w:rPr>
            </w:pPr>
          </w:p>
        </w:tc>
        <w:tc>
          <w:tcPr>
            <w:tcW w:w="78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28</w:t>
            </w:r>
          </w:p>
        </w:tc>
        <w:tc>
          <w:tcPr>
            <w:tcW w:w="567" w:type="dxa"/>
            <w:vMerge w:val="continue"/>
            <w:vAlign w:val="center"/>
          </w:tcPr>
          <w:p>
            <w:pPr>
              <w:jc w:val="center"/>
              <w:rPr>
                <w:rFonts w:ascii="Times New Roman" w:hAnsi="Times New Roman" w:eastAsia="宋体" w:cs="Times New Roman"/>
                <w:bCs/>
                <w:color w:val="auto"/>
                <w:kern w:val="0"/>
                <w:sz w:val="20"/>
                <w:szCs w:val="21"/>
              </w:rPr>
            </w:pPr>
          </w:p>
        </w:tc>
        <w:tc>
          <w:tcPr>
            <w:tcW w:w="212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 xml:space="preserve">危险化学品重大危险源配备的温度、压力、液位、流量、组份等信息应不间断采集和监测，并具备信息远传、连续记录、事故预警、信息存储等功能；记录的电子数据的保存时间不少于90天。 </w:t>
            </w:r>
          </w:p>
        </w:tc>
        <w:tc>
          <w:tcPr>
            <w:tcW w:w="2410" w:type="dxa"/>
            <w:vAlign w:val="center"/>
          </w:tcPr>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《危险化学品重大危险源监督管理暂行规定》（国家安全监管总局令第40号）第十三条</w:t>
            </w:r>
          </w:p>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《危险化学品重大危险源安全监控技术规范》（GB17681-2024 ）5.3</w:t>
            </w:r>
          </w:p>
        </w:tc>
        <w:tc>
          <w:tcPr>
            <w:tcW w:w="1701"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现场检查及控制室DCS/SIS中核实，企业重大危险源是否配备了温度、压力、液位、流量、组份等信息的不间断采集和监测系统以及可燃气体和有毒有害气体泄漏检测报警装置，并具备信息远传、连续记录、事故预警、信息存储等功能；记录的电子数据保存时间是否不少于90天。</w:t>
            </w:r>
          </w:p>
        </w:tc>
        <w:tc>
          <w:tcPr>
            <w:tcW w:w="1984" w:type="dxa"/>
          </w:tcPr>
          <w:p>
            <w:pPr>
              <w:jc w:val="center"/>
              <w:rPr>
                <w:rFonts w:ascii="Times New Roman" w:hAnsi="Times New Roman" w:eastAsia="宋体" w:cs="Times New Roman"/>
                <w:bCs/>
                <w:color w:val="auto"/>
                <w:kern w:val="0"/>
                <w:sz w:val="20"/>
                <w:szCs w:val="21"/>
              </w:rPr>
            </w:pPr>
          </w:p>
        </w:tc>
        <w:tc>
          <w:tcPr>
            <w:tcW w:w="1843" w:type="dxa"/>
          </w:tcPr>
          <w:p>
            <w:pPr>
              <w:jc w:val="center"/>
              <w:rPr>
                <w:rFonts w:ascii="Times New Roman" w:hAnsi="Times New Roman" w:eastAsia="宋体" w:cs="Times New Roman"/>
                <w:bCs/>
                <w:color w:val="auto"/>
                <w:kern w:val="0"/>
                <w:sz w:val="20"/>
                <w:szCs w:val="21"/>
              </w:rPr>
            </w:pPr>
          </w:p>
        </w:tc>
        <w:tc>
          <w:tcPr>
            <w:tcW w:w="2126" w:type="dxa"/>
          </w:tcPr>
          <w:p>
            <w:pPr>
              <w:jc w:val="center"/>
              <w:rPr>
                <w:rFonts w:ascii="Times New Roman" w:hAnsi="Times New Roman" w:eastAsia="宋体" w:cs="Times New Roman"/>
                <w:bCs/>
                <w:color w:val="auto"/>
                <w:kern w:val="0"/>
                <w:sz w:val="20"/>
                <w:szCs w:val="21"/>
              </w:rPr>
            </w:pPr>
          </w:p>
        </w:tc>
        <w:tc>
          <w:tcPr>
            <w:tcW w:w="709" w:type="dxa"/>
          </w:tcPr>
          <w:p>
            <w:pPr>
              <w:jc w:val="center"/>
              <w:rPr>
                <w:rFonts w:ascii="Times New Roman" w:hAnsi="Times New Roman" w:eastAsia="宋体" w:cs="Times New Roman"/>
                <w:bCs/>
                <w:color w:val="auto"/>
                <w:kern w:val="0"/>
                <w:sz w:val="20"/>
                <w:szCs w:val="21"/>
              </w:rPr>
            </w:pPr>
          </w:p>
        </w:tc>
        <w:tc>
          <w:tcPr>
            <w:tcW w:w="78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29</w:t>
            </w:r>
          </w:p>
        </w:tc>
        <w:tc>
          <w:tcPr>
            <w:tcW w:w="567" w:type="dxa"/>
            <w:vMerge w:val="restart"/>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可燃气体和有毒气体检测报警系统</w:t>
            </w:r>
          </w:p>
        </w:tc>
        <w:tc>
          <w:tcPr>
            <w:tcW w:w="212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涉及可燃和有毒有害气体泄漏的场所应按国家标准设置检测报警装置。可燃、有毒气体检测报警器应完好并处于正常投用状态。</w:t>
            </w:r>
          </w:p>
        </w:tc>
        <w:tc>
          <w:tcPr>
            <w:tcW w:w="2410"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《化工和危险化学品生产经营企业重大生产安全事故隐患判定准则》（AQ 3067-2026）第5.4.2条</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《石油化工可燃气体和有毒气体检测报警设计标准》GB/T50493-2019</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《危险化学品生产企业安全生产许可证实施办法》（国家安全生产监督管理总局令第41号）第九条</w:t>
            </w:r>
          </w:p>
        </w:tc>
        <w:tc>
          <w:tcPr>
            <w:tcW w:w="1701"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查台账、现场</w:t>
            </w:r>
          </w:p>
        </w:tc>
        <w:tc>
          <w:tcPr>
            <w:tcW w:w="1984" w:type="dxa"/>
          </w:tcPr>
          <w:p>
            <w:pPr>
              <w:jc w:val="center"/>
              <w:rPr>
                <w:rFonts w:ascii="Times New Roman" w:hAnsi="Times New Roman" w:eastAsia="宋体" w:cs="Times New Roman"/>
                <w:bCs/>
                <w:color w:val="auto"/>
                <w:kern w:val="0"/>
                <w:sz w:val="20"/>
                <w:szCs w:val="21"/>
              </w:rPr>
            </w:pPr>
          </w:p>
        </w:tc>
        <w:tc>
          <w:tcPr>
            <w:tcW w:w="1843" w:type="dxa"/>
          </w:tcPr>
          <w:p>
            <w:pPr>
              <w:jc w:val="center"/>
              <w:rPr>
                <w:rFonts w:ascii="Times New Roman" w:hAnsi="Times New Roman" w:eastAsia="宋体" w:cs="Times New Roman"/>
                <w:bCs/>
                <w:color w:val="auto"/>
                <w:kern w:val="0"/>
                <w:sz w:val="20"/>
                <w:szCs w:val="21"/>
              </w:rPr>
            </w:pPr>
          </w:p>
        </w:tc>
        <w:tc>
          <w:tcPr>
            <w:tcW w:w="2126" w:type="dxa"/>
          </w:tcPr>
          <w:p>
            <w:pPr>
              <w:jc w:val="center"/>
              <w:rPr>
                <w:rFonts w:ascii="Times New Roman" w:hAnsi="Times New Roman" w:eastAsia="宋体" w:cs="Times New Roman"/>
                <w:bCs/>
                <w:color w:val="auto"/>
                <w:kern w:val="0"/>
                <w:sz w:val="20"/>
                <w:szCs w:val="21"/>
              </w:rPr>
            </w:pPr>
          </w:p>
        </w:tc>
        <w:tc>
          <w:tcPr>
            <w:tcW w:w="709" w:type="dxa"/>
          </w:tcPr>
          <w:p>
            <w:pPr>
              <w:jc w:val="center"/>
              <w:rPr>
                <w:rFonts w:ascii="Times New Roman" w:hAnsi="Times New Roman" w:eastAsia="宋体" w:cs="Times New Roman"/>
                <w:bCs/>
                <w:color w:val="auto"/>
                <w:kern w:val="0"/>
                <w:sz w:val="20"/>
                <w:szCs w:val="21"/>
              </w:rPr>
            </w:pPr>
          </w:p>
        </w:tc>
        <w:tc>
          <w:tcPr>
            <w:tcW w:w="786" w:type="dxa"/>
            <w:vAlign w:val="center"/>
          </w:tcPr>
          <w:p>
            <w:pPr>
              <w:spacing w:line="280" w:lineRule="exact"/>
              <w:rPr>
                <w:rFonts w:ascii="Times New Roman" w:hAnsi="Times New Roman" w:eastAsia="宋体" w:cs="Times New Roman"/>
                <w:bCs/>
                <w:color w:val="auto"/>
                <w:kern w:val="0"/>
                <w:sz w:val="20"/>
                <w:szCs w:val="21"/>
                <w:lang w:val="zh-TW" w:eastAsia="zh-TW" w:bidi="zh-TW"/>
              </w:rPr>
            </w:pPr>
            <w:r>
              <w:rPr>
                <w:rFonts w:ascii="Times New Roman" w:hAnsi="Times New Roman" w:eastAsia="宋体" w:cs="Times New Roman"/>
                <w:bCs/>
                <w:color w:val="auto"/>
                <w:kern w:val="0"/>
                <w:sz w:val="20"/>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4"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30</w:t>
            </w:r>
          </w:p>
        </w:tc>
        <w:tc>
          <w:tcPr>
            <w:tcW w:w="567" w:type="dxa"/>
            <w:vMerge w:val="continue"/>
            <w:vAlign w:val="center"/>
          </w:tcPr>
          <w:p>
            <w:pPr>
              <w:jc w:val="center"/>
              <w:rPr>
                <w:rFonts w:ascii="Times New Roman" w:hAnsi="Times New Roman" w:eastAsia="宋体" w:cs="Times New Roman"/>
                <w:bCs/>
                <w:color w:val="auto"/>
                <w:kern w:val="0"/>
                <w:sz w:val="20"/>
                <w:szCs w:val="21"/>
              </w:rPr>
            </w:pPr>
          </w:p>
        </w:tc>
        <w:tc>
          <w:tcPr>
            <w:tcW w:w="212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可燃、有毒气体检测报警器的选型、量程设置、报警值设定、现场安装位置、区域报警器设置应满足GB/T50493要求。</w:t>
            </w:r>
          </w:p>
        </w:tc>
        <w:tc>
          <w:tcPr>
            <w:tcW w:w="2410"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《石油化工可燃气体和有毒气体检测报警设计标准》GB/T50493-2019</w:t>
            </w:r>
          </w:p>
        </w:tc>
        <w:tc>
          <w:tcPr>
            <w:tcW w:w="1701" w:type="dxa"/>
            <w:vAlign w:val="center"/>
          </w:tcPr>
          <w:p>
            <w:pPr>
              <w:jc w:val="left"/>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查看现场，可燃气体和有毒气体检测报警系统的气体探测器、报警控制单元、现场警报器等的供电负荷，是否按一级用电负荷中特别重要的负荷考虑，并采用UPS电源装置供电。</w:t>
            </w:r>
          </w:p>
        </w:tc>
        <w:tc>
          <w:tcPr>
            <w:tcW w:w="1984" w:type="dxa"/>
          </w:tcPr>
          <w:p>
            <w:pPr>
              <w:jc w:val="center"/>
              <w:rPr>
                <w:rFonts w:ascii="Times New Roman" w:hAnsi="Times New Roman" w:eastAsia="宋体" w:cs="Times New Roman"/>
                <w:bCs/>
                <w:color w:val="auto"/>
                <w:kern w:val="0"/>
                <w:sz w:val="20"/>
                <w:szCs w:val="21"/>
              </w:rPr>
            </w:pPr>
          </w:p>
        </w:tc>
        <w:tc>
          <w:tcPr>
            <w:tcW w:w="1843" w:type="dxa"/>
          </w:tcPr>
          <w:p>
            <w:pPr>
              <w:jc w:val="center"/>
              <w:rPr>
                <w:rFonts w:ascii="Times New Roman" w:hAnsi="Times New Roman" w:eastAsia="宋体" w:cs="Times New Roman"/>
                <w:bCs/>
                <w:color w:val="auto"/>
                <w:kern w:val="0"/>
                <w:sz w:val="20"/>
                <w:szCs w:val="21"/>
              </w:rPr>
            </w:pPr>
          </w:p>
        </w:tc>
        <w:tc>
          <w:tcPr>
            <w:tcW w:w="2126" w:type="dxa"/>
          </w:tcPr>
          <w:p>
            <w:pPr>
              <w:jc w:val="center"/>
              <w:rPr>
                <w:rFonts w:ascii="Times New Roman" w:hAnsi="Times New Roman" w:eastAsia="宋体" w:cs="Times New Roman"/>
                <w:bCs/>
                <w:color w:val="auto"/>
                <w:kern w:val="0"/>
                <w:sz w:val="20"/>
                <w:szCs w:val="21"/>
              </w:rPr>
            </w:pPr>
          </w:p>
        </w:tc>
        <w:tc>
          <w:tcPr>
            <w:tcW w:w="709" w:type="dxa"/>
          </w:tcPr>
          <w:p>
            <w:pPr>
              <w:jc w:val="center"/>
              <w:rPr>
                <w:rFonts w:ascii="Times New Roman" w:hAnsi="Times New Roman" w:eastAsia="宋体" w:cs="Times New Roman"/>
                <w:bCs/>
                <w:color w:val="auto"/>
                <w:kern w:val="0"/>
                <w:sz w:val="20"/>
                <w:szCs w:val="21"/>
              </w:rPr>
            </w:pPr>
          </w:p>
        </w:tc>
        <w:tc>
          <w:tcPr>
            <w:tcW w:w="78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B级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31</w:t>
            </w:r>
          </w:p>
        </w:tc>
        <w:tc>
          <w:tcPr>
            <w:tcW w:w="567" w:type="dxa"/>
            <w:vMerge w:val="continue"/>
            <w:vAlign w:val="center"/>
          </w:tcPr>
          <w:p>
            <w:pPr>
              <w:jc w:val="center"/>
              <w:rPr>
                <w:rFonts w:ascii="Times New Roman" w:hAnsi="Times New Roman" w:eastAsia="宋体" w:cs="Times New Roman"/>
                <w:bCs/>
                <w:color w:val="auto"/>
                <w:kern w:val="0"/>
                <w:sz w:val="20"/>
                <w:szCs w:val="21"/>
              </w:rPr>
            </w:pPr>
          </w:p>
        </w:tc>
        <w:tc>
          <w:tcPr>
            <w:tcW w:w="212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可燃气体和有毒气体检测报警系统应独立设置。</w:t>
            </w:r>
          </w:p>
        </w:tc>
        <w:tc>
          <w:tcPr>
            <w:tcW w:w="2410"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《国家安全监管总局关于加强化工安全仪表系统管理的指导意见》（安监总管三〔2014〕116 号）第十一条</w:t>
            </w:r>
          </w:p>
        </w:tc>
        <w:tc>
          <w:tcPr>
            <w:tcW w:w="1701" w:type="dxa"/>
            <w:vAlign w:val="center"/>
          </w:tcPr>
          <w:p>
            <w:pPr>
              <w:jc w:val="left"/>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现场核实可燃气体和有毒气体检测报警系统是否独立于其他系统单独设置。</w:t>
            </w:r>
          </w:p>
        </w:tc>
        <w:tc>
          <w:tcPr>
            <w:tcW w:w="1984" w:type="dxa"/>
          </w:tcPr>
          <w:p>
            <w:pPr>
              <w:jc w:val="center"/>
              <w:rPr>
                <w:rFonts w:ascii="Times New Roman" w:hAnsi="Times New Roman" w:eastAsia="宋体" w:cs="Times New Roman"/>
                <w:bCs/>
                <w:color w:val="auto"/>
                <w:kern w:val="0"/>
                <w:sz w:val="20"/>
                <w:szCs w:val="21"/>
              </w:rPr>
            </w:pPr>
          </w:p>
        </w:tc>
        <w:tc>
          <w:tcPr>
            <w:tcW w:w="1843" w:type="dxa"/>
          </w:tcPr>
          <w:p>
            <w:pPr>
              <w:jc w:val="center"/>
              <w:rPr>
                <w:rFonts w:ascii="Times New Roman" w:hAnsi="Times New Roman" w:eastAsia="宋体" w:cs="Times New Roman"/>
                <w:bCs/>
                <w:color w:val="auto"/>
                <w:kern w:val="0"/>
                <w:sz w:val="20"/>
                <w:szCs w:val="21"/>
              </w:rPr>
            </w:pPr>
          </w:p>
        </w:tc>
        <w:tc>
          <w:tcPr>
            <w:tcW w:w="2126" w:type="dxa"/>
          </w:tcPr>
          <w:p>
            <w:pPr>
              <w:jc w:val="center"/>
              <w:rPr>
                <w:rFonts w:ascii="Times New Roman" w:hAnsi="Times New Roman" w:eastAsia="宋体" w:cs="Times New Roman"/>
                <w:bCs/>
                <w:color w:val="auto"/>
                <w:kern w:val="0"/>
                <w:sz w:val="20"/>
                <w:szCs w:val="21"/>
              </w:rPr>
            </w:pPr>
          </w:p>
        </w:tc>
        <w:tc>
          <w:tcPr>
            <w:tcW w:w="709" w:type="dxa"/>
          </w:tcPr>
          <w:p>
            <w:pPr>
              <w:jc w:val="center"/>
              <w:rPr>
                <w:rFonts w:ascii="Times New Roman" w:hAnsi="Times New Roman" w:eastAsia="宋体" w:cs="Times New Roman"/>
                <w:bCs/>
                <w:color w:val="auto"/>
                <w:kern w:val="0"/>
                <w:sz w:val="20"/>
                <w:szCs w:val="21"/>
              </w:rPr>
            </w:pPr>
          </w:p>
        </w:tc>
        <w:tc>
          <w:tcPr>
            <w:tcW w:w="78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32</w:t>
            </w:r>
          </w:p>
        </w:tc>
        <w:tc>
          <w:tcPr>
            <w:tcW w:w="567" w:type="dxa"/>
            <w:vMerge w:val="continue"/>
            <w:vAlign w:val="center"/>
          </w:tcPr>
          <w:p>
            <w:pPr>
              <w:jc w:val="center"/>
              <w:rPr>
                <w:rFonts w:ascii="Times New Roman" w:hAnsi="Times New Roman" w:eastAsia="宋体" w:cs="Times New Roman"/>
                <w:bCs/>
                <w:color w:val="auto"/>
                <w:kern w:val="0"/>
                <w:sz w:val="20"/>
                <w:szCs w:val="21"/>
              </w:rPr>
            </w:pPr>
          </w:p>
        </w:tc>
        <w:tc>
          <w:tcPr>
            <w:tcW w:w="212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可燃、有毒气体检测报警器按规定周期进行检定或校准，周期一般不超过一年。</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有毒气体报警器每半年至少检验1次。</w:t>
            </w:r>
          </w:p>
        </w:tc>
        <w:tc>
          <w:tcPr>
            <w:tcW w:w="2410"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《安全生产法》第三十三条</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《危险化学品企业安全风险隐患排查治理导则》（应急〔2019〕78号）第6（四）</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《化工企业液化烃储罐区安全管理规范》（AQ3059-2023）10.4.3</w:t>
            </w:r>
          </w:p>
        </w:tc>
        <w:tc>
          <w:tcPr>
            <w:tcW w:w="1701"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查台账、现场</w:t>
            </w:r>
          </w:p>
        </w:tc>
        <w:tc>
          <w:tcPr>
            <w:tcW w:w="1984" w:type="dxa"/>
          </w:tcPr>
          <w:p>
            <w:pPr>
              <w:jc w:val="center"/>
              <w:rPr>
                <w:rFonts w:ascii="Times New Roman" w:hAnsi="Times New Roman" w:eastAsia="宋体" w:cs="Times New Roman"/>
                <w:bCs/>
                <w:color w:val="auto"/>
                <w:kern w:val="0"/>
                <w:sz w:val="20"/>
                <w:szCs w:val="21"/>
              </w:rPr>
            </w:pPr>
          </w:p>
        </w:tc>
        <w:tc>
          <w:tcPr>
            <w:tcW w:w="1843" w:type="dxa"/>
          </w:tcPr>
          <w:p>
            <w:pPr>
              <w:jc w:val="center"/>
              <w:rPr>
                <w:rFonts w:ascii="Times New Roman" w:hAnsi="Times New Roman" w:eastAsia="宋体" w:cs="Times New Roman"/>
                <w:bCs/>
                <w:color w:val="auto"/>
                <w:kern w:val="0"/>
                <w:sz w:val="20"/>
                <w:szCs w:val="21"/>
              </w:rPr>
            </w:pPr>
          </w:p>
        </w:tc>
        <w:tc>
          <w:tcPr>
            <w:tcW w:w="2126" w:type="dxa"/>
          </w:tcPr>
          <w:p>
            <w:pPr>
              <w:jc w:val="center"/>
              <w:rPr>
                <w:rFonts w:ascii="Times New Roman" w:hAnsi="Times New Roman" w:eastAsia="宋体" w:cs="Times New Roman"/>
                <w:bCs/>
                <w:color w:val="auto"/>
                <w:kern w:val="0"/>
                <w:sz w:val="20"/>
                <w:szCs w:val="21"/>
              </w:rPr>
            </w:pPr>
          </w:p>
        </w:tc>
        <w:tc>
          <w:tcPr>
            <w:tcW w:w="709" w:type="dxa"/>
          </w:tcPr>
          <w:p>
            <w:pPr>
              <w:jc w:val="center"/>
              <w:rPr>
                <w:rFonts w:ascii="Times New Roman" w:hAnsi="Times New Roman" w:eastAsia="宋体" w:cs="Times New Roman"/>
                <w:bCs/>
                <w:color w:val="auto"/>
                <w:kern w:val="0"/>
                <w:sz w:val="20"/>
                <w:szCs w:val="21"/>
              </w:rPr>
            </w:pPr>
          </w:p>
        </w:tc>
        <w:tc>
          <w:tcPr>
            <w:tcW w:w="78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33</w:t>
            </w:r>
          </w:p>
        </w:tc>
        <w:tc>
          <w:tcPr>
            <w:tcW w:w="567" w:type="dxa"/>
            <w:vMerge w:val="continue"/>
            <w:vAlign w:val="center"/>
          </w:tcPr>
          <w:p>
            <w:pPr>
              <w:jc w:val="center"/>
              <w:rPr>
                <w:rFonts w:ascii="Times New Roman" w:hAnsi="Times New Roman" w:eastAsia="宋体" w:cs="Times New Roman"/>
                <w:bCs/>
                <w:color w:val="auto"/>
                <w:kern w:val="0"/>
                <w:sz w:val="20"/>
                <w:szCs w:val="21"/>
              </w:rPr>
            </w:pPr>
          </w:p>
        </w:tc>
        <w:tc>
          <w:tcPr>
            <w:tcW w:w="212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可燃、有毒气体检测报警信号应发送至有操作人员常驻的控制室、现场操作室进行报警，并有报警与处警记录，对报警原因进行分析。</w:t>
            </w:r>
          </w:p>
        </w:tc>
        <w:tc>
          <w:tcPr>
            <w:tcW w:w="2410"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《石油化工可燃气体和有毒气体检测报警设计规范》（GB 50493-2009）第3.0.4条</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 xml:space="preserve"> 《国家安全监管总局关于加强化工企业泄漏管理的指导意见》（安监总管三〔2014〕94号）第十九条</w:t>
            </w:r>
          </w:p>
        </w:tc>
        <w:tc>
          <w:tcPr>
            <w:tcW w:w="1701"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现场核实可燃气体和有毒气体检测报警信号是否送至有人值守的现场控制室、中心控制室等进行显示报警。</w:t>
            </w:r>
          </w:p>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 xml:space="preserve">查阅控制室的报警记录核实企业是否对报警进行原因分析并有处置结果。 </w:t>
            </w:r>
          </w:p>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询问岗位员工，核实员工是否掌握报警设定值的范围、报警后的应急处置措施。</w:t>
            </w:r>
          </w:p>
        </w:tc>
        <w:tc>
          <w:tcPr>
            <w:tcW w:w="1984" w:type="dxa"/>
          </w:tcPr>
          <w:p>
            <w:pPr>
              <w:jc w:val="center"/>
              <w:rPr>
                <w:rFonts w:ascii="Times New Roman" w:hAnsi="Times New Roman" w:eastAsia="宋体" w:cs="Times New Roman"/>
                <w:bCs/>
                <w:color w:val="auto"/>
                <w:kern w:val="0"/>
                <w:sz w:val="20"/>
                <w:szCs w:val="21"/>
              </w:rPr>
            </w:pPr>
          </w:p>
        </w:tc>
        <w:tc>
          <w:tcPr>
            <w:tcW w:w="1843" w:type="dxa"/>
          </w:tcPr>
          <w:p>
            <w:pPr>
              <w:jc w:val="center"/>
              <w:rPr>
                <w:rFonts w:ascii="Times New Roman" w:hAnsi="Times New Roman" w:eastAsia="宋体" w:cs="Times New Roman"/>
                <w:bCs/>
                <w:color w:val="auto"/>
                <w:kern w:val="0"/>
                <w:sz w:val="20"/>
                <w:szCs w:val="21"/>
              </w:rPr>
            </w:pPr>
          </w:p>
        </w:tc>
        <w:tc>
          <w:tcPr>
            <w:tcW w:w="2126" w:type="dxa"/>
          </w:tcPr>
          <w:p>
            <w:pPr>
              <w:jc w:val="center"/>
              <w:rPr>
                <w:rFonts w:ascii="Times New Roman" w:hAnsi="Times New Roman" w:eastAsia="宋体" w:cs="Times New Roman"/>
                <w:bCs/>
                <w:color w:val="auto"/>
                <w:kern w:val="0"/>
                <w:sz w:val="20"/>
                <w:szCs w:val="21"/>
              </w:rPr>
            </w:pPr>
          </w:p>
        </w:tc>
        <w:tc>
          <w:tcPr>
            <w:tcW w:w="709" w:type="dxa"/>
          </w:tcPr>
          <w:p>
            <w:pPr>
              <w:jc w:val="center"/>
              <w:rPr>
                <w:rFonts w:ascii="Times New Roman" w:hAnsi="Times New Roman" w:eastAsia="宋体" w:cs="Times New Roman"/>
                <w:bCs/>
                <w:color w:val="auto"/>
                <w:kern w:val="0"/>
                <w:sz w:val="20"/>
                <w:szCs w:val="21"/>
              </w:rPr>
            </w:pPr>
          </w:p>
        </w:tc>
        <w:tc>
          <w:tcPr>
            <w:tcW w:w="78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4"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34</w:t>
            </w:r>
          </w:p>
        </w:tc>
        <w:tc>
          <w:tcPr>
            <w:tcW w:w="567" w:type="dxa"/>
            <w:vMerge w:val="continue"/>
            <w:vAlign w:val="center"/>
          </w:tcPr>
          <w:p>
            <w:pPr>
              <w:jc w:val="center"/>
              <w:rPr>
                <w:rFonts w:ascii="Times New Roman" w:hAnsi="Times New Roman" w:eastAsia="宋体" w:cs="Times New Roman"/>
                <w:bCs/>
                <w:color w:val="auto"/>
                <w:kern w:val="0"/>
                <w:sz w:val="20"/>
                <w:szCs w:val="21"/>
              </w:rPr>
            </w:pPr>
          </w:p>
        </w:tc>
        <w:tc>
          <w:tcPr>
            <w:tcW w:w="2126" w:type="dxa"/>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 xml:space="preserve">可燃、有毒气体检测报警器应完好并处于正常投用状态。 </w:t>
            </w:r>
          </w:p>
          <w:p>
            <w:pPr>
              <w:widowControl/>
              <w:spacing w:line="280" w:lineRule="exact"/>
              <w:textAlignment w:val="center"/>
              <w:rPr>
                <w:rFonts w:ascii="Times New Roman" w:hAnsi="Times New Roman" w:eastAsia="宋体" w:cs="Times New Roman"/>
                <w:bCs/>
                <w:color w:val="auto"/>
                <w:kern w:val="0"/>
                <w:sz w:val="20"/>
                <w:szCs w:val="21"/>
              </w:rPr>
            </w:pPr>
          </w:p>
        </w:tc>
        <w:tc>
          <w:tcPr>
            <w:tcW w:w="2410"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《安全生产法》第三十一条</w:t>
            </w:r>
          </w:p>
        </w:tc>
        <w:tc>
          <w:tcPr>
            <w:tcW w:w="1701"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查现场</w:t>
            </w:r>
          </w:p>
        </w:tc>
        <w:tc>
          <w:tcPr>
            <w:tcW w:w="1984" w:type="dxa"/>
          </w:tcPr>
          <w:p>
            <w:pPr>
              <w:jc w:val="center"/>
              <w:rPr>
                <w:rFonts w:ascii="Times New Roman" w:hAnsi="Times New Roman" w:eastAsia="宋体" w:cs="Times New Roman"/>
                <w:bCs/>
                <w:color w:val="auto"/>
                <w:kern w:val="0"/>
                <w:sz w:val="20"/>
                <w:szCs w:val="21"/>
              </w:rPr>
            </w:pPr>
          </w:p>
        </w:tc>
        <w:tc>
          <w:tcPr>
            <w:tcW w:w="1843" w:type="dxa"/>
          </w:tcPr>
          <w:p>
            <w:pPr>
              <w:jc w:val="center"/>
              <w:rPr>
                <w:rFonts w:ascii="Times New Roman" w:hAnsi="Times New Roman" w:eastAsia="宋体" w:cs="Times New Roman"/>
                <w:bCs/>
                <w:color w:val="auto"/>
                <w:kern w:val="0"/>
                <w:sz w:val="20"/>
                <w:szCs w:val="21"/>
              </w:rPr>
            </w:pPr>
          </w:p>
        </w:tc>
        <w:tc>
          <w:tcPr>
            <w:tcW w:w="2126" w:type="dxa"/>
          </w:tcPr>
          <w:p>
            <w:pPr>
              <w:jc w:val="center"/>
              <w:rPr>
                <w:rFonts w:ascii="Times New Roman" w:hAnsi="Times New Roman" w:eastAsia="宋体" w:cs="Times New Roman"/>
                <w:bCs/>
                <w:color w:val="auto"/>
                <w:kern w:val="0"/>
                <w:sz w:val="20"/>
                <w:szCs w:val="21"/>
              </w:rPr>
            </w:pPr>
          </w:p>
        </w:tc>
        <w:tc>
          <w:tcPr>
            <w:tcW w:w="709" w:type="dxa"/>
          </w:tcPr>
          <w:p>
            <w:pPr>
              <w:jc w:val="center"/>
              <w:rPr>
                <w:rFonts w:ascii="Times New Roman" w:hAnsi="Times New Roman" w:eastAsia="宋体" w:cs="Times New Roman"/>
                <w:bCs/>
                <w:color w:val="auto"/>
                <w:kern w:val="0"/>
                <w:sz w:val="20"/>
                <w:szCs w:val="21"/>
              </w:rPr>
            </w:pPr>
          </w:p>
        </w:tc>
        <w:tc>
          <w:tcPr>
            <w:tcW w:w="78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35</w:t>
            </w:r>
          </w:p>
        </w:tc>
        <w:tc>
          <w:tcPr>
            <w:tcW w:w="567" w:type="dxa"/>
            <w:vMerge w:val="continue"/>
            <w:vAlign w:val="center"/>
          </w:tcPr>
          <w:p>
            <w:pPr>
              <w:jc w:val="center"/>
              <w:rPr>
                <w:rFonts w:ascii="Times New Roman" w:hAnsi="Times New Roman" w:eastAsia="宋体" w:cs="Times New Roman"/>
                <w:bCs/>
                <w:color w:val="auto"/>
                <w:kern w:val="0"/>
                <w:sz w:val="20"/>
                <w:szCs w:val="21"/>
              </w:rPr>
            </w:pPr>
          </w:p>
        </w:tc>
        <w:tc>
          <w:tcPr>
            <w:tcW w:w="2126" w:type="dxa"/>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控制室、机柜间的空调新风引风口等可燃气体和有毒气体有可能进入建筑物的地方，应设置可燃气体和（或）有毒气体检测器。</w:t>
            </w:r>
          </w:p>
        </w:tc>
        <w:tc>
          <w:tcPr>
            <w:tcW w:w="2410"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《石油化工可燃气体和有毒气体检测报警设计标准》GB/T50493-2019第4.4.3条</w:t>
            </w:r>
          </w:p>
        </w:tc>
        <w:tc>
          <w:tcPr>
            <w:tcW w:w="1701"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查台账、现场</w:t>
            </w:r>
          </w:p>
        </w:tc>
        <w:tc>
          <w:tcPr>
            <w:tcW w:w="1984" w:type="dxa"/>
          </w:tcPr>
          <w:p>
            <w:pPr>
              <w:jc w:val="center"/>
              <w:rPr>
                <w:rFonts w:ascii="Times New Roman" w:hAnsi="Times New Roman" w:eastAsia="宋体" w:cs="Times New Roman"/>
                <w:bCs/>
                <w:color w:val="auto"/>
                <w:kern w:val="0"/>
                <w:sz w:val="20"/>
                <w:szCs w:val="21"/>
              </w:rPr>
            </w:pPr>
          </w:p>
        </w:tc>
        <w:tc>
          <w:tcPr>
            <w:tcW w:w="1843" w:type="dxa"/>
          </w:tcPr>
          <w:p>
            <w:pPr>
              <w:jc w:val="center"/>
              <w:rPr>
                <w:rFonts w:ascii="Times New Roman" w:hAnsi="Times New Roman" w:eastAsia="宋体" w:cs="Times New Roman"/>
                <w:bCs/>
                <w:color w:val="auto"/>
                <w:kern w:val="0"/>
                <w:sz w:val="20"/>
                <w:szCs w:val="21"/>
              </w:rPr>
            </w:pPr>
          </w:p>
        </w:tc>
        <w:tc>
          <w:tcPr>
            <w:tcW w:w="2126" w:type="dxa"/>
          </w:tcPr>
          <w:p>
            <w:pPr>
              <w:jc w:val="center"/>
              <w:rPr>
                <w:rFonts w:ascii="Times New Roman" w:hAnsi="Times New Roman" w:eastAsia="宋体" w:cs="Times New Roman"/>
                <w:bCs/>
                <w:color w:val="auto"/>
                <w:kern w:val="0"/>
                <w:sz w:val="20"/>
                <w:szCs w:val="21"/>
              </w:rPr>
            </w:pPr>
          </w:p>
        </w:tc>
        <w:tc>
          <w:tcPr>
            <w:tcW w:w="709" w:type="dxa"/>
          </w:tcPr>
          <w:p>
            <w:pPr>
              <w:jc w:val="center"/>
              <w:rPr>
                <w:rFonts w:ascii="Times New Roman" w:hAnsi="Times New Roman" w:eastAsia="宋体" w:cs="Times New Roman"/>
                <w:bCs/>
                <w:color w:val="auto"/>
                <w:kern w:val="0"/>
                <w:sz w:val="20"/>
                <w:szCs w:val="21"/>
              </w:rPr>
            </w:pPr>
          </w:p>
        </w:tc>
        <w:tc>
          <w:tcPr>
            <w:tcW w:w="786"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C级</w:t>
            </w:r>
          </w:p>
        </w:tc>
      </w:tr>
    </w:tbl>
    <w:p>
      <w:pPr>
        <w:jc w:val="left"/>
        <w:rPr>
          <w:rFonts w:hint="eastAsia" w:ascii="宋体" w:hAnsi="宋体" w:eastAsia="宋体"/>
          <w:b/>
          <w:bCs/>
          <w:color w:val="auto"/>
          <w:sz w:val="30"/>
          <w:szCs w:val="30"/>
        </w:rPr>
      </w:pPr>
    </w:p>
    <w:p>
      <w:pPr>
        <w:widowControl/>
        <w:jc w:val="left"/>
        <w:rPr>
          <w:rFonts w:hint="eastAsia" w:ascii="宋体" w:hAnsi="宋体" w:eastAsia="宋体"/>
          <w:b/>
          <w:bCs/>
          <w:color w:val="auto"/>
          <w:sz w:val="30"/>
          <w:szCs w:val="30"/>
        </w:rPr>
      </w:pPr>
      <w:r>
        <w:rPr>
          <w:rFonts w:ascii="宋体" w:hAnsi="宋体" w:eastAsia="宋体"/>
          <w:b/>
          <w:bCs/>
          <w:color w:val="auto"/>
          <w:sz w:val="30"/>
          <w:szCs w:val="30"/>
        </w:rPr>
        <w:br w:type="page"/>
      </w:r>
    </w:p>
    <w:p>
      <w:pPr>
        <w:jc w:val="left"/>
        <w:outlineLvl w:val="1"/>
        <w:rPr>
          <w:rFonts w:hint="eastAsia" w:ascii="宋体" w:hAnsi="宋体" w:eastAsia="宋体"/>
          <w:b/>
          <w:bCs/>
          <w:color w:val="auto"/>
          <w:sz w:val="30"/>
          <w:szCs w:val="30"/>
        </w:rPr>
      </w:pPr>
      <w:bookmarkStart w:id="89" w:name="_Toc237556461"/>
      <w:r>
        <w:rPr>
          <w:rFonts w:hint="eastAsia" w:ascii="宋体" w:hAnsi="宋体" w:eastAsia="宋体"/>
          <w:b/>
          <w:bCs/>
          <w:color w:val="auto"/>
          <w:sz w:val="30"/>
          <w:szCs w:val="30"/>
        </w:rPr>
        <w:t>附件4-5</w:t>
      </w:r>
      <w:r>
        <w:rPr>
          <w:rFonts w:ascii="宋体" w:hAnsi="宋体" w:eastAsia="宋体"/>
          <w:b/>
          <w:bCs/>
          <w:color w:val="auto"/>
          <w:sz w:val="30"/>
          <w:szCs w:val="30"/>
        </w:rPr>
        <w:t>：安全</w:t>
      </w:r>
      <w:r>
        <w:rPr>
          <w:rFonts w:hint="eastAsia" w:ascii="宋体" w:hAnsi="宋体" w:eastAsia="宋体"/>
          <w:b/>
          <w:bCs/>
          <w:color w:val="auto"/>
          <w:sz w:val="30"/>
          <w:szCs w:val="30"/>
        </w:rPr>
        <w:t>基础管理</w:t>
      </w:r>
      <w:r>
        <w:rPr>
          <w:rFonts w:ascii="宋体" w:hAnsi="宋体" w:eastAsia="宋体"/>
          <w:b/>
          <w:bCs/>
          <w:color w:val="auto"/>
          <w:sz w:val="30"/>
          <w:szCs w:val="30"/>
        </w:rPr>
        <w:t>专业检查表</w:t>
      </w:r>
      <w:bookmarkEnd w:id="89"/>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1"/>
        <w:gridCol w:w="563"/>
        <w:gridCol w:w="2114"/>
        <w:gridCol w:w="2421"/>
        <w:gridCol w:w="1650"/>
        <w:gridCol w:w="1936"/>
        <w:gridCol w:w="1798"/>
        <w:gridCol w:w="2073"/>
        <w:gridCol w:w="701"/>
        <w:gridCol w:w="9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1" w:type="dxa"/>
            <w:vAlign w:val="center"/>
          </w:tcPr>
          <w:p>
            <w:pPr>
              <w:jc w:val="center"/>
              <w:rPr>
                <w:rFonts w:ascii="Times New Roman" w:hAnsi="Times New Roman" w:eastAsia="宋体" w:cs="Times New Roman"/>
                <w:b/>
                <w:color w:val="auto"/>
                <w:kern w:val="0"/>
                <w:sz w:val="21"/>
                <w:szCs w:val="21"/>
              </w:rPr>
            </w:pPr>
            <w:r>
              <w:rPr>
                <w:rFonts w:ascii="Times New Roman" w:hAnsi="Times New Roman" w:eastAsia="宋体" w:cs="Times New Roman"/>
                <w:b/>
                <w:color w:val="auto"/>
                <w:kern w:val="0"/>
                <w:sz w:val="21"/>
                <w:szCs w:val="21"/>
              </w:rPr>
              <w:t>序号</w:t>
            </w:r>
          </w:p>
        </w:tc>
        <w:tc>
          <w:tcPr>
            <w:tcW w:w="564" w:type="dxa"/>
            <w:vAlign w:val="center"/>
          </w:tcPr>
          <w:p>
            <w:pPr>
              <w:jc w:val="center"/>
              <w:rPr>
                <w:rFonts w:ascii="Times New Roman" w:hAnsi="Times New Roman" w:eastAsia="宋体" w:cs="Times New Roman"/>
                <w:b/>
                <w:color w:val="auto"/>
                <w:kern w:val="0"/>
                <w:sz w:val="21"/>
                <w:szCs w:val="21"/>
              </w:rPr>
            </w:pPr>
            <w:r>
              <w:rPr>
                <w:rFonts w:ascii="Times New Roman" w:hAnsi="Times New Roman" w:eastAsia="宋体" w:cs="Times New Roman"/>
                <w:b/>
                <w:color w:val="auto"/>
                <w:kern w:val="0"/>
                <w:sz w:val="21"/>
                <w:szCs w:val="21"/>
              </w:rPr>
              <w:t>要素</w:t>
            </w:r>
          </w:p>
        </w:tc>
        <w:tc>
          <w:tcPr>
            <w:tcW w:w="2118" w:type="dxa"/>
            <w:vAlign w:val="center"/>
          </w:tcPr>
          <w:p>
            <w:pPr>
              <w:jc w:val="center"/>
              <w:rPr>
                <w:rFonts w:ascii="Times New Roman" w:hAnsi="Times New Roman" w:eastAsia="宋体" w:cs="Times New Roman"/>
                <w:b/>
                <w:color w:val="auto"/>
                <w:kern w:val="0"/>
                <w:sz w:val="21"/>
                <w:szCs w:val="21"/>
              </w:rPr>
            </w:pPr>
            <w:r>
              <w:rPr>
                <w:rFonts w:ascii="Times New Roman" w:hAnsi="Times New Roman" w:eastAsia="宋体" w:cs="Times New Roman"/>
                <w:b/>
                <w:color w:val="auto"/>
                <w:kern w:val="0"/>
                <w:sz w:val="21"/>
                <w:szCs w:val="21"/>
              </w:rPr>
              <w:t>检查内容</w:t>
            </w:r>
          </w:p>
        </w:tc>
        <w:tc>
          <w:tcPr>
            <w:tcW w:w="2424" w:type="dxa"/>
            <w:vAlign w:val="center"/>
          </w:tcPr>
          <w:p>
            <w:pPr>
              <w:jc w:val="center"/>
              <w:rPr>
                <w:rFonts w:ascii="Times New Roman" w:hAnsi="Times New Roman" w:eastAsia="宋体" w:cs="Times New Roman"/>
                <w:b/>
                <w:color w:val="auto"/>
                <w:kern w:val="0"/>
                <w:sz w:val="21"/>
                <w:szCs w:val="21"/>
              </w:rPr>
            </w:pPr>
            <w:r>
              <w:rPr>
                <w:rFonts w:ascii="Times New Roman" w:hAnsi="Times New Roman" w:eastAsia="宋体" w:cs="Times New Roman"/>
                <w:b/>
                <w:color w:val="auto"/>
                <w:kern w:val="0"/>
                <w:sz w:val="21"/>
                <w:szCs w:val="21"/>
              </w:rPr>
              <w:t>检查依据</w:t>
            </w:r>
          </w:p>
        </w:tc>
        <w:tc>
          <w:tcPr>
            <w:tcW w:w="1653" w:type="dxa"/>
            <w:vAlign w:val="center"/>
          </w:tcPr>
          <w:p>
            <w:pPr>
              <w:jc w:val="center"/>
              <w:rPr>
                <w:rFonts w:ascii="Times New Roman" w:hAnsi="Times New Roman" w:eastAsia="宋体" w:cs="Times New Roman"/>
                <w:b/>
                <w:color w:val="auto"/>
                <w:kern w:val="0"/>
                <w:sz w:val="21"/>
                <w:szCs w:val="21"/>
              </w:rPr>
            </w:pPr>
            <w:r>
              <w:rPr>
                <w:rFonts w:ascii="Times New Roman" w:hAnsi="Times New Roman" w:eastAsia="宋体" w:cs="Times New Roman"/>
                <w:b/>
                <w:color w:val="auto"/>
                <w:kern w:val="0"/>
                <w:sz w:val="21"/>
                <w:szCs w:val="21"/>
              </w:rPr>
              <w:t>检查方式</w:t>
            </w:r>
          </w:p>
        </w:tc>
        <w:tc>
          <w:tcPr>
            <w:tcW w:w="1943" w:type="dxa"/>
            <w:vAlign w:val="center"/>
          </w:tcPr>
          <w:p>
            <w:pPr>
              <w:jc w:val="center"/>
              <w:rPr>
                <w:rFonts w:ascii="Times New Roman" w:hAnsi="Times New Roman" w:eastAsia="宋体" w:cs="Times New Roman"/>
                <w:b/>
                <w:color w:val="auto"/>
                <w:kern w:val="0"/>
                <w:sz w:val="21"/>
                <w:szCs w:val="21"/>
              </w:rPr>
            </w:pPr>
            <w:r>
              <w:rPr>
                <w:rFonts w:ascii="Times New Roman" w:hAnsi="Times New Roman" w:eastAsia="宋体" w:cs="Times New Roman"/>
                <w:b/>
                <w:color w:val="auto"/>
                <w:kern w:val="0"/>
                <w:sz w:val="21"/>
                <w:szCs w:val="21"/>
              </w:rPr>
              <w:t>检查情况</w:t>
            </w:r>
          </w:p>
        </w:tc>
        <w:tc>
          <w:tcPr>
            <w:tcW w:w="1805" w:type="dxa"/>
            <w:vAlign w:val="center"/>
          </w:tcPr>
          <w:p>
            <w:pPr>
              <w:jc w:val="center"/>
              <w:rPr>
                <w:rFonts w:ascii="Times New Roman" w:hAnsi="Times New Roman" w:eastAsia="宋体" w:cs="Times New Roman"/>
                <w:b/>
                <w:color w:val="auto"/>
                <w:kern w:val="0"/>
                <w:sz w:val="21"/>
                <w:szCs w:val="21"/>
              </w:rPr>
            </w:pPr>
            <w:r>
              <w:rPr>
                <w:rFonts w:ascii="Times New Roman" w:hAnsi="Times New Roman" w:eastAsia="宋体" w:cs="Times New Roman"/>
                <w:b/>
                <w:color w:val="auto"/>
                <w:kern w:val="0"/>
                <w:sz w:val="21"/>
                <w:szCs w:val="21"/>
              </w:rPr>
              <w:t>检查问题</w:t>
            </w:r>
          </w:p>
        </w:tc>
        <w:tc>
          <w:tcPr>
            <w:tcW w:w="2081" w:type="dxa"/>
            <w:vAlign w:val="center"/>
          </w:tcPr>
          <w:p>
            <w:pPr>
              <w:jc w:val="center"/>
              <w:rPr>
                <w:rFonts w:ascii="Times New Roman" w:hAnsi="Times New Roman" w:eastAsia="宋体" w:cs="Times New Roman"/>
                <w:b/>
                <w:color w:val="auto"/>
                <w:kern w:val="0"/>
                <w:sz w:val="21"/>
                <w:szCs w:val="21"/>
              </w:rPr>
            </w:pPr>
            <w:r>
              <w:rPr>
                <w:rFonts w:ascii="Times New Roman" w:hAnsi="Times New Roman" w:eastAsia="宋体" w:cs="Times New Roman"/>
                <w:b/>
                <w:color w:val="auto"/>
                <w:kern w:val="0"/>
                <w:sz w:val="21"/>
                <w:szCs w:val="21"/>
              </w:rPr>
              <w:t>整改建议</w:t>
            </w:r>
          </w:p>
        </w:tc>
        <w:tc>
          <w:tcPr>
            <w:tcW w:w="702" w:type="dxa"/>
            <w:vAlign w:val="center"/>
          </w:tcPr>
          <w:p>
            <w:pPr>
              <w:jc w:val="center"/>
              <w:rPr>
                <w:rFonts w:ascii="Times New Roman" w:hAnsi="Times New Roman" w:eastAsia="宋体" w:cs="Times New Roman"/>
                <w:b/>
                <w:color w:val="auto"/>
                <w:kern w:val="0"/>
                <w:sz w:val="21"/>
                <w:szCs w:val="21"/>
              </w:rPr>
            </w:pPr>
            <w:r>
              <w:rPr>
                <w:rFonts w:ascii="Times New Roman" w:hAnsi="Times New Roman" w:eastAsia="宋体" w:cs="Times New Roman"/>
                <w:b/>
                <w:color w:val="auto"/>
                <w:kern w:val="0"/>
                <w:sz w:val="21"/>
                <w:szCs w:val="21"/>
              </w:rPr>
              <w:t>重大</w:t>
            </w:r>
          </w:p>
          <w:p>
            <w:pPr>
              <w:jc w:val="center"/>
              <w:rPr>
                <w:rFonts w:ascii="Times New Roman" w:hAnsi="Times New Roman" w:eastAsia="宋体" w:cs="Times New Roman"/>
                <w:b/>
                <w:color w:val="auto"/>
                <w:kern w:val="0"/>
                <w:sz w:val="21"/>
                <w:szCs w:val="21"/>
              </w:rPr>
            </w:pPr>
            <w:r>
              <w:rPr>
                <w:rFonts w:ascii="Times New Roman" w:hAnsi="Times New Roman" w:eastAsia="宋体" w:cs="Times New Roman"/>
                <w:b/>
                <w:color w:val="auto"/>
                <w:kern w:val="0"/>
                <w:sz w:val="21"/>
                <w:szCs w:val="21"/>
              </w:rPr>
              <w:t>隐患</w:t>
            </w:r>
          </w:p>
        </w:tc>
        <w:tc>
          <w:tcPr>
            <w:tcW w:w="965" w:type="dxa"/>
            <w:vAlign w:val="center"/>
          </w:tcPr>
          <w:p>
            <w:pPr>
              <w:jc w:val="center"/>
              <w:rPr>
                <w:rFonts w:ascii="Times New Roman" w:hAnsi="Times New Roman" w:eastAsia="宋体" w:cs="Times New Roman"/>
                <w:b/>
                <w:color w:val="auto"/>
                <w:kern w:val="0"/>
                <w:sz w:val="21"/>
                <w:szCs w:val="21"/>
              </w:rPr>
            </w:pPr>
            <w:r>
              <w:rPr>
                <w:rFonts w:ascii="Times New Roman" w:hAnsi="Times New Roman" w:eastAsia="宋体" w:cs="Times New Roman"/>
                <w:b/>
                <w:color w:val="auto"/>
                <w:kern w:val="0"/>
                <w:sz w:val="21"/>
                <w:szCs w:val="21"/>
              </w:rPr>
              <w:t>不符合项等级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1</w:t>
            </w:r>
          </w:p>
        </w:tc>
        <w:tc>
          <w:tcPr>
            <w:tcW w:w="564" w:type="dxa"/>
            <w:vMerge w:val="restart"/>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安全文化与领导力</w:t>
            </w:r>
          </w:p>
        </w:tc>
        <w:tc>
          <w:tcPr>
            <w:tcW w:w="2118" w:type="dxa"/>
            <w:vAlign w:val="center"/>
          </w:tcPr>
          <w:p>
            <w:pPr>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董事长或总经理等主要负责人应每天组织开展层层风险研判，作出安全承诺和公告。</w:t>
            </w:r>
          </w:p>
        </w:tc>
        <w:tc>
          <w:tcPr>
            <w:tcW w:w="2424" w:type="dxa"/>
            <w:vAlign w:val="center"/>
          </w:tcPr>
          <w:p>
            <w:pPr>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《应急管理部关于全面实施危险化学品企业安全风险研判与承诺公告制度的通知》（应急〔2018〕74号）</w:t>
            </w:r>
          </w:p>
          <w:p>
            <w:pPr>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《化工和危险化学品生产经营企业重大生产安全事故隐患判定准则》（AQ 3067-2026）第5.7.7条</w:t>
            </w:r>
          </w:p>
        </w:tc>
        <w:tc>
          <w:tcPr>
            <w:tcW w:w="1653" w:type="dxa"/>
            <w:vAlign w:val="center"/>
          </w:tcPr>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 xml:space="preserve">是否建立了制度，内容是否符合74号文的要求。 </w:t>
            </w:r>
          </w:p>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是否每天签署安全承诺并向社会公告。</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2</w:t>
            </w:r>
          </w:p>
        </w:tc>
        <w:tc>
          <w:tcPr>
            <w:tcW w:w="564" w:type="dxa"/>
            <w:vMerge w:val="continue"/>
            <w:vAlign w:val="center"/>
          </w:tcPr>
          <w:p>
            <w:pPr>
              <w:jc w:val="center"/>
              <w:rPr>
                <w:rFonts w:ascii="Times New Roman" w:hAnsi="Times New Roman" w:eastAsia="宋体" w:cs="Times New Roman"/>
                <w:bCs/>
                <w:color w:val="auto"/>
                <w:kern w:val="0"/>
                <w:sz w:val="21"/>
                <w:szCs w:val="21"/>
              </w:rPr>
            </w:pPr>
          </w:p>
        </w:tc>
        <w:tc>
          <w:tcPr>
            <w:tcW w:w="2118" w:type="dxa"/>
            <w:vAlign w:val="center"/>
          </w:tcPr>
          <w:p>
            <w:pPr>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 xml:space="preserve">企业主要负责人应严格履行其法定的安全生产职责： </w:t>
            </w:r>
          </w:p>
          <w:p>
            <w:pPr>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 xml:space="preserve">1.建立健全并落实本单位全员安全生产责任制，加强安全生产标准 化建设； </w:t>
            </w:r>
          </w:p>
          <w:p>
            <w:pPr>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2.组织制定并实施本单位安全生产规章制度和操作规</w:t>
            </w:r>
          </w:p>
          <w:p>
            <w:pPr>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 xml:space="preserve">程； </w:t>
            </w:r>
          </w:p>
          <w:p>
            <w:pPr>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 xml:space="preserve">3.组织制定并实施本单位安全生产教育和培训计划； </w:t>
            </w:r>
          </w:p>
          <w:p>
            <w:pPr>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4.保证本单位安全生产投入的有效实施；</w:t>
            </w:r>
          </w:p>
          <w:p>
            <w:pPr>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5.组织建立并落实安全风险分级管控和隐患排查治理双重预防工作 机制，督促、检查本单位的安全生产工</w:t>
            </w:r>
          </w:p>
          <w:p>
            <w:pPr>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 xml:space="preserve">作，及时消除生产安全事故隐患； </w:t>
            </w:r>
          </w:p>
          <w:p>
            <w:pPr>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6.组织制定并实施本单位的生产安全事故应急救援预</w:t>
            </w:r>
          </w:p>
          <w:p>
            <w:pPr>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 xml:space="preserve">案； </w:t>
            </w:r>
          </w:p>
          <w:p>
            <w:pPr>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7.及时、如实报告生产安全事故。</w:t>
            </w:r>
          </w:p>
        </w:tc>
        <w:tc>
          <w:tcPr>
            <w:tcW w:w="2424" w:type="dxa"/>
            <w:vAlign w:val="center"/>
          </w:tcPr>
          <w:p>
            <w:pPr>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《安全生产法》</w:t>
            </w:r>
          </w:p>
          <w:p>
            <w:pPr>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第二十一条</w:t>
            </w:r>
          </w:p>
        </w:tc>
        <w:tc>
          <w:tcPr>
            <w:tcW w:w="1653" w:type="dxa"/>
            <w:vAlign w:val="center"/>
          </w:tcPr>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 xml:space="preserve">企业的安全生产责任制中，是否按《安全生产法》的要求，明确了主要负责人的7项安全生产职责。 </w:t>
            </w:r>
          </w:p>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 xml:space="preserve">访谈企业主要负责人，是否掌握本人的安全生产职责。 </w:t>
            </w:r>
          </w:p>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抽查至少一项主要负责人的安全职责，是否得以落实。</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B级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3</w:t>
            </w:r>
          </w:p>
        </w:tc>
        <w:tc>
          <w:tcPr>
            <w:tcW w:w="564" w:type="dxa"/>
            <w:vMerge w:val="continue"/>
            <w:vAlign w:val="center"/>
          </w:tcPr>
          <w:p>
            <w:pPr>
              <w:jc w:val="center"/>
              <w:rPr>
                <w:rFonts w:ascii="Times New Roman" w:hAnsi="Times New Roman" w:eastAsia="宋体" w:cs="Times New Roman"/>
                <w:bCs/>
                <w:color w:val="auto"/>
                <w:kern w:val="0"/>
                <w:sz w:val="21"/>
                <w:szCs w:val="21"/>
              </w:rPr>
            </w:pPr>
          </w:p>
        </w:tc>
        <w:tc>
          <w:tcPr>
            <w:tcW w:w="2118" w:type="dxa"/>
            <w:vAlign w:val="center"/>
          </w:tcPr>
          <w:p>
            <w:pPr>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企业应当依法设置安全生产管理机构，配备专职安全生产管理人员,从业人员超过100人的独立设置安全生产管理机构。</w:t>
            </w:r>
          </w:p>
          <w:p>
            <w:pPr>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配备的专职安全生产管理人员必须能够满足安全生产的需要。</w:t>
            </w:r>
            <w:r>
              <w:rPr>
                <w:rFonts w:ascii="Times New Roman" w:hAnsi="Times New Roman" w:eastAsia="宋体" w:cs="Times New Roman"/>
                <w:bCs/>
                <w:color w:val="auto"/>
                <w:kern w:val="0"/>
                <w:sz w:val="21"/>
                <w:szCs w:val="21"/>
              </w:rPr>
              <w:t>危险化学品企业专职安全生产管理人员应按不少于企业员工总数的2%配备(不足50人的企业至少配备1人)，从业人员300人以上的危险物品生产、经营单位，应当按照不少于安全生产管理人员15%的比例配备注册安全工程师；安全生产管理人员在7人以下的，至少配备1名注册安全工程师。</w:t>
            </w:r>
          </w:p>
        </w:tc>
        <w:tc>
          <w:tcPr>
            <w:tcW w:w="2424" w:type="dxa"/>
            <w:vAlign w:val="center"/>
          </w:tcPr>
          <w:p>
            <w:pPr>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《安全生产法》</w:t>
            </w:r>
          </w:p>
          <w:p>
            <w:pPr>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第二十四条</w:t>
            </w:r>
          </w:p>
          <w:p>
            <w:pPr>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《国家安全监管总局关于危险化学品企业贯彻落实国务院关于进一步加强企业安全生产工作的通知的实施意见》（安监总管三〔2010〕186号）第一章第三条</w:t>
            </w:r>
          </w:p>
          <w:p>
            <w:pPr>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《危险化学品生产企业安全生产许可证实施办法》（国家安全生产监督管理总局令第41号）</w:t>
            </w:r>
          </w:p>
          <w:p>
            <w:pPr>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第十二条</w:t>
            </w:r>
          </w:p>
          <w:p>
            <w:pPr>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《云南省危险化学品企业安全生产管理机构工作指引（试行）》</w:t>
            </w:r>
          </w:p>
          <w:p>
            <w:pPr>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第1.1、1.2、1.3条</w:t>
            </w:r>
          </w:p>
        </w:tc>
        <w:tc>
          <w:tcPr>
            <w:tcW w:w="1653" w:type="dxa"/>
            <w:vAlign w:val="center"/>
          </w:tcPr>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 xml:space="preserve">查阅企业是否发布了设置安全生产管理机构或配备专职安全生产管理人员的文件。 </w:t>
            </w:r>
          </w:p>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 xml:space="preserve">查阅专职安全管理人员的数量、学历、专业等是否满足要求。 </w:t>
            </w:r>
          </w:p>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查阅注册安全工程师的数量是否满足要求（应注册到该企业）。</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4</w:t>
            </w:r>
          </w:p>
        </w:tc>
        <w:tc>
          <w:tcPr>
            <w:tcW w:w="564" w:type="dxa"/>
            <w:vMerge w:val="continue"/>
            <w:vAlign w:val="center"/>
          </w:tcPr>
          <w:p>
            <w:pPr>
              <w:jc w:val="center"/>
              <w:rPr>
                <w:rFonts w:ascii="Times New Roman" w:hAnsi="Times New Roman" w:eastAsia="宋体" w:cs="Times New Roman"/>
                <w:bCs/>
                <w:color w:val="auto"/>
                <w:kern w:val="0"/>
                <w:sz w:val="21"/>
                <w:szCs w:val="21"/>
              </w:rPr>
            </w:pPr>
          </w:p>
        </w:tc>
        <w:tc>
          <w:tcPr>
            <w:tcW w:w="2118"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主要负责人制定和实施月度个人安全行动计划，应组织或参加综合性隐患排查，并每季度至少参加1次班组安全活动，组织和参加企业级应急演练、履行岗位安全生产职责和重大危险源包保责任。</w:t>
            </w:r>
          </w:p>
        </w:tc>
        <w:tc>
          <w:tcPr>
            <w:tcW w:w="2424"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《化工过程安全管理导则》AQ∕T3034-2022第4.1.7条</w:t>
            </w:r>
          </w:p>
        </w:tc>
        <w:tc>
          <w:tcPr>
            <w:tcW w:w="1653"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查计划、班组安全活动记录</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5</w:t>
            </w:r>
          </w:p>
        </w:tc>
        <w:tc>
          <w:tcPr>
            <w:tcW w:w="564" w:type="dxa"/>
            <w:vMerge w:val="continue"/>
            <w:vAlign w:val="center"/>
          </w:tcPr>
          <w:p>
            <w:pPr>
              <w:jc w:val="center"/>
              <w:rPr>
                <w:rFonts w:ascii="Times New Roman" w:hAnsi="Times New Roman" w:eastAsia="宋体" w:cs="Times New Roman"/>
                <w:bCs/>
                <w:color w:val="auto"/>
                <w:kern w:val="0"/>
                <w:sz w:val="21"/>
                <w:szCs w:val="21"/>
              </w:rPr>
            </w:pPr>
          </w:p>
        </w:tc>
        <w:tc>
          <w:tcPr>
            <w:tcW w:w="2118"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企业应当按照国家规定提取与安全生产有关的费用，并保证安全生产所必须的资金投入。</w:t>
            </w:r>
            <w:r>
              <w:rPr>
                <w:rFonts w:ascii="Times New Roman" w:hAnsi="Times New Roman" w:eastAsia="宋体" w:cs="Times New Roman"/>
                <w:bCs/>
                <w:color w:val="auto"/>
                <w:kern w:val="0"/>
                <w:sz w:val="21"/>
                <w:szCs w:val="21"/>
              </w:rPr>
              <w:t>企业主要负责人应保证本单位安全生产投入的有效实施，应当加强安全生产费用管理，编制年度企业安全生产费用提取和使用计划，纳入企业财务预算，确保资金投入。</w:t>
            </w:r>
          </w:p>
        </w:tc>
        <w:tc>
          <w:tcPr>
            <w:tcW w:w="2424"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《企业安全生产费用提取和使用管理办法》（财资〔2022〕136号）第四十六条</w:t>
            </w:r>
          </w:p>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《危险化学品生产企业安全生产许可证实施办法》（国家安全生产监督管理总局令第41号）</w:t>
            </w:r>
          </w:p>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第十七条</w:t>
            </w:r>
          </w:p>
        </w:tc>
        <w:tc>
          <w:tcPr>
            <w:tcW w:w="1653" w:type="dxa"/>
            <w:vAlign w:val="center"/>
          </w:tcPr>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 xml:space="preserve">查阅企业是否制定安全生产费用管理制度。 </w:t>
            </w:r>
          </w:p>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查阅企业上年度生产经营产值核算出应提取的安全生产费用，企业安全生产费用台账（专款专用）核实企业是否按照要求建立专用账户、按时足额提取费用。</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6</w:t>
            </w:r>
          </w:p>
        </w:tc>
        <w:tc>
          <w:tcPr>
            <w:tcW w:w="564" w:type="dxa"/>
            <w:vMerge w:val="continue"/>
            <w:vAlign w:val="center"/>
          </w:tcPr>
          <w:p>
            <w:pPr>
              <w:jc w:val="center"/>
              <w:rPr>
                <w:rFonts w:ascii="Times New Roman" w:hAnsi="Times New Roman" w:eastAsia="宋体" w:cs="Times New Roman"/>
                <w:bCs/>
                <w:color w:val="auto"/>
                <w:kern w:val="0"/>
                <w:sz w:val="21"/>
                <w:szCs w:val="21"/>
              </w:rPr>
            </w:pPr>
          </w:p>
        </w:tc>
        <w:tc>
          <w:tcPr>
            <w:tcW w:w="2118"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企业应建立领导干部现场带班制度，副总工程师及以上领导干部要轮流带班值班，并建立带班值班记录。</w:t>
            </w:r>
          </w:p>
        </w:tc>
        <w:tc>
          <w:tcPr>
            <w:tcW w:w="2424"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国家安全监管总局 工业和信息化部关于危险化学品企业贯彻落实《国务院关于进一步加强企业安全生产工作的通知》的实施意见》（安监总管三〔2010〕186号）、《化工过程安全管理导则》AQ/T3034-2022附录A.1</w:t>
            </w:r>
          </w:p>
          <w:p>
            <w:pPr>
              <w:widowControl/>
              <w:spacing w:line="280" w:lineRule="exact"/>
              <w:textAlignment w:val="center"/>
              <w:rPr>
                <w:rFonts w:ascii="Times New Roman" w:hAnsi="Times New Roman" w:eastAsia="宋体" w:cs="Times New Roman"/>
                <w:bCs/>
                <w:color w:val="auto"/>
                <w:kern w:val="0"/>
                <w:sz w:val="21"/>
                <w:szCs w:val="21"/>
              </w:rPr>
            </w:pPr>
          </w:p>
        </w:tc>
        <w:tc>
          <w:tcPr>
            <w:tcW w:w="1653" w:type="dxa"/>
            <w:vAlign w:val="center"/>
          </w:tcPr>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查企业带班值班管理制度、带班值班表，查阅带班值班记录</w:t>
            </w:r>
          </w:p>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表，核实企业主要负责人、车间管理人员是否参加带班值班，核实带班值班中发现的问题是否得到跟踪和落实。</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7</w:t>
            </w:r>
          </w:p>
        </w:tc>
        <w:tc>
          <w:tcPr>
            <w:tcW w:w="564" w:type="dxa"/>
            <w:vMerge w:val="restart"/>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信息收集与处理</w:t>
            </w:r>
          </w:p>
        </w:tc>
        <w:tc>
          <w:tcPr>
            <w:tcW w:w="2118" w:type="dxa"/>
            <w:vAlign w:val="center"/>
          </w:tcPr>
          <w:p>
            <w:pPr>
              <w:spacing w:line="280" w:lineRule="exact"/>
              <w:rPr>
                <w:rFonts w:ascii="Times New Roman" w:hAnsi="Times New Roman" w:eastAsia="宋体" w:cs="Times New Roman"/>
                <w:bCs/>
                <w:color w:val="auto"/>
                <w:kern w:val="0"/>
                <w:sz w:val="21"/>
                <w:szCs w:val="21"/>
                <w:lang w:val="zh-CN" w:bidi="zh-CN"/>
              </w:rPr>
            </w:pPr>
            <w:r>
              <w:rPr>
                <w:rFonts w:ascii="Times New Roman" w:hAnsi="Times New Roman" w:eastAsia="宋体" w:cs="Times New Roman"/>
                <w:bCs/>
                <w:color w:val="auto"/>
                <w:kern w:val="0"/>
                <w:sz w:val="21"/>
                <w:szCs w:val="21"/>
              </w:rPr>
              <w:t>企业应制定安全生产信息管理制度，明确安全生产信息收集、整理、保存、利用、更新、培训等环节管理要求，明确安全生产信息管理主责部门、各环节管理责任部门。</w:t>
            </w:r>
          </w:p>
        </w:tc>
        <w:tc>
          <w:tcPr>
            <w:tcW w:w="2424" w:type="dxa"/>
            <w:vAlign w:val="center"/>
          </w:tcPr>
          <w:p>
            <w:pPr>
              <w:spacing w:line="280" w:lineRule="exact"/>
              <w:ind w:firstLine="140"/>
              <w:rPr>
                <w:rFonts w:ascii="Times New Roman" w:hAnsi="Times New Roman" w:eastAsia="宋体" w:cs="Times New Roman"/>
                <w:bCs/>
                <w:color w:val="auto"/>
                <w:kern w:val="0"/>
                <w:sz w:val="21"/>
                <w:szCs w:val="21"/>
                <w:lang w:val="zh-CN" w:bidi="zh-CN"/>
              </w:rPr>
            </w:pPr>
            <w:r>
              <w:rPr>
                <w:rFonts w:ascii="Times New Roman" w:hAnsi="Times New Roman" w:eastAsia="宋体" w:cs="Times New Roman"/>
                <w:bCs/>
                <w:color w:val="auto"/>
                <w:kern w:val="0"/>
                <w:sz w:val="21"/>
                <w:szCs w:val="21"/>
              </w:rPr>
              <w:t>《危险化学品企业安全风险隐患排查治理导则》（应急</w:t>
            </w:r>
            <w:r>
              <w:rPr>
                <w:rFonts w:ascii="Times New Roman" w:hAnsi="Times New Roman" w:eastAsia="宋体" w:cs="Times New Roman"/>
                <w:bCs/>
                <w:color w:val="auto"/>
                <w:kern w:val="0"/>
                <w:sz w:val="21"/>
                <w:szCs w:val="21"/>
                <w:lang w:val="zh-CN" w:bidi="zh-CN"/>
              </w:rPr>
              <w:t>〔201</w:t>
            </w:r>
            <w:r>
              <w:rPr>
                <w:rFonts w:ascii="Times New Roman" w:hAnsi="Times New Roman" w:eastAsia="宋体" w:cs="Times New Roman"/>
                <w:bCs/>
                <w:color w:val="auto"/>
                <w:kern w:val="0"/>
                <w:sz w:val="21"/>
                <w:szCs w:val="21"/>
                <w:lang w:bidi="zh-CN"/>
              </w:rPr>
              <w:t>9</w:t>
            </w:r>
            <w:r>
              <w:rPr>
                <w:rFonts w:ascii="Times New Roman" w:hAnsi="Times New Roman" w:eastAsia="宋体" w:cs="Times New Roman"/>
                <w:bCs/>
                <w:color w:val="auto"/>
                <w:kern w:val="0"/>
                <w:sz w:val="21"/>
                <w:szCs w:val="21"/>
                <w:lang w:val="zh-CN" w:bidi="zh-CN"/>
              </w:rPr>
              <w:t>〕</w:t>
            </w:r>
            <w:r>
              <w:rPr>
                <w:rFonts w:ascii="Times New Roman" w:hAnsi="Times New Roman" w:eastAsia="宋体" w:cs="Times New Roman"/>
                <w:bCs/>
                <w:color w:val="auto"/>
                <w:kern w:val="0"/>
                <w:sz w:val="21"/>
                <w:szCs w:val="21"/>
              </w:rPr>
              <w:t>78号）1安全基础管理安全风险隐患排查表（四）安全生产信息管理第1条</w:t>
            </w:r>
          </w:p>
        </w:tc>
        <w:tc>
          <w:tcPr>
            <w:tcW w:w="1653" w:type="dxa"/>
            <w:vAlign w:val="center"/>
          </w:tcPr>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查阅企业安全生产信息管理制度。制度内容是否明确了：安全生产信息的内容；是否明确了安全生产信息收集、整理、保存、利用、更新、培训等环节管理要求；是否明确了安全生产信息管理主责部门、各环节管理责任部门。</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8</w:t>
            </w:r>
          </w:p>
        </w:tc>
        <w:tc>
          <w:tcPr>
            <w:tcW w:w="564" w:type="dxa"/>
            <w:vMerge w:val="continue"/>
            <w:vAlign w:val="center"/>
          </w:tcPr>
          <w:p>
            <w:pPr>
              <w:jc w:val="center"/>
              <w:rPr>
                <w:rFonts w:ascii="Times New Roman" w:hAnsi="Times New Roman" w:eastAsia="宋体" w:cs="Times New Roman"/>
                <w:bCs/>
                <w:color w:val="auto"/>
                <w:kern w:val="0"/>
                <w:sz w:val="21"/>
                <w:szCs w:val="21"/>
              </w:rPr>
            </w:pPr>
          </w:p>
        </w:tc>
        <w:tc>
          <w:tcPr>
            <w:tcW w:w="2118" w:type="dxa"/>
            <w:vAlign w:val="center"/>
          </w:tcPr>
          <w:p>
            <w:pPr>
              <w:spacing w:line="280" w:lineRule="exact"/>
              <w:rPr>
                <w:rFonts w:ascii="Times New Roman" w:hAnsi="Times New Roman" w:eastAsia="宋体" w:cs="Times New Roman"/>
                <w:bCs/>
                <w:color w:val="auto"/>
                <w:kern w:val="0"/>
                <w:sz w:val="21"/>
                <w:szCs w:val="21"/>
                <w:lang w:val="zh-CN" w:bidi="zh-CN"/>
              </w:rPr>
            </w:pPr>
            <w:r>
              <w:rPr>
                <w:rFonts w:ascii="Times New Roman" w:hAnsi="Times New Roman" w:eastAsia="宋体" w:cs="Times New Roman"/>
                <w:bCs/>
                <w:color w:val="auto"/>
                <w:kern w:val="0"/>
                <w:sz w:val="21"/>
                <w:szCs w:val="21"/>
              </w:rPr>
              <w:t>化学品危险性信息、工艺技术信息、设备设施信息、行业经验、事故教训等安全生产信息内容应符合AQ/T3034有关要求。</w:t>
            </w:r>
          </w:p>
        </w:tc>
        <w:tc>
          <w:tcPr>
            <w:tcW w:w="2424" w:type="dxa"/>
            <w:vAlign w:val="center"/>
          </w:tcPr>
          <w:p>
            <w:pPr>
              <w:spacing w:line="280" w:lineRule="exact"/>
              <w:ind w:firstLine="140"/>
              <w:rPr>
                <w:rFonts w:ascii="Times New Roman" w:hAnsi="Times New Roman" w:eastAsia="宋体" w:cs="Times New Roman"/>
                <w:bCs/>
                <w:color w:val="auto"/>
                <w:kern w:val="0"/>
                <w:sz w:val="21"/>
                <w:szCs w:val="21"/>
                <w:lang w:val="zh-CN" w:bidi="zh-CN"/>
              </w:rPr>
            </w:pPr>
            <w:r>
              <w:rPr>
                <w:rFonts w:ascii="Times New Roman" w:hAnsi="Times New Roman" w:eastAsia="宋体" w:cs="Times New Roman"/>
                <w:bCs/>
                <w:color w:val="auto"/>
                <w:kern w:val="0"/>
                <w:sz w:val="21"/>
                <w:szCs w:val="21"/>
              </w:rPr>
              <w:t>《危险化学品企业安全风险隐患排查治理导则》（应急</w:t>
            </w:r>
            <w:r>
              <w:rPr>
                <w:rFonts w:ascii="Times New Roman" w:hAnsi="Times New Roman" w:eastAsia="宋体" w:cs="Times New Roman"/>
                <w:bCs/>
                <w:color w:val="auto"/>
                <w:kern w:val="0"/>
                <w:sz w:val="21"/>
                <w:szCs w:val="21"/>
                <w:lang w:val="zh-CN" w:bidi="zh-CN"/>
              </w:rPr>
              <w:t>〔201</w:t>
            </w:r>
            <w:r>
              <w:rPr>
                <w:rFonts w:ascii="Times New Roman" w:hAnsi="Times New Roman" w:eastAsia="宋体" w:cs="Times New Roman"/>
                <w:bCs/>
                <w:color w:val="auto"/>
                <w:kern w:val="0"/>
                <w:sz w:val="21"/>
                <w:szCs w:val="21"/>
                <w:lang w:bidi="zh-CN"/>
              </w:rPr>
              <w:t>9</w:t>
            </w:r>
            <w:r>
              <w:rPr>
                <w:rFonts w:ascii="Times New Roman" w:hAnsi="Times New Roman" w:eastAsia="宋体" w:cs="Times New Roman"/>
                <w:bCs/>
                <w:color w:val="auto"/>
                <w:kern w:val="0"/>
                <w:sz w:val="21"/>
                <w:szCs w:val="21"/>
                <w:lang w:val="zh-CN" w:bidi="zh-CN"/>
              </w:rPr>
              <w:t>〕</w:t>
            </w:r>
            <w:r>
              <w:rPr>
                <w:rFonts w:ascii="Times New Roman" w:hAnsi="Times New Roman" w:eastAsia="宋体" w:cs="Times New Roman"/>
                <w:bCs/>
                <w:color w:val="auto"/>
                <w:kern w:val="0"/>
                <w:sz w:val="21"/>
                <w:szCs w:val="21"/>
              </w:rPr>
              <w:t>78号）1安全基础管理安全风险隐患排查表（四）安全生产信息管理第2条</w:t>
            </w:r>
          </w:p>
        </w:tc>
        <w:tc>
          <w:tcPr>
            <w:tcW w:w="1653" w:type="dxa"/>
            <w:vAlign w:val="center"/>
          </w:tcPr>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化学品危险性信息、工艺技术信息、设备设施信息、行业经验、事故教训等安全生产信息是否符合导则要求并与企业实际情况一致。</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9</w:t>
            </w:r>
          </w:p>
        </w:tc>
        <w:tc>
          <w:tcPr>
            <w:tcW w:w="564" w:type="dxa"/>
            <w:vMerge w:val="continue"/>
            <w:vAlign w:val="center"/>
          </w:tcPr>
          <w:p>
            <w:pPr>
              <w:jc w:val="center"/>
              <w:rPr>
                <w:rFonts w:ascii="Times New Roman" w:hAnsi="Times New Roman" w:eastAsia="宋体" w:cs="Times New Roman"/>
                <w:bCs/>
                <w:color w:val="auto"/>
                <w:kern w:val="0"/>
                <w:sz w:val="21"/>
                <w:szCs w:val="21"/>
              </w:rPr>
            </w:pPr>
          </w:p>
        </w:tc>
        <w:tc>
          <w:tcPr>
            <w:tcW w:w="2118" w:type="dxa"/>
            <w:vAlign w:val="center"/>
          </w:tcPr>
          <w:p>
            <w:pPr>
              <w:spacing w:line="280" w:lineRule="exact"/>
              <w:rPr>
                <w:rFonts w:ascii="Times New Roman" w:hAnsi="Times New Roman" w:eastAsia="宋体" w:cs="Times New Roman"/>
                <w:bCs/>
                <w:color w:val="auto"/>
                <w:kern w:val="0"/>
                <w:sz w:val="21"/>
                <w:szCs w:val="21"/>
                <w:lang w:val="zh-CN" w:bidi="zh-CN"/>
              </w:rPr>
            </w:pPr>
            <w:r>
              <w:rPr>
                <w:rFonts w:ascii="Times New Roman" w:hAnsi="Times New Roman" w:eastAsia="宋体" w:cs="Times New Roman"/>
                <w:bCs/>
                <w:color w:val="auto"/>
                <w:kern w:val="0"/>
                <w:sz w:val="21"/>
                <w:szCs w:val="21"/>
              </w:rPr>
              <w:t>企业应及时获取危险化学品安全技术说明书和安全标签。</w:t>
            </w:r>
          </w:p>
        </w:tc>
        <w:tc>
          <w:tcPr>
            <w:tcW w:w="2424" w:type="dxa"/>
            <w:vAlign w:val="center"/>
          </w:tcPr>
          <w:p>
            <w:pPr>
              <w:spacing w:line="280" w:lineRule="exact"/>
              <w:ind w:firstLine="140"/>
              <w:rPr>
                <w:rFonts w:ascii="Times New Roman" w:hAnsi="Times New Roman" w:eastAsia="宋体" w:cs="Times New Roman"/>
                <w:bCs/>
                <w:color w:val="auto"/>
                <w:kern w:val="0"/>
                <w:sz w:val="21"/>
                <w:szCs w:val="21"/>
                <w:lang w:val="zh-CN" w:bidi="zh-CN"/>
              </w:rPr>
            </w:pPr>
            <w:r>
              <w:rPr>
                <w:rFonts w:ascii="Times New Roman" w:hAnsi="Times New Roman" w:eastAsia="宋体" w:cs="Times New Roman"/>
                <w:bCs/>
                <w:color w:val="auto"/>
                <w:kern w:val="0"/>
                <w:sz w:val="21"/>
                <w:szCs w:val="21"/>
              </w:rPr>
              <w:t>《危险化学品企业安全风险隐患排查治理导则》（应急</w:t>
            </w:r>
            <w:r>
              <w:rPr>
                <w:rFonts w:ascii="Times New Roman" w:hAnsi="Times New Roman" w:eastAsia="宋体" w:cs="Times New Roman"/>
                <w:bCs/>
                <w:color w:val="auto"/>
                <w:kern w:val="0"/>
                <w:sz w:val="21"/>
                <w:szCs w:val="21"/>
                <w:lang w:val="zh-CN" w:bidi="zh-CN"/>
              </w:rPr>
              <w:t>〔201</w:t>
            </w:r>
            <w:r>
              <w:rPr>
                <w:rFonts w:ascii="Times New Roman" w:hAnsi="Times New Roman" w:eastAsia="宋体" w:cs="Times New Roman"/>
                <w:bCs/>
                <w:color w:val="auto"/>
                <w:kern w:val="0"/>
                <w:sz w:val="21"/>
                <w:szCs w:val="21"/>
                <w:lang w:bidi="zh-CN"/>
              </w:rPr>
              <w:t>9</w:t>
            </w:r>
            <w:r>
              <w:rPr>
                <w:rFonts w:ascii="Times New Roman" w:hAnsi="Times New Roman" w:eastAsia="宋体" w:cs="Times New Roman"/>
                <w:bCs/>
                <w:color w:val="auto"/>
                <w:kern w:val="0"/>
                <w:sz w:val="21"/>
                <w:szCs w:val="21"/>
                <w:lang w:val="zh-CN" w:bidi="zh-CN"/>
              </w:rPr>
              <w:t>〕</w:t>
            </w:r>
            <w:r>
              <w:rPr>
                <w:rFonts w:ascii="Times New Roman" w:hAnsi="Times New Roman" w:eastAsia="宋体" w:cs="Times New Roman"/>
                <w:bCs/>
                <w:color w:val="auto"/>
                <w:kern w:val="0"/>
                <w:sz w:val="21"/>
                <w:szCs w:val="21"/>
              </w:rPr>
              <w:t>78号）1安全基础管理安全风险隐患排查表（四）安全生产信息管理第6条</w:t>
            </w:r>
          </w:p>
        </w:tc>
        <w:tc>
          <w:tcPr>
            <w:tcW w:w="1653" w:type="dxa"/>
            <w:vAlign w:val="center"/>
          </w:tcPr>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企业采购的危险化学品应向销售方索取危险化学品“一书一签”。企业销售的危险化学品应向购买方提供危险化学品“一书一签”。“一书一签”的内容和形式应满足标准要求。</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1"/>
                <w:szCs w:val="21"/>
              </w:rPr>
              <w:t>10</w:t>
            </w:r>
          </w:p>
        </w:tc>
        <w:tc>
          <w:tcPr>
            <w:tcW w:w="564" w:type="dxa"/>
            <w:vMerge w:val="continue"/>
            <w:vAlign w:val="center"/>
          </w:tcPr>
          <w:p>
            <w:pPr>
              <w:jc w:val="center"/>
              <w:rPr>
                <w:rFonts w:ascii="Times New Roman" w:hAnsi="Times New Roman" w:eastAsia="宋体" w:cs="Times New Roman"/>
                <w:bCs/>
                <w:color w:val="auto"/>
                <w:kern w:val="0"/>
                <w:sz w:val="20"/>
                <w:szCs w:val="21"/>
              </w:rPr>
            </w:pPr>
          </w:p>
        </w:tc>
        <w:tc>
          <w:tcPr>
            <w:tcW w:w="2118" w:type="dxa"/>
            <w:vAlign w:val="center"/>
          </w:tcPr>
          <w:p>
            <w:pPr>
              <w:spacing w:line="280" w:lineRule="exact"/>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1"/>
                <w:szCs w:val="21"/>
              </w:rPr>
              <w:t>企业应对相关岗位人员进行安全生产信息培训，以掌握本岗位有关的安全生产信息。</w:t>
            </w:r>
          </w:p>
        </w:tc>
        <w:tc>
          <w:tcPr>
            <w:tcW w:w="2424" w:type="dxa"/>
            <w:vAlign w:val="center"/>
          </w:tcPr>
          <w:p>
            <w:pPr>
              <w:spacing w:line="280" w:lineRule="exact"/>
              <w:ind w:firstLine="140"/>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1"/>
                <w:szCs w:val="21"/>
              </w:rPr>
              <w:t>《危险化学品企业安全风险隐患排查治理导则》（应急</w:t>
            </w:r>
            <w:r>
              <w:rPr>
                <w:rFonts w:ascii="Times New Roman" w:hAnsi="Times New Roman" w:eastAsia="宋体" w:cs="Times New Roman"/>
                <w:bCs/>
                <w:color w:val="auto"/>
                <w:kern w:val="0"/>
                <w:sz w:val="21"/>
                <w:szCs w:val="21"/>
                <w:lang w:val="zh-CN" w:bidi="zh-CN"/>
              </w:rPr>
              <w:t>〔201</w:t>
            </w:r>
            <w:r>
              <w:rPr>
                <w:rFonts w:ascii="Times New Roman" w:hAnsi="Times New Roman" w:eastAsia="宋体" w:cs="Times New Roman"/>
                <w:bCs/>
                <w:color w:val="auto"/>
                <w:kern w:val="0"/>
                <w:sz w:val="21"/>
                <w:szCs w:val="21"/>
                <w:lang w:bidi="zh-CN"/>
              </w:rPr>
              <w:t>9</w:t>
            </w:r>
            <w:r>
              <w:rPr>
                <w:rFonts w:ascii="Times New Roman" w:hAnsi="Times New Roman" w:eastAsia="宋体" w:cs="Times New Roman"/>
                <w:bCs/>
                <w:color w:val="auto"/>
                <w:kern w:val="0"/>
                <w:sz w:val="21"/>
                <w:szCs w:val="21"/>
                <w:lang w:val="zh-CN" w:bidi="zh-CN"/>
              </w:rPr>
              <w:t>〕</w:t>
            </w:r>
            <w:r>
              <w:rPr>
                <w:rFonts w:ascii="Times New Roman" w:hAnsi="Times New Roman" w:eastAsia="宋体" w:cs="Times New Roman"/>
                <w:bCs/>
                <w:color w:val="auto"/>
                <w:kern w:val="0"/>
                <w:sz w:val="21"/>
                <w:szCs w:val="21"/>
              </w:rPr>
              <w:t>78号）1安全基础管理安全风险隐患排查表（四）安全生产信息管理第8条</w:t>
            </w:r>
          </w:p>
        </w:tc>
        <w:tc>
          <w:tcPr>
            <w:tcW w:w="1653" w:type="dxa"/>
            <w:vAlign w:val="center"/>
          </w:tcPr>
          <w:p>
            <w:pPr>
              <w:jc w:val="left"/>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1"/>
                <w:szCs w:val="21"/>
              </w:rPr>
              <w:t>企业是否对安全生产信息开展了有关培训，现场访谈岗位员工是否掌握本岗位有关基本的安全生产信息，如本岗位危险化学品特性、应急处置措施等。</w:t>
            </w:r>
          </w:p>
        </w:tc>
        <w:tc>
          <w:tcPr>
            <w:tcW w:w="1943" w:type="dxa"/>
          </w:tcPr>
          <w:p>
            <w:pPr>
              <w:jc w:val="center"/>
              <w:rPr>
                <w:rFonts w:ascii="Times New Roman" w:hAnsi="Times New Roman" w:eastAsia="宋体" w:cs="Times New Roman"/>
                <w:bCs/>
                <w:color w:val="auto"/>
                <w:kern w:val="0"/>
                <w:sz w:val="20"/>
                <w:szCs w:val="21"/>
              </w:rPr>
            </w:pPr>
          </w:p>
        </w:tc>
        <w:tc>
          <w:tcPr>
            <w:tcW w:w="1805" w:type="dxa"/>
          </w:tcPr>
          <w:p>
            <w:pPr>
              <w:jc w:val="center"/>
              <w:rPr>
                <w:rFonts w:ascii="Times New Roman" w:hAnsi="Times New Roman" w:eastAsia="宋体" w:cs="Times New Roman"/>
                <w:bCs/>
                <w:color w:val="auto"/>
                <w:kern w:val="0"/>
                <w:sz w:val="20"/>
                <w:szCs w:val="21"/>
              </w:rPr>
            </w:pPr>
          </w:p>
        </w:tc>
        <w:tc>
          <w:tcPr>
            <w:tcW w:w="2081" w:type="dxa"/>
          </w:tcPr>
          <w:p>
            <w:pPr>
              <w:jc w:val="center"/>
              <w:rPr>
                <w:rFonts w:ascii="Times New Roman" w:hAnsi="Times New Roman" w:eastAsia="宋体" w:cs="Times New Roman"/>
                <w:bCs/>
                <w:color w:val="auto"/>
                <w:kern w:val="0"/>
                <w:sz w:val="20"/>
                <w:szCs w:val="21"/>
              </w:rPr>
            </w:pPr>
          </w:p>
        </w:tc>
        <w:tc>
          <w:tcPr>
            <w:tcW w:w="702" w:type="dxa"/>
          </w:tcPr>
          <w:p>
            <w:pPr>
              <w:jc w:val="center"/>
              <w:rPr>
                <w:rFonts w:ascii="Times New Roman" w:hAnsi="Times New Roman" w:eastAsia="宋体" w:cs="Times New Roman"/>
                <w:bCs/>
                <w:color w:val="auto"/>
                <w:kern w:val="0"/>
                <w:sz w:val="20"/>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11</w:t>
            </w:r>
          </w:p>
        </w:tc>
        <w:tc>
          <w:tcPr>
            <w:tcW w:w="564" w:type="dxa"/>
            <w:vMerge w:val="continue"/>
            <w:vAlign w:val="center"/>
          </w:tcPr>
          <w:p>
            <w:pPr>
              <w:jc w:val="center"/>
              <w:rPr>
                <w:rFonts w:ascii="Times New Roman" w:hAnsi="Times New Roman" w:eastAsia="宋体" w:cs="Times New Roman"/>
                <w:bCs/>
                <w:color w:val="auto"/>
                <w:kern w:val="0"/>
                <w:sz w:val="21"/>
                <w:szCs w:val="21"/>
              </w:rPr>
            </w:pPr>
          </w:p>
        </w:tc>
        <w:tc>
          <w:tcPr>
            <w:tcW w:w="2118" w:type="dxa"/>
            <w:vAlign w:val="center"/>
          </w:tcPr>
          <w:p>
            <w:pPr>
              <w:shd w:val="clear" w:color="auto" w:fill="FFFFFF"/>
              <w:spacing w:line="280" w:lineRule="exact"/>
              <w:rPr>
                <w:rFonts w:ascii="Times New Roman" w:hAnsi="Times New Roman" w:eastAsia="宋体" w:cs="Times New Roman"/>
                <w:bCs/>
                <w:color w:val="auto"/>
                <w:kern w:val="0"/>
                <w:sz w:val="21"/>
                <w:szCs w:val="21"/>
                <w:lang w:val="zh-CN" w:bidi="zh-CN"/>
              </w:rPr>
            </w:pPr>
            <w:r>
              <w:rPr>
                <w:rFonts w:ascii="Times New Roman" w:hAnsi="Times New Roman" w:eastAsia="宋体" w:cs="Times New Roman"/>
                <w:bCs/>
                <w:color w:val="auto"/>
                <w:kern w:val="0"/>
                <w:sz w:val="21"/>
                <w:szCs w:val="21"/>
                <w:lang w:val="zh-CN" w:bidi="zh-CN"/>
              </w:rPr>
              <w:t xml:space="preserve">企业应建立识别和获取适用的安全生产法律法规、标准及政府其他有关要求的管理制度，明确责任部门、识别、获取、评价等要求。 </w:t>
            </w:r>
          </w:p>
        </w:tc>
        <w:tc>
          <w:tcPr>
            <w:tcW w:w="2424" w:type="dxa"/>
            <w:vAlign w:val="center"/>
          </w:tcPr>
          <w:p>
            <w:pPr>
              <w:shd w:val="clear" w:color="auto" w:fill="FFFFFF"/>
              <w:spacing w:line="280" w:lineRule="exact"/>
              <w:ind w:firstLine="140"/>
              <w:rPr>
                <w:rFonts w:ascii="Times New Roman" w:hAnsi="Times New Roman" w:eastAsia="宋体" w:cs="Times New Roman"/>
                <w:bCs/>
                <w:color w:val="auto"/>
                <w:kern w:val="0"/>
                <w:sz w:val="21"/>
                <w:szCs w:val="21"/>
                <w:lang w:val="zh-CN" w:bidi="zh-CN"/>
              </w:rPr>
            </w:pPr>
            <w:r>
              <w:rPr>
                <w:rFonts w:ascii="Times New Roman" w:hAnsi="Times New Roman" w:eastAsia="宋体" w:cs="Times New Roman"/>
                <w:bCs/>
                <w:color w:val="auto"/>
                <w:kern w:val="0"/>
                <w:sz w:val="21"/>
                <w:szCs w:val="21"/>
                <w:lang w:val="zh-CN" w:bidi="zh-CN"/>
              </w:rPr>
              <w:t>《危险化学品企业安全生产标准化通用规范》（GB 45673—2025）5.3.2</w:t>
            </w:r>
          </w:p>
        </w:tc>
        <w:tc>
          <w:tcPr>
            <w:tcW w:w="1653" w:type="dxa"/>
            <w:vAlign w:val="center"/>
          </w:tcPr>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企业是否建立管理制度，明确建立识别和获取适用的安全生产法律法规、标准及政府其他有关要求的责任部门、识别、获取、评价等要求；制度运行相关过程记录。</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12</w:t>
            </w:r>
          </w:p>
        </w:tc>
        <w:tc>
          <w:tcPr>
            <w:tcW w:w="564" w:type="dxa"/>
            <w:vMerge w:val="restart"/>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安全生产合法合规管理</w:t>
            </w:r>
          </w:p>
        </w:tc>
        <w:tc>
          <w:tcPr>
            <w:tcW w:w="2118"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危险化学品生产企业应取得安全生产许可证。安全生产许可证应在有效期内，生产、经营（有储存），使用危险化学品需经许可并按照许可范围生产经营。</w:t>
            </w:r>
          </w:p>
        </w:tc>
        <w:tc>
          <w:tcPr>
            <w:tcW w:w="2424"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《危险化学品生产企业安全生产许可证实施办法》（国家安全生产监督管理总局令第41号）</w:t>
            </w:r>
          </w:p>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《化工和危险化学品生产经营企业重大生产安全事故隐患判定准则》（AQ 3067-2026）第5.7.1条</w:t>
            </w:r>
          </w:p>
        </w:tc>
        <w:tc>
          <w:tcPr>
            <w:tcW w:w="1653"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现场核查</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keepNext/>
              <w:keepLines/>
              <w:widowControl/>
              <w:numPr>
                <w:ilvl w:val="1"/>
                <w:numId w:val="0"/>
              </w:numPr>
              <w:shd w:val="clear" w:color="auto" w:fill="FFFFFF"/>
              <w:tabs>
                <w:tab w:val="left" w:pos="851"/>
              </w:tabs>
              <w:spacing w:before="120" w:after="120" w:line="280" w:lineRule="exact"/>
              <w:ind w:left="573" w:hanging="573" w:hangingChars="273"/>
              <w:jc w:val="center"/>
              <w:rPr>
                <w:rFonts w:ascii="Times New Roman" w:hAnsi="Times New Roman" w:eastAsia="宋体" w:cs="Times New Roman"/>
                <w:bCs/>
                <w:snapToGrid w:val="0"/>
                <w:color w:val="auto"/>
                <w:kern w:val="0"/>
                <w:sz w:val="21"/>
                <w:szCs w:val="21"/>
              </w:rPr>
            </w:pPr>
            <w:r>
              <w:rPr>
                <w:rFonts w:ascii="Times New Roman" w:hAnsi="Times New Roman" w:eastAsia="宋体" w:cs="Times New Roman"/>
                <w:bCs/>
                <w:snapToGrid w:val="0"/>
                <w:color w:val="auto"/>
                <w:kern w:val="0"/>
                <w:sz w:val="21"/>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13</w:t>
            </w:r>
          </w:p>
        </w:tc>
        <w:tc>
          <w:tcPr>
            <w:tcW w:w="564" w:type="dxa"/>
            <w:vMerge w:val="continue"/>
            <w:vAlign w:val="center"/>
          </w:tcPr>
          <w:p>
            <w:pPr>
              <w:jc w:val="center"/>
              <w:rPr>
                <w:rFonts w:ascii="Times New Roman" w:hAnsi="Times New Roman" w:eastAsia="宋体" w:cs="Times New Roman"/>
                <w:bCs/>
                <w:color w:val="auto"/>
                <w:kern w:val="0"/>
                <w:sz w:val="21"/>
                <w:szCs w:val="21"/>
              </w:rPr>
            </w:pPr>
          </w:p>
        </w:tc>
        <w:tc>
          <w:tcPr>
            <w:tcW w:w="2118"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危险化学品生产企业需对物理危险性不明的化学品进行物理危险性鉴定与分类。</w:t>
            </w:r>
          </w:p>
        </w:tc>
        <w:tc>
          <w:tcPr>
            <w:tcW w:w="2424"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《危险化学品登记管理办法》（国家安全生产监督管理总局令第53号）</w:t>
            </w:r>
          </w:p>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《化工和危险化学品生产经营企业重大生产安全事故隐患判定准则》（AQ 3067-2026）第5.7.2条</w:t>
            </w:r>
          </w:p>
        </w:tc>
        <w:tc>
          <w:tcPr>
            <w:tcW w:w="1653"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查评价报告、现场</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14</w:t>
            </w:r>
          </w:p>
        </w:tc>
        <w:tc>
          <w:tcPr>
            <w:tcW w:w="564" w:type="dxa"/>
            <w:vMerge w:val="continue"/>
            <w:vAlign w:val="center"/>
          </w:tcPr>
          <w:p>
            <w:pPr>
              <w:jc w:val="center"/>
              <w:rPr>
                <w:rFonts w:ascii="Times New Roman" w:hAnsi="Times New Roman" w:eastAsia="宋体" w:cs="Times New Roman"/>
                <w:bCs/>
                <w:color w:val="auto"/>
                <w:kern w:val="0"/>
                <w:sz w:val="21"/>
                <w:szCs w:val="21"/>
              </w:rPr>
            </w:pPr>
          </w:p>
        </w:tc>
        <w:tc>
          <w:tcPr>
            <w:tcW w:w="2118"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危险化学品重大危险源应按规定报应急管理部门备案。</w:t>
            </w:r>
            <w:r>
              <w:rPr>
                <w:rFonts w:ascii="Times New Roman" w:hAnsi="Times New Roman" w:eastAsia="宋体" w:cs="Times New Roman"/>
                <w:bCs/>
                <w:color w:val="auto"/>
                <w:kern w:val="0"/>
                <w:sz w:val="21"/>
                <w:szCs w:val="21"/>
              </w:rPr>
              <w:t>企业应当依法进行危险化学品登记，为用户提供化学品安全技术说明书，并在危险化学品包装（包括外包装件）上粘贴或者拴挂与包装内危险化学品相符的化学品安全标签。</w:t>
            </w:r>
          </w:p>
        </w:tc>
        <w:tc>
          <w:tcPr>
            <w:tcW w:w="2424"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《危险化学品重大危险源安全监督管理办法》（国家安全生产监督管理总局令第40号）第二十三条</w:t>
            </w:r>
          </w:p>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《危险化学品生产企业安全生产许可证实施办法》（国家安全生产监督管理总局令第41号）第二十条</w:t>
            </w:r>
          </w:p>
        </w:tc>
        <w:tc>
          <w:tcPr>
            <w:tcW w:w="1653"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查备案资料、现场</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15</w:t>
            </w:r>
          </w:p>
        </w:tc>
        <w:tc>
          <w:tcPr>
            <w:tcW w:w="564" w:type="dxa"/>
            <w:vMerge w:val="continue"/>
            <w:vAlign w:val="center"/>
          </w:tcPr>
          <w:p>
            <w:pPr>
              <w:jc w:val="center"/>
              <w:rPr>
                <w:rFonts w:ascii="Times New Roman" w:hAnsi="Times New Roman" w:eastAsia="宋体" w:cs="Times New Roman"/>
                <w:bCs/>
                <w:color w:val="auto"/>
                <w:kern w:val="0"/>
                <w:sz w:val="21"/>
                <w:szCs w:val="21"/>
              </w:rPr>
            </w:pPr>
          </w:p>
        </w:tc>
        <w:tc>
          <w:tcPr>
            <w:tcW w:w="2118"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生产安全事故应急预案应按规定报应急管理部门备案。</w:t>
            </w:r>
          </w:p>
        </w:tc>
        <w:tc>
          <w:tcPr>
            <w:tcW w:w="2424"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《生产安全事故应急预案管理办法》第二十六条</w:t>
            </w:r>
          </w:p>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《危险化学品生产企业安全生产许可证实施办法》（国家安全生产监督管理总局令第41号）第二十一条</w:t>
            </w:r>
          </w:p>
        </w:tc>
        <w:tc>
          <w:tcPr>
            <w:tcW w:w="1653"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查备案资料</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16</w:t>
            </w:r>
          </w:p>
        </w:tc>
        <w:tc>
          <w:tcPr>
            <w:tcW w:w="564" w:type="dxa"/>
            <w:vMerge w:val="continue"/>
            <w:vAlign w:val="center"/>
          </w:tcPr>
          <w:p>
            <w:pPr>
              <w:jc w:val="center"/>
              <w:rPr>
                <w:rFonts w:ascii="Times New Roman" w:hAnsi="Times New Roman" w:eastAsia="宋体" w:cs="Times New Roman"/>
                <w:bCs/>
                <w:color w:val="auto"/>
                <w:kern w:val="0"/>
                <w:sz w:val="21"/>
                <w:szCs w:val="21"/>
              </w:rPr>
            </w:pPr>
          </w:p>
        </w:tc>
        <w:tc>
          <w:tcPr>
            <w:tcW w:w="2118"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企业应保证安全设施、设备的正常使用，不得关闭、破坏直接关系生产安全的监控、报警、防护、救生设备、设施，或者篡改、隐瞒、销毁其相关数据、信息。</w:t>
            </w:r>
          </w:p>
        </w:tc>
        <w:tc>
          <w:tcPr>
            <w:tcW w:w="2424"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《中华人民共和国安全生产法》第三十六条</w:t>
            </w:r>
          </w:p>
        </w:tc>
        <w:tc>
          <w:tcPr>
            <w:tcW w:w="1653"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查台账、现场</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B级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17</w:t>
            </w:r>
          </w:p>
        </w:tc>
        <w:tc>
          <w:tcPr>
            <w:tcW w:w="564" w:type="dxa"/>
            <w:vMerge w:val="restart"/>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.安全生产责任</w:t>
            </w:r>
          </w:p>
        </w:tc>
        <w:tc>
          <w:tcPr>
            <w:tcW w:w="2118"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企业应建立与岗位匹配的全员安全生产责任制和生产安全事故隐患排查治理制度，明确从主要负责人到一线从业人员（含劳务派遣人员、实习学生等）等所有岗位的安全生产责任制和部门的安全生产责任制，应当将安全风险辨识、评估和管控工作纳入全员安全生产责任制。岗位员工应熟悉掌握本岗位安全生产责任制。</w:t>
            </w:r>
          </w:p>
        </w:tc>
        <w:tc>
          <w:tcPr>
            <w:tcW w:w="2424"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《国务院安委会办公室关于全面加强企业全员安全生产责任制工作的通知》（安委办〔2017〕29号）第三条</w:t>
            </w:r>
          </w:p>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《化工和危险化学品生产经营企业重大生产安全事故隐患判定准则》（AQ 3067-2026）第5.7.6条</w:t>
            </w:r>
          </w:p>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《危险化学品生产企业安全生产许可证实施办法》（国家安全生产监督管理总局令第41号）第十三条</w:t>
            </w:r>
          </w:p>
        </w:tc>
        <w:tc>
          <w:tcPr>
            <w:tcW w:w="1653" w:type="dxa"/>
            <w:vAlign w:val="center"/>
          </w:tcPr>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查阅企业安全责任制、企业安全管理网络图、组织架构图、职务说明书进行对照核实各级管理人员与员工应核实责任制是否做到了所有岗位全覆盖（横到边、竖到底）</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18</w:t>
            </w:r>
          </w:p>
        </w:tc>
        <w:tc>
          <w:tcPr>
            <w:tcW w:w="564" w:type="dxa"/>
            <w:vMerge w:val="continue"/>
            <w:vAlign w:val="center"/>
          </w:tcPr>
          <w:p>
            <w:pPr>
              <w:jc w:val="center"/>
              <w:rPr>
                <w:rFonts w:ascii="Times New Roman" w:hAnsi="Times New Roman" w:eastAsia="宋体" w:cs="Times New Roman"/>
                <w:bCs/>
                <w:color w:val="auto"/>
                <w:kern w:val="0"/>
                <w:sz w:val="21"/>
                <w:szCs w:val="21"/>
              </w:rPr>
            </w:pPr>
          </w:p>
        </w:tc>
        <w:tc>
          <w:tcPr>
            <w:tcW w:w="2118"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企业应当建立安全生产责任制考核制度，明确责任范围、考核标准和考核指标，实施考核奖惩。</w:t>
            </w:r>
          </w:p>
        </w:tc>
        <w:tc>
          <w:tcPr>
            <w:tcW w:w="2424"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《国务院安委会办公室关于全面加强企业全员安全生产责任制工作的通知》（安委办〔2017〕29号）第六条</w:t>
            </w:r>
          </w:p>
        </w:tc>
        <w:tc>
          <w:tcPr>
            <w:tcW w:w="1653" w:type="dxa"/>
            <w:vAlign w:val="center"/>
          </w:tcPr>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查阅安全生产责任制，是否包含了考核要求</w:t>
            </w:r>
          </w:p>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（或包含在其他有关文件中）；查阅企业安全责任制的考核记录。</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B级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19</w:t>
            </w:r>
          </w:p>
        </w:tc>
        <w:tc>
          <w:tcPr>
            <w:tcW w:w="564" w:type="dxa"/>
            <w:vMerge w:val="continue"/>
            <w:vAlign w:val="center"/>
          </w:tcPr>
          <w:p>
            <w:pPr>
              <w:jc w:val="center"/>
              <w:rPr>
                <w:rFonts w:ascii="Times New Roman" w:hAnsi="Times New Roman" w:eastAsia="宋体" w:cs="Times New Roman"/>
                <w:bCs/>
                <w:color w:val="auto"/>
                <w:kern w:val="0"/>
                <w:sz w:val="21"/>
                <w:szCs w:val="21"/>
              </w:rPr>
            </w:pPr>
          </w:p>
        </w:tc>
        <w:tc>
          <w:tcPr>
            <w:tcW w:w="2118"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企业应当依法参加工伤保险，为从业人员缴纳保险费。</w:t>
            </w:r>
          </w:p>
        </w:tc>
        <w:tc>
          <w:tcPr>
            <w:tcW w:w="2424"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《危险化学品生产企业安全生产许可证实施办法》（国家安全生产监督管理总局令第41号）第十八条</w:t>
            </w:r>
          </w:p>
        </w:tc>
        <w:tc>
          <w:tcPr>
            <w:tcW w:w="1653"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查保险记录</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20</w:t>
            </w:r>
          </w:p>
        </w:tc>
        <w:tc>
          <w:tcPr>
            <w:tcW w:w="564"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安全规章制度</w:t>
            </w:r>
          </w:p>
        </w:tc>
        <w:tc>
          <w:tcPr>
            <w:tcW w:w="2118"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企业应建立健全</w:t>
            </w:r>
            <w:bookmarkStart w:id="90" w:name="OLE_LINK79"/>
            <w:r>
              <w:rPr>
                <w:rFonts w:ascii="Times New Roman" w:hAnsi="Times New Roman" w:eastAsia="宋体" w:cs="Times New Roman"/>
                <w:bCs/>
                <w:color w:val="auto"/>
                <w:kern w:val="0"/>
                <w:sz w:val="21"/>
                <w:szCs w:val="21"/>
              </w:rPr>
              <w:t>安全生产规章</w:t>
            </w:r>
            <w:bookmarkEnd w:id="90"/>
            <w:r>
              <w:rPr>
                <w:rFonts w:ascii="Times New Roman" w:hAnsi="Times New Roman" w:eastAsia="宋体" w:cs="Times New Roman"/>
                <w:bCs/>
                <w:color w:val="auto"/>
                <w:kern w:val="0"/>
                <w:sz w:val="21"/>
                <w:szCs w:val="21"/>
              </w:rPr>
              <w:t>制度。安全生产管理制度应明确管理程序、责任部门、管理职责和检查考核要求，应符合有关安全生产法律法规的要求。企业应当根据化工工艺、装置、设施等实际情况，制定完善下列主要安全生产规章制度：（一）安全生产例会等安全生产会议制度；（二）安全投入保障制度；（三）安全生产奖惩制度；（四）安全培训教育制度；（五）领导干部轮流现场带班制度；（六）特种作业人员管理制度；（七）安全检查和隐患排查治理制度；（八）重大危险源评估和安全管理制度；（九）变更管理制度；（十）应急管理制度；（十一）生产安全事故或者重大事件管理制度；（十二）防火、防爆、防中毒、防泄漏管理制度；（十三）工艺、设备、电气仪表、公用工程安全管理制度；（十四）动火、进入受限空间、吊装、高处、盲板抽堵、动土、断路、设备检维修等作业安全管理制度；（十五）危险化学品安全管理制度；（十六）职业健康相关管理制度；（十七）劳动防护用品使用维护管理制度；（十八）承包商管理制度；（十九）安全管理制度及操作规程定期修订制度。</w:t>
            </w:r>
          </w:p>
        </w:tc>
        <w:tc>
          <w:tcPr>
            <w:tcW w:w="2424"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《应急管理部关于全面实施危险化学品企业安全风险研判与承诺公告制度的通知》（应急〔2018〕74号）</w:t>
            </w:r>
          </w:p>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《危险化学品生产企业安全生产许可证实施办法》安监总局令第41号</w:t>
            </w:r>
          </w:p>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《危险化学品生产企业安全生产许可证实施办法》（国家安全生产监督管理总局令第41号）第十四条</w:t>
            </w:r>
          </w:p>
        </w:tc>
        <w:tc>
          <w:tcPr>
            <w:tcW w:w="1653"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查企业安全生产规章制度</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21</w:t>
            </w:r>
          </w:p>
        </w:tc>
        <w:tc>
          <w:tcPr>
            <w:tcW w:w="564" w:type="dxa"/>
            <w:vMerge w:val="restart"/>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教育培训管理</w:t>
            </w:r>
          </w:p>
        </w:tc>
        <w:tc>
          <w:tcPr>
            <w:tcW w:w="2118"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企业安全教育培训制度，应包含需求调查、岗位技能需求矩阵、岗位能力评估、培训计划制定、实施培训、培训效果验证、培训结果运用、培训档案建设等内容。</w:t>
            </w:r>
          </w:p>
        </w:tc>
        <w:tc>
          <w:tcPr>
            <w:tcW w:w="2424"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《生产经营单位安全培训规定》（国家安全监管总局令第3号）第三条</w:t>
            </w:r>
          </w:p>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《化工过程安全管理导则》AQ/T3034-2022第4.14.7条附录A.3</w:t>
            </w:r>
          </w:p>
        </w:tc>
        <w:tc>
          <w:tcPr>
            <w:tcW w:w="1653" w:type="dxa"/>
            <w:vAlign w:val="center"/>
          </w:tcPr>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查阅企业安全教育培训方面的管理制度，制度内容是否符合《生产经营单位安全培训规定》等文件的要求。</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22</w:t>
            </w:r>
          </w:p>
        </w:tc>
        <w:tc>
          <w:tcPr>
            <w:tcW w:w="564" w:type="dxa"/>
            <w:vMerge w:val="continue"/>
            <w:vAlign w:val="center"/>
          </w:tcPr>
          <w:p>
            <w:pPr>
              <w:jc w:val="center"/>
              <w:rPr>
                <w:rFonts w:ascii="Times New Roman" w:hAnsi="Times New Roman" w:eastAsia="宋体" w:cs="Times New Roman"/>
                <w:bCs/>
                <w:color w:val="auto"/>
                <w:kern w:val="0"/>
                <w:sz w:val="21"/>
                <w:szCs w:val="21"/>
              </w:rPr>
            </w:pPr>
          </w:p>
        </w:tc>
        <w:tc>
          <w:tcPr>
            <w:tcW w:w="2118"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企业应在识别安全教育培训需求的基础上，制定和实施包含全员安全生产责任制、风险辨识管控等内容的年度安全教育培训计划，评估教育培训效果，形成书面培训总结。</w:t>
            </w:r>
          </w:p>
        </w:tc>
        <w:tc>
          <w:tcPr>
            <w:tcW w:w="2424"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《生产经营单位安全培训规定》（国家安全监管总局令第3号）第二十一条</w:t>
            </w:r>
          </w:p>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《生产安全事故应急预案管理办法》（国家安监总局令第88号，应急管理部2号令修正）第三十一条</w:t>
            </w:r>
          </w:p>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《国务院安委会办公室关于全面加强企业全员安全生产责任制工作的通知》（安委办〔2017〕29号）第五条</w:t>
            </w:r>
          </w:p>
        </w:tc>
        <w:tc>
          <w:tcPr>
            <w:tcW w:w="1653"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查看企业培训资料</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23</w:t>
            </w:r>
          </w:p>
        </w:tc>
        <w:tc>
          <w:tcPr>
            <w:tcW w:w="564" w:type="dxa"/>
            <w:vMerge w:val="continue"/>
            <w:vAlign w:val="center"/>
          </w:tcPr>
          <w:p>
            <w:pPr>
              <w:jc w:val="center"/>
              <w:rPr>
                <w:rFonts w:ascii="Times New Roman" w:hAnsi="Times New Roman" w:eastAsia="宋体" w:cs="Times New Roman"/>
                <w:bCs/>
                <w:color w:val="auto"/>
                <w:kern w:val="0"/>
                <w:sz w:val="21"/>
                <w:szCs w:val="21"/>
              </w:rPr>
            </w:pPr>
          </w:p>
        </w:tc>
        <w:tc>
          <w:tcPr>
            <w:tcW w:w="2118"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企业应建立从业人员教育培训档案和台账，按计划实施，详细、准确记录培训的时间、内容、参加人员以及考核结果等情况。</w:t>
            </w:r>
          </w:p>
        </w:tc>
        <w:tc>
          <w:tcPr>
            <w:tcW w:w="2424"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《生产经营单位安全培训规定》（国家安全监管总局令第3号）第二十二条</w:t>
            </w:r>
          </w:p>
        </w:tc>
        <w:tc>
          <w:tcPr>
            <w:tcW w:w="1653" w:type="dxa"/>
            <w:vAlign w:val="center"/>
          </w:tcPr>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查阅企业的安全教育培训档案资料是否齐全，包括培训课件/资料、培训签到表、考核试卷、成绩单等。具备条件的企业，可建立“一人一档”。</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24</w:t>
            </w:r>
          </w:p>
        </w:tc>
        <w:tc>
          <w:tcPr>
            <w:tcW w:w="564" w:type="dxa"/>
            <w:vMerge w:val="continue"/>
            <w:vAlign w:val="center"/>
          </w:tcPr>
          <w:p>
            <w:pPr>
              <w:jc w:val="center"/>
              <w:rPr>
                <w:rFonts w:ascii="Times New Roman" w:hAnsi="Times New Roman" w:eastAsia="宋体" w:cs="Times New Roman"/>
                <w:bCs/>
                <w:color w:val="auto"/>
                <w:kern w:val="0"/>
                <w:sz w:val="21"/>
                <w:szCs w:val="21"/>
              </w:rPr>
            </w:pPr>
          </w:p>
        </w:tc>
        <w:tc>
          <w:tcPr>
            <w:tcW w:w="2118"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lang w:val="zh-CN"/>
              </w:rPr>
              <w:t>危险化学品生产、经营企业主要负责人、专职安全生产管理人员由主管的负有安全生产监督管理职责的部门对其安全生产知识和管理能力考核合格。</w:t>
            </w:r>
          </w:p>
        </w:tc>
        <w:tc>
          <w:tcPr>
            <w:tcW w:w="2424"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《化工和危险化学品生产经营企业重大生产安全事故隐患判定准则》（AQ 3067-2026）第5.1.1条</w:t>
            </w:r>
          </w:p>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《危险化学品生产企业安全生产许可证实施办法》（国家安全生产监督管理总局令第41号）第十六条</w:t>
            </w:r>
          </w:p>
        </w:tc>
        <w:tc>
          <w:tcPr>
            <w:tcW w:w="1653" w:type="dxa"/>
            <w:vAlign w:val="center"/>
          </w:tcPr>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查阅企业主要负责人和安全生产管理人员培训合格证书，核实企业主要负责人是否取证，安全管理人员是否全部取证（取证人员数量是否满足要求）、是否每年接受再培训。</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25</w:t>
            </w:r>
          </w:p>
        </w:tc>
        <w:tc>
          <w:tcPr>
            <w:tcW w:w="564" w:type="dxa"/>
            <w:vMerge w:val="continue"/>
            <w:vAlign w:val="center"/>
          </w:tcPr>
          <w:p>
            <w:pPr>
              <w:jc w:val="center"/>
              <w:rPr>
                <w:rFonts w:ascii="Times New Roman" w:hAnsi="Times New Roman" w:eastAsia="宋体" w:cs="Times New Roman"/>
                <w:bCs/>
                <w:color w:val="auto"/>
                <w:kern w:val="0"/>
                <w:sz w:val="21"/>
                <w:szCs w:val="21"/>
              </w:rPr>
            </w:pPr>
          </w:p>
        </w:tc>
        <w:tc>
          <w:tcPr>
            <w:tcW w:w="2118"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危险化学品生产企业主要负责人、分管安全生产负责人必须具备化学、化工等相关专业大专及以上学历或化工类中级及以上职称；涉及“两重点一重大”生产装置或储存设施的企业主要负责人，主管生产、设备、技术、安全的负责人，专职安全生产管理人员必须具备化学、化工等相关专业大专及以上学历或化工类中级及以上职称。</w:t>
            </w:r>
          </w:p>
        </w:tc>
        <w:tc>
          <w:tcPr>
            <w:tcW w:w="2424"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《化工和危险化学品生产经营企业重大生产安全事故隐患判定准则》（AQ 3067-2026）第5.1.2条</w:t>
            </w:r>
          </w:p>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《危险化学品生产企业安全生产许可证实施办法》（国家安全生产监督管理总局令第41号）第十六条</w:t>
            </w:r>
          </w:p>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《云南省危险化学品和烟花爆竹企业从业人员安全素质提升工作指引（试行）》第1.1条</w:t>
            </w:r>
          </w:p>
        </w:tc>
        <w:tc>
          <w:tcPr>
            <w:tcW w:w="1653" w:type="dxa"/>
            <w:vAlign w:val="center"/>
          </w:tcPr>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查看企业主要负责人、分管安全负责人、分管生产负责人、分管技术负责人及专职安全生产管理人员资质</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26</w:t>
            </w:r>
          </w:p>
        </w:tc>
        <w:tc>
          <w:tcPr>
            <w:tcW w:w="564" w:type="dxa"/>
            <w:vMerge w:val="continue"/>
            <w:vAlign w:val="center"/>
          </w:tcPr>
          <w:p>
            <w:pPr>
              <w:jc w:val="center"/>
              <w:rPr>
                <w:rFonts w:ascii="Times New Roman" w:hAnsi="Times New Roman" w:eastAsia="宋体" w:cs="Times New Roman"/>
                <w:bCs/>
                <w:color w:val="auto"/>
                <w:kern w:val="0"/>
                <w:sz w:val="21"/>
                <w:szCs w:val="21"/>
              </w:rPr>
            </w:pPr>
          </w:p>
        </w:tc>
        <w:tc>
          <w:tcPr>
            <w:tcW w:w="2118"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从事危险化工工艺过程操作及化工自动化控制仪表安装、维修、维护的作业及电工作业、焊接与热切割作业等特种作业人员应持证上岗。</w:t>
            </w:r>
          </w:p>
        </w:tc>
        <w:tc>
          <w:tcPr>
            <w:tcW w:w="2424"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《特种作业人员安全技术培训考核管理规定》（应急部令〔2025〕19号）</w:t>
            </w:r>
          </w:p>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《化工和危险化学品生产经营企业重大生产安全事故隐患判定准则》（AQ 3067-2026）第5.1.4条</w:t>
            </w:r>
          </w:p>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《危险化学品生产企业安全生产许可证实施办法》（国家安全生产监督管理总局令第41号）第十六条</w:t>
            </w:r>
          </w:p>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《云南省危险化学品和烟花爆竹企业从业人员安全素质提升工作指引（试行）》第1.1条</w:t>
            </w:r>
          </w:p>
        </w:tc>
        <w:tc>
          <w:tcPr>
            <w:tcW w:w="1653" w:type="dxa"/>
            <w:vAlign w:val="center"/>
          </w:tcPr>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核实企业实际涉及哪些特种作业岗位，企业是否建立了特种作业人员台账，取得特种作业操作证的人员数量是否能满足生产的需要；特种作业操作证是否定期复审。</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27</w:t>
            </w:r>
          </w:p>
        </w:tc>
        <w:tc>
          <w:tcPr>
            <w:tcW w:w="564" w:type="dxa"/>
            <w:vMerge w:val="continue"/>
            <w:vAlign w:val="center"/>
          </w:tcPr>
          <w:p>
            <w:pPr>
              <w:jc w:val="center"/>
              <w:rPr>
                <w:rFonts w:ascii="Times New Roman" w:hAnsi="Times New Roman" w:eastAsia="宋体" w:cs="Times New Roman"/>
                <w:bCs/>
                <w:color w:val="auto"/>
                <w:kern w:val="0"/>
                <w:sz w:val="21"/>
                <w:szCs w:val="21"/>
              </w:rPr>
            </w:pPr>
          </w:p>
        </w:tc>
        <w:tc>
          <w:tcPr>
            <w:tcW w:w="2118"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涉及危险化学品重大危险源或重点监管的危险化工工艺生产装置、储存设施操作人员，不具备高中及以上学历且未达到化工类中等及以上职业教育水平；涉及爆炸危险性化学品的生产装置或储存设施的操作人员，不具备化工类大专及以上学历。</w:t>
            </w:r>
          </w:p>
        </w:tc>
        <w:tc>
          <w:tcPr>
            <w:tcW w:w="2424"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《化工和危险化学品生产经营企业重大生产安全事故隐患判定准则》（AQ 3067-2026）第5.1.3条</w:t>
            </w:r>
          </w:p>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《云南省危险化学品和烟花爆竹企业从业人员安全素质提升工作指引（试行）》第1.1条</w:t>
            </w:r>
          </w:p>
        </w:tc>
        <w:tc>
          <w:tcPr>
            <w:tcW w:w="1653" w:type="dxa"/>
            <w:vAlign w:val="center"/>
          </w:tcPr>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查阅企业危险化学品重大危险源或重点监管的危险化工工艺生产装置、储存设施操作人员资质</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28</w:t>
            </w:r>
          </w:p>
        </w:tc>
        <w:tc>
          <w:tcPr>
            <w:tcW w:w="564" w:type="dxa"/>
            <w:vMerge w:val="continue"/>
            <w:vAlign w:val="center"/>
          </w:tcPr>
          <w:p>
            <w:pPr>
              <w:jc w:val="center"/>
              <w:rPr>
                <w:rFonts w:ascii="Times New Roman" w:hAnsi="Times New Roman" w:eastAsia="宋体" w:cs="Times New Roman"/>
                <w:bCs/>
                <w:color w:val="auto"/>
                <w:kern w:val="0"/>
                <w:sz w:val="21"/>
                <w:szCs w:val="21"/>
              </w:rPr>
            </w:pPr>
          </w:p>
        </w:tc>
        <w:tc>
          <w:tcPr>
            <w:tcW w:w="2118"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企业应对新从业人员进行厂、车间、班组三级安全培训教育，考核合格后上岗。三级安全培训教育的内容和时间应符合相关规定要求。</w:t>
            </w:r>
          </w:p>
        </w:tc>
        <w:tc>
          <w:tcPr>
            <w:tcW w:w="2424"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《生产经营单位安全培训规定》（国家安全监管总局令第3号）第十一、十二、十四、十五、十六条</w:t>
            </w:r>
          </w:p>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《云南省危险化学品和烟花爆竹企业从业人员安全素质提升工作指引（试行）》第2.1条</w:t>
            </w:r>
          </w:p>
        </w:tc>
        <w:tc>
          <w:tcPr>
            <w:tcW w:w="1653" w:type="dxa"/>
            <w:vAlign w:val="center"/>
          </w:tcPr>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查阅企业是否建立了新员工台账；抽查部分新员工是否经过了入厂三级安全教育培训，是否经过考核合格。</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29</w:t>
            </w:r>
          </w:p>
        </w:tc>
        <w:tc>
          <w:tcPr>
            <w:tcW w:w="564" w:type="dxa"/>
            <w:vMerge w:val="continue"/>
            <w:vAlign w:val="center"/>
          </w:tcPr>
          <w:p>
            <w:pPr>
              <w:jc w:val="center"/>
              <w:rPr>
                <w:rFonts w:ascii="Times New Roman" w:hAnsi="Times New Roman" w:eastAsia="宋体" w:cs="Times New Roman"/>
                <w:bCs/>
                <w:color w:val="auto"/>
                <w:kern w:val="0"/>
                <w:sz w:val="21"/>
                <w:szCs w:val="21"/>
              </w:rPr>
            </w:pPr>
          </w:p>
        </w:tc>
        <w:tc>
          <w:tcPr>
            <w:tcW w:w="2118"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采用新工艺、新技术、新材料或使用新设备前，应对从业人员进行专门的安全生产教育和培训，经考核合格后，方可上岗。</w:t>
            </w:r>
          </w:p>
        </w:tc>
        <w:tc>
          <w:tcPr>
            <w:tcW w:w="2424"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《中华人民共和国安全生产法》第二十六条</w:t>
            </w:r>
          </w:p>
        </w:tc>
        <w:tc>
          <w:tcPr>
            <w:tcW w:w="1653" w:type="dxa"/>
            <w:vAlign w:val="center"/>
          </w:tcPr>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查阅企业是否有采用新工艺、新技术、新材料或使用新设备等情况；查阅企业是否在“四</w:t>
            </w:r>
          </w:p>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新”前对从业人员进行专门的安全生产教育和培训。</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B级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30</w:t>
            </w:r>
          </w:p>
        </w:tc>
        <w:tc>
          <w:tcPr>
            <w:tcW w:w="564" w:type="dxa"/>
            <w:vMerge w:val="restart"/>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事故事件管理</w:t>
            </w:r>
          </w:p>
        </w:tc>
        <w:tc>
          <w:tcPr>
            <w:tcW w:w="2118"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安全事故管理制度（程序文件）应包含事故分级分类、报告、调查和处理、分析、批准、审核、防范措施落实、跟踪验证等内容。</w:t>
            </w:r>
          </w:p>
        </w:tc>
        <w:tc>
          <w:tcPr>
            <w:tcW w:w="2424"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《危险化学品企业安全生产标准化通用规范》(GB45673-2025，</w:t>
            </w:r>
          </w:p>
        </w:tc>
        <w:tc>
          <w:tcPr>
            <w:tcW w:w="1653" w:type="dxa"/>
            <w:vAlign w:val="center"/>
          </w:tcPr>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查阅事故事件制度</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31</w:t>
            </w:r>
          </w:p>
        </w:tc>
        <w:tc>
          <w:tcPr>
            <w:tcW w:w="564" w:type="dxa"/>
            <w:vMerge w:val="continue"/>
            <w:vAlign w:val="center"/>
          </w:tcPr>
          <w:p>
            <w:pPr>
              <w:jc w:val="center"/>
              <w:rPr>
                <w:rFonts w:ascii="Times New Roman" w:hAnsi="Times New Roman" w:eastAsia="宋体" w:cs="Times New Roman"/>
                <w:bCs/>
                <w:color w:val="auto"/>
                <w:kern w:val="0"/>
                <w:sz w:val="21"/>
                <w:szCs w:val="21"/>
              </w:rPr>
            </w:pPr>
          </w:p>
        </w:tc>
        <w:tc>
          <w:tcPr>
            <w:tcW w:w="2118"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企业应建立事故档案和事故事件管理台账，应将承包商在本企业发生的安全事故纳入本企业安全事故管理。对发生的生产安全事故应落实“四不放过”要求，对涉险事故、未遂事故等安全事件（如事故征兆、非计划停工、异常工况、泄漏等）开展调查分析，制定落实整改措施。</w:t>
            </w:r>
          </w:p>
        </w:tc>
        <w:tc>
          <w:tcPr>
            <w:tcW w:w="2424"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《危险化学品企业安全生产标准化通用规范》(GB45673-2025，</w:t>
            </w:r>
          </w:p>
        </w:tc>
        <w:tc>
          <w:tcPr>
            <w:tcW w:w="1653" w:type="dxa"/>
            <w:vAlign w:val="center"/>
          </w:tcPr>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查阅事故事件台账，核实企业是否将涉险事故、未遂事故等安全事件（如生产事故征兆、非计划停工、异常工况、泄漏、轻伤等）纳入安全事故事件管理；是否将承包商在企业内发生的事故事件纳入本企业的安全事故事件管理。</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32</w:t>
            </w:r>
          </w:p>
        </w:tc>
        <w:tc>
          <w:tcPr>
            <w:tcW w:w="564" w:type="dxa"/>
            <w:vMerge w:val="continue"/>
            <w:vAlign w:val="center"/>
          </w:tcPr>
          <w:p>
            <w:pPr>
              <w:jc w:val="center"/>
              <w:rPr>
                <w:rFonts w:ascii="Times New Roman" w:hAnsi="Times New Roman" w:eastAsia="宋体" w:cs="Times New Roman"/>
                <w:bCs/>
                <w:color w:val="auto"/>
                <w:kern w:val="0"/>
                <w:sz w:val="21"/>
                <w:szCs w:val="21"/>
              </w:rPr>
            </w:pPr>
          </w:p>
        </w:tc>
        <w:tc>
          <w:tcPr>
            <w:tcW w:w="2118"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企业应建立涉险事故、未遂事故等安全事件报告激励机制。</w:t>
            </w:r>
          </w:p>
        </w:tc>
        <w:tc>
          <w:tcPr>
            <w:tcW w:w="2424"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《关于加强化工过程安全管理的指导意见》（安监总管三〔2013〕88号）第二十八条</w:t>
            </w:r>
          </w:p>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《化工过程安全管理导则》AQ/T3034-2022</w:t>
            </w:r>
          </w:p>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第4.17.3条</w:t>
            </w:r>
          </w:p>
        </w:tc>
        <w:tc>
          <w:tcPr>
            <w:tcW w:w="1653" w:type="dxa"/>
            <w:vAlign w:val="center"/>
          </w:tcPr>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查阅制度要求、查看奖惩记录并访谈员工。</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33</w:t>
            </w:r>
          </w:p>
        </w:tc>
        <w:tc>
          <w:tcPr>
            <w:tcW w:w="564" w:type="dxa"/>
            <w:vMerge w:val="restart"/>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双重预防机制</w:t>
            </w:r>
          </w:p>
        </w:tc>
        <w:tc>
          <w:tcPr>
            <w:tcW w:w="2118"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企业应制定风险管理制度，明确风险管理的职责、范围、方法及风险管控要求等，将安全风险分级管控和隐患排查治理双重预防工作机制融入风险管理工作，通过危害辨识、风险评估、风险控制及风险监控，保证风险处于受控状态。</w:t>
            </w:r>
          </w:p>
        </w:tc>
        <w:tc>
          <w:tcPr>
            <w:tcW w:w="2424"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《化工过程安全管理导则》AQ/T3034-2022</w:t>
            </w:r>
          </w:p>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第4.6.1条</w:t>
            </w:r>
          </w:p>
        </w:tc>
        <w:tc>
          <w:tcPr>
            <w:tcW w:w="1653" w:type="dxa"/>
            <w:vAlign w:val="center"/>
          </w:tcPr>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查风险管理制度、实施过程资料</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34</w:t>
            </w:r>
          </w:p>
        </w:tc>
        <w:tc>
          <w:tcPr>
            <w:tcW w:w="564" w:type="dxa"/>
            <w:vMerge w:val="continue"/>
            <w:vAlign w:val="center"/>
          </w:tcPr>
          <w:p>
            <w:pPr>
              <w:jc w:val="center"/>
              <w:rPr>
                <w:rFonts w:ascii="Times New Roman" w:hAnsi="Times New Roman" w:eastAsia="宋体" w:cs="Times New Roman"/>
                <w:bCs/>
                <w:color w:val="auto"/>
                <w:kern w:val="0"/>
                <w:sz w:val="20"/>
                <w:szCs w:val="21"/>
              </w:rPr>
            </w:pPr>
          </w:p>
        </w:tc>
        <w:tc>
          <w:tcPr>
            <w:tcW w:w="2118"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1"/>
                <w:szCs w:val="21"/>
              </w:rPr>
              <w:t>企业应明确安全风险管控措施对应的隐患排查任务、责任人、频次周期等，通过日常巡检和专项隐忠排查，确保安全风险管控措施安全可靠并有效运行。</w:t>
            </w:r>
          </w:p>
        </w:tc>
        <w:tc>
          <w:tcPr>
            <w:tcW w:w="2424"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《危险化学品企业安全生产标准化通用规范》GB 45673-2025</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1"/>
                <w:szCs w:val="21"/>
              </w:rPr>
              <w:t>第5.5.3.5条</w:t>
            </w:r>
          </w:p>
        </w:tc>
        <w:tc>
          <w:tcPr>
            <w:tcW w:w="1653"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查实施过程资料</w:t>
            </w:r>
          </w:p>
        </w:tc>
        <w:tc>
          <w:tcPr>
            <w:tcW w:w="1943" w:type="dxa"/>
          </w:tcPr>
          <w:p>
            <w:pPr>
              <w:jc w:val="center"/>
              <w:rPr>
                <w:rFonts w:ascii="Times New Roman" w:hAnsi="Times New Roman" w:eastAsia="宋体" w:cs="Times New Roman"/>
                <w:bCs/>
                <w:color w:val="auto"/>
                <w:kern w:val="0"/>
                <w:sz w:val="20"/>
                <w:szCs w:val="21"/>
              </w:rPr>
            </w:pPr>
          </w:p>
        </w:tc>
        <w:tc>
          <w:tcPr>
            <w:tcW w:w="1805" w:type="dxa"/>
          </w:tcPr>
          <w:p>
            <w:pPr>
              <w:jc w:val="center"/>
              <w:rPr>
                <w:rFonts w:ascii="Times New Roman" w:hAnsi="Times New Roman" w:eastAsia="宋体" w:cs="Times New Roman"/>
                <w:bCs/>
                <w:color w:val="auto"/>
                <w:kern w:val="0"/>
                <w:sz w:val="20"/>
                <w:szCs w:val="21"/>
              </w:rPr>
            </w:pPr>
          </w:p>
        </w:tc>
        <w:tc>
          <w:tcPr>
            <w:tcW w:w="2081" w:type="dxa"/>
          </w:tcPr>
          <w:p>
            <w:pPr>
              <w:jc w:val="center"/>
              <w:rPr>
                <w:rFonts w:ascii="Times New Roman" w:hAnsi="Times New Roman" w:eastAsia="宋体" w:cs="Times New Roman"/>
                <w:bCs/>
                <w:color w:val="auto"/>
                <w:kern w:val="0"/>
                <w:sz w:val="20"/>
                <w:szCs w:val="21"/>
              </w:rPr>
            </w:pPr>
          </w:p>
        </w:tc>
        <w:tc>
          <w:tcPr>
            <w:tcW w:w="702" w:type="dxa"/>
          </w:tcPr>
          <w:p>
            <w:pPr>
              <w:jc w:val="center"/>
              <w:rPr>
                <w:rFonts w:ascii="Times New Roman" w:hAnsi="Times New Roman" w:eastAsia="宋体" w:cs="Times New Roman"/>
                <w:bCs/>
                <w:color w:val="auto"/>
                <w:kern w:val="0"/>
                <w:sz w:val="20"/>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0"/>
                <w:szCs w:val="21"/>
              </w:rPr>
              <w:t>35</w:t>
            </w:r>
          </w:p>
        </w:tc>
        <w:tc>
          <w:tcPr>
            <w:tcW w:w="564" w:type="dxa"/>
            <w:vMerge w:val="continue"/>
            <w:vAlign w:val="center"/>
          </w:tcPr>
          <w:p>
            <w:pPr>
              <w:jc w:val="center"/>
              <w:rPr>
                <w:rFonts w:ascii="Times New Roman" w:hAnsi="Times New Roman" w:eastAsia="宋体" w:cs="Times New Roman"/>
                <w:bCs/>
                <w:color w:val="auto"/>
                <w:kern w:val="0"/>
                <w:sz w:val="20"/>
                <w:szCs w:val="21"/>
              </w:rPr>
            </w:pPr>
          </w:p>
        </w:tc>
        <w:tc>
          <w:tcPr>
            <w:tcW w:w="2118" w:type="dxa"/>
            <w:vAlign w:val="center"/>
          </w:tcPr>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1"/>
                <w:szCs w:val="21"/>
              </w:rPr>
              <w:t>企业应制定并有效实施隐患排查治理制度。</w:t>
            </w:r>
          </w:p>
        </w:tc>
        <w:tc>
          <w:tcPr>
            <w:tcW w:w="2424"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《化工和危险化学品生产经营企业重大生产安全事故隐患判定准则》（AQ 3067-2026）第5.7.6条</w:t>
            </w:r>
          </w:p>
          <w:p>
            <w:pPr>
              <w:widowControl/>
              <w:spacing w:line="280" w:lineRule="exact"/>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1"/>
                <w:szCs w:val="21"/>
              </w:rPr>
              <w:t>《中华人民共和国安全生产法》第四十一条</w:t>
            </w:r>
          </w:p>
        </w:tc>
        <w:tc>
          <w:tcPr>
            <w:tcW w:w="1653" w:type="dxa"/>
            <w:vAlign w:val="center"/>
          </w:tcPr>
          <w:p>
            <w:pPr>
              <w:jc w:val="left"/>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1"/>
                <w:szCs w:val="21"/>
              </w:rPr>
              <w:t>查阅</w:t>
            </w:r>
            <w:r>
              <w:rPr>
                <w:rFonts w:ascii="Times New Roman" w:hAnsi="Times New Roman" w:eastAsia="宋体" w:cs="Times New Roman"/>
                <w:bCs/>
                <w:color w:val="auto"/>
                <w:kern w:val="0"/>
                <w:sz w:val="21"/>
                <w:szCs w:val="21"/>
              </w:rPr>
              <w:t>隐患排查治理制度、实施过程资料</w:t>
            </w:r>
          </w:p>
        </w:tc>
        <w:tc>
          <w:tcPr>
            <w:tcW w:w="1943" w:type="dxa"/>
          </w:tcPr>
          <w:p>
            <w:pPr>
              <w:jc w:val="center"/>
              <w:rPr>
                <w:rFonts w:ascii="Times New Roman" w:hAnsi="Times New Roman" w:eastAsia="宋体" w:cs="Times New Roman"/>
                <w:bCs/>
                <w:color w:val="auto"/>
                <w:kern w:val="0"/>
                <w:sz w:val="20"/>
                <w:szCs w:val="21"/>
              </w:rPr>
            </w:pPr>
          </w:p>
        </w:tc>
        <w:tc>
          <w:tcPr>
            <w:tcW w:w="1805" w:type="dxa"/>
          </w:tcPr>
          <w:p>
            <w:pPr>
              <w:jc w:val="center"/>
              <w:rPr>
                <w:rFonts w:ascii="Times New Roman" w:hAnsi="Times New Roman" w:eastAsia="宋体" w:cs="Times New Roman"/>
                <w:bCs/>
                <w:color w:val="auto"/>
                <w:kern w:val="0"/>
                <w:sz w:val="20"/>
                <w:szCs w:val="21"/>
              </w:rPr>
            </w:pPr>
          </w:p>
        </w:tc>
        <w:tc>
          <w:tcPr>
            <w:tcW w:w="2081" w:type="dxa"/>
          </w:tcPr>
          <w:p>
            <w:pPr>
              <w:jc w:val="center"/>
              <w:rPr>
                <w:rFonts w:ascii="Times New Roman" w:hAnsi="Times New Roman" w:eastAsia="宋体" w:cs="Times New Roman"/>
                <w:bCs/>
                <w:color w:val="auto"/>
                <w:kern w:val="0"/>
                <w:sz w:val="20"/>
                <w:szCs w:val="21"/>
              </w:rPr>
            </w:pPr>
          </w:p>
        </w:tc>
        <w:tc>
          <w:tcPr>
            <w:tcW w:w="702" w:type="dxa"/>
          </w:tcPr>
          <w:p>
            <w:pPr>
              <w:jc w:val="center"/>
              <w:rPr>
                <w:rFonts w:ascii="Times New Roman" w:hAnsi="Times New Roman" w:eastAsia="宋体" w:cs="Times New Roman"/>
                <w:bCs/>
                <w:color w:val="auto"/>
                <w:kern w:val="0"/>
                <w:sz w:val="20"/>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0"/>
                <w:szCs w:val="21"/>
              </w:rPr>
            </w:pPr>
            <w:r>
              <w:rPr>
                <w:rFonts w:ascii="Times New Roman" w:hAnsi="Times New Roman" w:eastAsia="宋体" w:cs="Times New Roman"/>
                <w:bCs/>
                <w:color w:val="auto"/>
                <w:kern w:val="0"/>
                <w:sz w:val="21"/>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36</w:t>
            </w:r>
          </w:p>
        </w:tc>
        <w:tc>
          <w:tcPr>
            <w:tcW w:w="564" w:type="dxa"/>
            <w:vMerge w:val="continue"/>
            <w:vAlign w:val="center"/>
          </w:tcPr>
          <w:p>
            <w:pPr>
              <w:jc w:val="center"/>
              <w:rPr>
                <w:rFonts w:ascii="Times New Roman" w:hAnsi="Times New Roman" w:eastAsia="宋体" w:cs="Times New Roman"/>
                <w:bCs/>
                <w:color w:val="auto"/>
                <w:kern w:val="0"/>
                <w:sz w:val="21"/>
                <w:szCs w:val="21"/>
              </w:rPr>
            </w:pPr>
          </w:p>
        </w:tc>
        <w:tc>
          <w:tcPr>
            <w:tcW w:w="2118"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企业应制定和实施综合性、专业性、重大节假日、季节性等隐患排查计划，建立隐患排查记录，对排查发现的隐患，按“五定”（定人员、定时间、定责任、定标准、定措施）要求进行隐患治理，闭环管理，对限期完成</w:t>
            </w:r>
            <w:bookmarkStart w:id="91" w:name="OLE_LINK81"/>
            <w:bookmarkStart w:id="92" w:name="OLE_LINK80"/>
            <w:r>
              <w:rPr>
                <w:rFonts w:ascii="Times New Roman" w:hAnsi="Times New Roman" w:eastAsia="宋体" w:cs="Times New Roman"/>
                <w:bCs/>
                <w:color w:val="auto"/>
                <w:kern w:val="0"/>
                <w:sz w:val="21"/>
                <w:szCs w:val="21"/>
              </w:rPr>
              <w:t>整改的隐患要制定防范落实措施</w:t>
            </w:r>
            <w:bookmarkEnd w:id="91"/>
            <w:bookmarkEnd w:id="92"/>
            <w:r>
              <w:rPr>
                <w:rFonts w:ascii="Times New Roman" w:hAnsi="Times New Roman" w:eastAsia="宋体" w:cs="Times New Roman"/>
                <w:bCs/>
                <w:color w:val="auto"/>
                <w:kern w:val="0"/>
                <w:sz w:val="21"/>
                <w:szCs w:val="21"/>
              </w:rPr>
              <w:t>。</w:t>
            </w:r>
          </w:p>
        </w:tc>
        <w:tc>
          <w:tcPr>
            <w:tcW w:w="2424"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《化工过程安全管理导则》AQ∕T3034-2022第4.6.8条</w:t>
            </w:r>
          </w:p>
        </w:tc>
        <w:tc>
          <w:tcPr>
            <w:tcW w:w="1653" w:type="dxa"/>
            <w:vAlign w:val="center"/>
          </w:tcPr>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查阅</w:t>
            </w:r>
            <w:r>
              <w:rPr>
                <w:rFonts w:ascii="Times New Roman" w:hAnsi="Times New Roman" w:eastAsia="宋体" w:cs="Times New Roman"/>
                <w:bCs/>
                <w:color w:val="auto"/>
                <w:kern w:val="0"/>
                <w:sz w:val="21"/>
                <w:szCs w:val="21"/>
              </w:rPr>
              <w:t>隐患排查记录、整改落实情况</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37</w:t>
            </w:r>
          </w:p>
        </w:tc>
        <w:tc>
          <w:tcPr>
            <w:tcW w:w="564" w:type="dxa"/>
            <w:vMerge w:val="restart"/>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特殊作业管理</w:t>
            </w:r>
          </w:p>
        </w:tc>
        <w:tc>
          <w:tcPr>
            <w:tcW w:w="2118"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企业应按照</w:t>
            </w:r>
            <w:r>
              <w:rPr>
                <w:rFonts w:ascii="Times New Roman" w:hAnsi="Times New Roman" w:eastAsia="宋体" w:cs="Times New Roman"/>
                <w:bCs/>
                <w:color w:val="auto"/>
                <w:kern w:val="0"/>
                <w:sz w:val="21"/>
                <w:szCs w:val="21"/>
                <w:lang w:val="zh-CN"/>
              </w:rPr>
              <w:t>GB30871的要求制定动火、进入受限空间等特殊作业管理制度，</w:t>
            </w:r>
            <w:r>
              <w:rPr>
                <w:rFonts w:ascii="Times New Roman" w:hAnsi="Times New Roman" w:eastAsia="宋体" w:cs="Times New Roman"/>
                <w:bCs/>
                <w:color w:val="auto"/>
                <w:kern w:val="0"/>
                <w:sz w:val="21"/>
                <w:szCs w:val="21"/>
              </w:rPr>
              <w:t>并</w:t>
            </w:r>
            <w:r>
              <w:rPr>
                <w:rFonts w:ascii="Times New Roman" w:hAnsi="Times New Roman" w:eastAsia="宋体" w:cs="Times New Roman"/>
                <w:bCs/>
                <w:color w:val="auto"/>
                <w:kern w:val="0"/>
                <w:sz w:val="21"/>
                <w:szCs w:val="21"/>
                <w:lang w:val="zh-CN"/>
              </w:rPr>
              <w:t>有效执行。特殊作业前，应办理审批手续。作业票证审批、填写应规范，作业证的时限、气体分析、作业危害分析、管控措施、各级审批、验收确认、关联作业票证办理等应满足要求。</w:t>
            </w:r>
          </w:p>
        </w:tc>
        <w:tc>
          <w:tcPr>
            <w:tcW w:w="2424"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《关于加强化工过程安全管理的指导意见》（安监总管三〔2013〕88号）第十八条</w:t>
            </w:r>
          </w:p>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《危险化学品企业特殊作业安全规范》GB30871-2022</w:t>
            </w:r>
          </w:p>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《化工和危险化学品生产经营企业重大生产安全事故隐患判定准则》（AQ 3067-2026）第5.6.1条</w:t>
            </w:r>
          </w:p>
        </w:tc>
        <w:tc>
          <w:tcPr>
            <w:tcW w:w="1653" w:type="dxa"/>
            <w:vAlign w:val="center"/>
          </w:tcPr>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 xml:space="preserve">查看特殊作业管理制度，核实企业制度是否明确申请、办理、审批、验收流程。 </w:t>
            </w:r>
          </w:p>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查看制度是否包含有企业涉及的所有特殊作业。</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38</w:t>
            </w:r>
          </w:p>
        </w:tc>
        <w:tc>
          <w:tcPr>
            <w:tcW w:w="564" w:type="dxa"/>
            <w:vMerge w:val="continue"/>
            <w:vAlign w:val="center"/>
          </w:tcPr>
          <w:p>
            <w:pPr>
              <w:jc w:val="center"/>
              <w:rPr>
                <w:rFonts w:ascii="Times New Roman" w:hAnsi="Times New Roman" w:eastAsia="宋体" w:cs="Times New Roman"/>
                <w:bCs/>
                <w:color w:val="auto"/>
                <w:kern w:val="0"/>
                <w:sz w:val="21"/>
                <w:szCs w:val="21"/>
              </w:rPr>
            </w:pPr>
          </w:p>
        </w:tc>
        <w:tc>
          <w:tcPr>
            <w:tcW w:w="2118"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企业实施特殊作业前应开展作业风险分析、安全交底、检测分析、措施确认、现场监护，完工验收等管理要求，涉及易燃易爆或有毒有害介质的设备、管道动火作业前或受限空间作业前，未采取隔离措施或未确认设备、工艺处置结果满足安全作业要求。</w:t>
            </w:r>
          </w:p>
        </w:tc>
        <w:tc>
          <w:tcPr>
            <w:tcW w:w="2424"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《关于加强化工过程安全管理的指导意见》（安监总管三〔2013〕88号）第十八条</w:t>
            </w:r>
          </w:p>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《危险化学品企业特殊作业安全规范》GB30871-2022第4.6条</w:t>
            </w:r>
          </w:p>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《化工和危险化学品生产经营企业重大生产安全事故隐患判定准则》（AQ 3067-2026）第5.6.2条</w:t>
            </w:r>
          </w:p>
        </w:tc>
        <w:tc>
          <w:tcPr>
            <w:tcW w:w="1653" w:type="dxa"/>
            <w:vAlign w:val="center"/>
          </w:tcPr>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随机抽取动火、受限空间作业证，核实内容设置是否符合GB 30871的要求；作业票证审批、填写是否规范（包括作业证的时限、气体分析、作业风险分析、安全措施、各级审批、验收签字、关联作业票证办理等）；抽查作业人员是否了解和掌握作业安全风险及控制措施。</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39</w:t>
            </w:r>
          </w:p>
        </w:tc>
        <w:tc>
          <w:tcPr>
            <w:tcW w:w="564" w:type="dxa"/>
            <w:vMerge w:val="continue"/>
            <w:vAlign w:val="center"/>
          </w:tcPr>
          <w:p>
            <w:pPr>
              <w:jc w:val="center"/>
              <w:rPr>
                <w:rFonts w:ascii="Times New Roman" w:hAnsi="Times New Roman" w:eastAsia="宋体" w:cs="Times New Roman"/>
                <w:bCs/>
                <w:color w:val="auto"/>
                <w:kern w:val="0"/>
                <w:sz w:val="21"/>
                <w:szCs w:val="21"/>
              </w:rPr>
            </w:pPr>
          </w:p>
        </w:tc>
        <w:tc>
          <w:tcPr>
            <w:tcW w:w="2118"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动火作业或受限空间作业需按照要求进行气体分析；受限空间作业要连续监测可燃气体、有毒气体及氧气浓度；特级动火作业要实现全过程视频监控。</w:t>
            </w:r>
          </w:p>
        </w:tc>
        <w:tc>
          <w:tcPr>
            <w:tcW w:w="2424"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《关于加强化工过程安全管理的指导意见》（安监总管三〔2013〕88号）第十八条</w:t>
            </w:r>
          </w:p>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《危险化学品企业特殊作业安全规范》GB30871-2022第4.6条</w:t>
            </w:r>
          </w:p>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《化工和危险化学品生产经营企业重大生产安全事故隐患判定准则》（AQ 3067-2026）第5.6.3条</w:t>
            </w:r>
          </w:p>
        </w:tc>
        <w:tc>
          <w:tcPr>
            <w:tcW w:w="1653" w:type="dxa"/>
            <w:vAlign w:val="center"/>
          </w:tcPr>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查看特殊作业安全票证内容是否满足 GB30871的要求</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40</w:t>
            </w:r>
          </w:p>
        </w:tc>
        <w:tc>
          <w:tcPr>
            <w:tcW w:w="564" w:type="dxa"/>
            <w:vMerge w:val="continue"/>
            <w:vAlign w:val="center"/>
          </w:tcPr>
          <w:p>
            <w:pPr>
              <w:jc w:val="center"/>
              <w:rPr>
                <w:rFonts w:ascii="Times New Roman" w:hAnsi="Times New Roman" w:eastAsia="宋体" w:cs="Times New Roman"/>
                <w:bCs/>
                <w:color w:val="auto"/>
                <w:kern w:val="0"/>
                <w:sz w:val="21"/>
                <w:szCs w:val="21"/>
              </w:rPr>
            </w:pPr>
          </w:p>
        </w:tc>
        <w:tc>
          <w:tcPr>
            <w:tcW w:w="2118"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抽堵盲板作业前，危险化学品企业应办理抽堵盲板作业票，预先绘制盲板位置图，对盲板进行统一编号，并设专人统一指挥作业。作业单位应按位置图进行盲板抽堵作业，并对每个盲板进行标识，标牌编号应与盲板位置图上的盲板编号一致，危险化学品企业应逐一确认并做好记录。</w:t>
            </w:r>
          </w:p>
        </w:tc>
        <w:tc>
          <w:tcPr>
            <w:tcW w:w="2424"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《危险化学品企业特殊作业安全规范》（GB 30871-2022）第 7.1条、第 7.4 条</w:t>
            </w:r>
          </w:p>
        </w:tc>
        <w:tc>
          <w:tcPr>
            <w:tcW w:w="1653" w:type="dxa"/>
            <w:vAlign w:val="center"/>
          </w:tcPr>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查看特殊作业安全票证内容是否满足GB30871的要求</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41</w:t>
            </w:r>
          </w:p>
        </w:tc>
        <w:tc>
          <w:tcPr>
            <w:tcW w:w="564" w:type="dxa"/>
            <w:vMerge w:val="continue"/>
            <w:vAlign w:val="center"/>
          </w:tcPr>
          <w:p>
            <w:pPr>
              <w:jc w:val="center"/>
              <w:rPr>
                <w:rFonts w:ascii="Times New Roman" w:hAnsi="Times New Roman" w:eastAsia="宋体" w:cs="Times New Roman"/>
                <w:bCs/>
                <w:color w:val="auto"/>
                <w:kern w:val="0"/>
                <w:sz w:val="21"/>
                <w:szCs w:val="21"/>
              </w:rPr>
            </w:pPr>
          </w:p>
        </w:tc>
        <w:tc>
          <w:tcPr>
            <w:tcW w:w="2118"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特殊作业现场监护人员应经专项培训考试合格，持培训合格证上岗。监护人员应熟悉作业范围内的工艺、设备和物料状态，具备应急救援和处置能力。</w:t>
            </w:r>
          </w:p>
        </w:tc>
        <w:tc>
          <w:tcPr>
            <w:tcW w:w="2424"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《危险化学品企业特殊作业安全规范》（GB 30871-2022）第 4.10条</w:t>
            </w:r>
          </w:p>
        </w:tc>
        <w:tc>
          <w:tcPr>
            <w:tcW w:w="1653" w:type="dxa"/>
            <w:vAlign w:val="center"/>
          </w:tcPr>
          <w:p>
            <w:pPr>
              <w:jc w:val="center"/>
              <w:rPr>
                <w:rFonts w:ascii="Times New Roman" w:hAnsi="Times New Roman" w:eastAsia="宋体" w:cs="Times New Roman"/>
                <w:bCs/>
                <w:color w:val="auto"/>
                <w:kern w:val="0"/>
                <w:sz w:val="21"/>
                <w:szCs w:val="21"/>
              </w:rPr>
            </w:pP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B级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42</w:t>
            </w:r>
          </w:p>
        </w:tc>
        <w:tc>
          <w:tcPr>
            <w:tcW w:w="564" w:type="dxa"/>
            <w:vMerge w:val="continue"/>
            <w:vAlign w:val="center"/>
          </w:tcPr>
          <w:p>
            <w:pPr>
              <w:jc w:val="center"/>
              <w:rPr>
                <w:rFonts w:ascii="Times New Roman" w:hAnsi="Times New Roman" w:eastAsia="宋体" w:cs="Times New Roman"/>
                <w:bCs/>
                <w:color w:val="auto"/>
                <w:kern w:val="0"/>
                <w:sz w:val="21"/>
                <w:szCs w:val="21"/>
              </w:rPr>
            </w:pPr>
          </w:p>
        </w:tc>
        <w:tc>
          <w:tcPr>
            <w:tcW w:w="2118"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企业应对生产区作业人员进行入厂安全教育；作业前应对特殊作业人员进行安全交底；实施特殊作业时，企业应对作业实施管理和检查</w:t>
            </w:r>
          </w:p>
        </w:tc>
        <w:tc>
          <w:tcPr>
            <w:tcW w:w="2424"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《关于加强化工过程安全管理的指导意见》（安监总管三〔2013〕88号）第十八条</w:t>
            </w:r>
          </w:p>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《危险化学品企业特殊作业安全规范》GB30871-2022第4.6条</w:t>
            </w:r>
          </w:p>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《化工和危险化学品生产经营企业重大生产安全事故隐患判定准则》（AQ 3067-2026）第5.6.4条</w:t>
            </w:r>
          </w:p>
        </w:tc>
        <w:tc>
          <w:tcPr>
            <w:tcW w:w="1653" w:type="dxa"/>
            <w:vAlign w:val="center"/>
          </w:tcPr>
          <w:p>
            <w:pPr>
              <w:jc w:val="center"/>
              <w:rPr>
                <w:rFonts w:ascii="Times New Roman" w:hAnsi="Times New Roman" w:eastAsia="宋体" w:cs="Times New Roman"/>
                <w:bCs/>
                <w:color w:val="auto"/>
                <w:kern w:val="0"/>
                <w:sz w:val="21"/>
                <w:szCs w:val="21"/>
              </w:rPr>
            </w:pP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43</w:t>
            </w:r>
          </w:p>
        </w:tc>
        <w:tc>
          <w:tcPr>
            <w:tcW w:w="564" w:type="dxa"/>
            <w:vMerge w:val="restart"/>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应急管理</w:t>
            </w:r>
          </w:p>
        </w:tc>
        <w:tc>
          <w:tcPr>
            <w:tcW w:w="2118"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企业应当符合下列应急管理要求：</w:t>
            </w:r>
          </w:p>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企业应建立以主要负责人任组长的应急指挥系统，配备应急救援队伍，实行公司和车间分级管理，明确各级应急指挥系统和救援队的职责，规模较小的企业可以不建立应急救援组织，但应指定兼职的应急救援人员；</w:t>
            </w:r>
          </w:p>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生产、储存和使用氯气、氨气、光气、硫化氢等</w:t>
            </w:r>
            <w:bookmarkStart w:id="93" w:name="OLE_LINK73"/>
            <w:bookmarkStart w:id="94" w:name="OLE_LINK74"/>
            <w:r>
              <w:rPr>
                <w:rFonts w:ascii="Times New Roman" w:hAnsi="Times New Roman" w:eastAsia="宋体" w:cs="Times New Roman"/>
                <w:bCs/>
                <w:color w:val="auto"/>
                <w:kern w:val="0"/>
                <w:sz w:val="21"/>
                <w:szCs w:val="21"/>
              </w:rPr>
              <w:t>吸入性有毒有害气体的企业</w:t>
            </w:r>
            <w:bookmarkEnd w:id="93"/>
            <w:bookmarkEnd w:id="94"/>
            <w:r>
              <w:rPr>
                <w:rFonts w:ascii="Times New Roman" w:hAnsi="Times New Roman" w:eastAsia="宋体" w:cs="Times New Roman"/>
                <w:bCs/>
                <w:color w:val="auto"/>
                <w:kern w:val="0"/>
                <w:sz w:val="21"/>
                <w:szCs w:val="21"/>
              </w:rPr>
              <w:t>，除符合本条第一款的规定外，还应当</w:t>
            </w:r>
            <w:bookmarkStart w:id="95" w:name="OLE_LINK72"/>
            <w:bookmarkStart w:id="96" w:name="OLE_LINK71"/>
            <w:r>
              <w:rPr>
                <w:rFonts w:ascii="Times New Roman" w:hAnsi="Times New Roman" w:eastAsia="宋体" w:cs="Times New Roman"/>
                <w:bCs/>
                <w:color w:val="auto"/>
                <w:kern w:val="0"/>
                <w:sz w:val="21"/>
                <w:szCs w:val="21"/>
              </w:rPr>
              <w:t>配备至少两套以上全封闭防化服</w:t>
            </w:r>
            <w:bookmarkEnd w:id="95"/>
            <w:bookmarkEnd w:id="96"/>
            <w:r>
              <w:rPr>
                <w:rFonts w:ascii="Times New Roman" w:hAnsi="Times New Roman" w:eastAsia="宋体" w:cs="Times New Roman"/>
                <w:bCs/>
                <w:color w:val="auto"/>
                <w:kern w:val="0"/>
                <w:sz w:val="21"/>
                <w:szCs w:val="21"/>
              </w:rPr>
              <w:t>；</w:t>
            </w:r>
            <w:bookmarkStart w:id="97" w:name="OLE_LINK78"/>
            <w:bookmarkStart w:id="98" w:name="OLE_LINK75"/>
            <w:r>
              <w:rPr>
                <w:rFonts w:ascii="Times New Roman" w:hAnsi="Times New Roman" w:eastAsia="宋体" w:cs="Times New Roman"/>
                <w:bCs/>
                <w:color w:val="auto"/>
                <w:kern w:val="0"/>
                <w:sz w:val="21"/>
                <w:szCs w:val="21"/>
              </w:rPr>
              <w:t>构成重大危险源的，还应当设立气体防护站（组）</w:t>
            </w:r>
            <w:bookmarkEnd w:id="97"/>
            <w:bookmarkEnd w:id="98"/>
            <w:r>
              <w:rPr>
                <w:rFonts w:ascii="Times New Roman" w:hAnsi="Times New Roman" w:eastAsia="宋体" w:cs="Times New Roman"/>
                <w:bCs/>
                <w:color w:val="auto"/>
                <w:kern w:val="0"/>
                <w:sz w:val="21"/>
                <w:szCs w:val="21"/>
              </w:rPr>
              <w:t>。</w:t>
            </w:r>
          </w:p>
        </w:tc>
        <w:tc>
          <w:tcPr>
            <w:tcW w:w="2424"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《危险化学品生产企业安全生产许可证实施办法》（国家安全生产监督管理总局令第41号）第二十一条</w:t>
            </w:r>
          </w:p>
        </w:tc>
        <w:tc>
          <w:tcPr>
            <w:tcW w:w="1653" w:type="dxa"/>
            <w:vAlign w:val="center"/>
          </w:tcPr>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查是否建立应急救援组织，涉及吸入性有毒有害气体的企业配备至少两套以上全封闭防化服，构成重大危险源的，还应当设立气体防护站（组）。</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44</w:t>
            </w:r>
          </w:p>
        </w:tc>
        <w:tc>
          <w:tcPr>
            <w:tcW w:w="564" w:type="dxa"/>
            <w:vMerge w:val="continue"/>
            <w:vAlign w:val="center"/>
          </w:tcPr>
          <w:p>
            <w:pPr>
              <w:jc w:val="center"/>
              <w:rPr>
                <w:rFonts w:ascii="Times New Roman" w:hAnsi="Times New Roman" w:eastAsia="宋体" w:cs="Times New Roman"/>
                <w:bCs/>
                <w:color w:val="auto"/>
                <w:kern w:val="0"/>
                <w:sz w:val="21"/>
                <w:szCs w:val="21"/>
              </w:rPr>
            </w:pPr>
          </w:p>
        </w:tc>
        <w:tc>
          <w:tcPr>
            <w:tcW w:w="2118"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企业应确立本单位的应急预案体系，按照GB/T29639要求编制综合应急预案、专项应急预案、现场处置方案并及时修订。</w:t>
            </w:r>
            <w:r>
              <w:rPr>
                <w:rFonts w:ascii="Times New Roman" w:hAnsi="Times New Roman" w:eastAsia="宋体" w:cs="Times New Roman"/>
                <w:bCs/>
                <w:color w:val="auto"/>
                <w:kern w:val="0"/>
                <w:sz w:val="21"/>
                <w:szCs w:val="21"/>
              </w:rPr>
              <w:br w:type="textWrapping"/>
            </w:r>
            <w:r>
              <w:rPr>
                <w:rFonts w:ascii="Times New Roman" w:hAnsi="Times New Roman" w:eastAsia="宋体" w:cs="Times New Roman"/>
                <w:bCs/>
                <w:color w:val="auto"/>
                <w:kern w:val="0"/>
                <w:sz w:val="21"/>
                <w:szCs w:val="21"/>
              </w:rPr>
              <w:t>1.综合应急预案应当规定应急组织机构及其职责、应急预案体系、事故风险描述、预警及信息报告、应急响应、保障措施、应急预案管理等内容。</w:t>
            </w:r>
          </w:p>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2.专项应急预案应当规定应急指挥机构与职责、处置程序和措施等内容。</w:t>
            </w:r>
          </w:p>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3.现场处置方案应当规定应急工作职责、应急处置措施和注意事项等内容。</w:t>
            </w:r>
          </w:p>
        </w:tc>
        <w:tc>
          <w:tcPr>
            <w:tcW w:w="2424"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《危险化学品企业安全生产标准化通用规范》(GB45673-2025)</w:t>
            </w:r>
          </w:p>
        </w:tc>
        <w:tc>
          <w:tcPr>
            <w:tcW w:w="1653" w:type="dxa"/>
            <w:vAlign w:val="center"/>
          </w:tcPr>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 xml:space="preserve">查阅应急预案备案资料，核实是否建立企业安全生产应急预案体系，并在岗位进行随机抽查是否放置综合预案、专项预案、岗位应急处置方案和应急处置卡。 </w:t>
            </w:r>
          </w:p>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抽查一涉及重点监管工艺或重大危险源的现场处置方案，核实与企业实际情况的符合性。</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45</w:t>
            </w:r>
          </w:p>
        </w:tc>
        <w:tc>
          <w:tcPr>
            <w:tcW w:w="564" w:type="dxa"/>
            <w:vMerge w:val="continue"/>
            <w:vAlign w:val="center"/>
          </w:tcPr>
          <w:p>
            <w:pPr>
              <w:jc w:val="center"/>
              <w:rPr>
                <w:rFonts w:ascii="Times New Roman" w:hAnsi="Times New Roman" w:eastAsia="宋体" w:cs="Times New Roman"/>
                <w:bCs/>
                <w:color w:val="auto"/>
                <w:kern w:val="0"/>
                <w:sz w:val="21"/>
                <w:szCs w:val="21"/>
              </w:rPr>
            </w:pPr>
          </w:p>
        </w:tc>
        <w:tc>
          <w:tcPr>
            <w:tcW w:w="2118"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企业应制定应急预案定期评估制度，每三年进行一次应急预案评估，对应急预案内容的针对性和实用性给出结论，并对应急预案的修订给出明确意见。</w:t>
            </w:r>
          </w:p>
        </w:tc>
        <w:tc>
          <w:tcPr>
            <w:tcW w:w="2424"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《生产安全事故应急条例》（国务院令第708号）第六条</w:t>
            </w:r>
          </w:p>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《生产安全事故应急预案管理办法》（应急管理部令第2号）第三十五、三十六条</w:t>
            </w:r>
          </w:p>
        </w:tc>
        <w:tc>
          <w:tcPr>
            <w:tcW w:w="1653" w:type="dxa"/>
            <w:vAlign w:val="center"/>
          </w:tcPr>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查预案评估记录，企业是否在应急预案修订前对应急预案内容进行评估分析，形成是否需要修订的结论。</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B级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46</w:t>
            </w:r>
          </w:p>
        </w:tc>
        <w:tc>
          <w:tcPr>
            <w:tcW w:w="564" w:type="dxa"/>
            <w:vMerge w:val="continue"/>
            <w:vAlign w:val="center"/>
          </w:tcPr>
          <w:p>
            <w:pPr>
              <w:jc w:val="center"/>
              <w:rPr>
                <w:rFonts w:ascii="Times New Roman" w:hAnsi="Times New Roman" w:eastAsia="宋体" w:cs="Times New Roman"/>
                <w:bCs/>
                <w:color w:val="auto"/>
                <w:kern w:val="0"/>
                <w:sz w:val="21"/>
                <w:szCs w:val="21"/>
              </w:rPr>
            </w:pPr>
          </w:p>
        </w:tc>
        <w:tc>
          <w:tcPr>
            <w:tcW w:w="2118"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企业应制定本单位年度的应急预案演练计划，根据本单位的事故风险特点，每年至少组织一次综合应急预案演练或者专项应急预案演练，每半年至少组织一次现场处置方案演练。对重大危险源专项应急预案，每年至少进行一次；对重大危险源现场处置方案，每半年至少进行一次。</w:t>
            </w:r>
          </w:p>
        </w:tc>
        <w:tc>
          <w:tcPr>
            <w:tcW w:w="2424"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《生产安全事故应急预案管理办法》（应急管理部令第2号）第三十一条</w:t>
            </w:r>
          </w:p>
        </w:tc>
        <w:tc>
          <w:tcPr>
            <w:tcW w:w="1653" w:type="dxa"/>
            <w:vAlign w:val="center"/>
          </w:tcPr>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查阅应急演练计划、应急演练记录、应急演练评估报告，核实演练计划编制是否符合AQ/T 9007-2019 第5节的要求，演练工作方案是否符合AQ/T 9007-2019第6.2.1条要求、演练频次是否满足规定。</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47</w:t>
            </w:r>
          </w:p>
        </w:tc>
        <w:tc>
          <w:tcPr>
            <w:tcW w:w="564" w:type="dxa"/>
            <w:vMerge w:val="continue"/>
            <w:vAlign w:val="center"/>
          </w:tcPr>
          <w:p>
            <w:pPr>
              <w:jc w:val="center"/>
              <w:rPr>
                <w:rFonts w:ascii="Times New Roman" w:hAnsi="Times New Roman" w:eastAsia="宋体" w:cs="Times New Roman"/>
                <w:bCs/>
                <w:color w:val="auto"/>
                <w:kern w:val="0"/>
                <w:sz w:val="21"/>
                <w:szCs w:val="21"/>
              </w:rPr>
            </w:pPr>
          </w:p>
        </w:tc>
        <w:tc>
          <w:tcPr>
            <w:tcW w:w="2118"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应急演练结束后应按照YJ/T 9009-2015要求，及时对演练效果进行评估，对存在的问题及时整改，并持续完善应急预案。</w:t>
            </w:r>
          </w:p>
        </w:tc>
        <w:tc>
          <w:tcPr>
            <w:tcW w:w="2424"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《生产安全事故应急预案管理办法》（应急管理部令第2号）第三十四条</w:t>
            </w:r>
          </w:p>
          <w:p>
            <w:pPr>
              <w:widowControl/>
              <w:spacing w:line="280" w:lineRule="exact"/>
              <w:textAlignment w:val="center"/>
              <w:rPr>
                <w:rFonts w:ascii="Times New Roman" w:hAnsi="Times New Roman" w:eastAsia="宋体" w:cs="Times New Roman"/>
                <w:bCs/>
                <w:color w:val="auto"/>
                <w:kern w:val="0"/>
                <w:sz w:val="21"/>
                <w:szCs w:val="21"/>
              </w:rPr>
            </w:pPr>
            <w:bookmarkStart w:id="99" w:name="OLE_LINK68"/>
            <w:bookmarkStart w:id="100" w:name="OLE_LINK67"/>
            <w:r>
              <w:rPr>
                <w:rFonts w:ascii="Times New Roman" w:hAnsi="Times New Roman" w:eastAsia="宋体" w:cs="Times New Roman"/>
                <w:bCs/>
                <w:color w:val="auto"/>
                <w:kern w:val="0"/>
                <w:sz w:val="21"/>
                <w:szCs w:val="21"/>
              </w:rPr>
              <w:t>《生产安全事故应急演练评估规范》</w:t>
            </w:r>
          </w:p>
          <w:p>
            <w:pPr>
              <w:widowControl/>
              <w:spacing w:line="280" w:lineRule="exact"/>
              <w:textAlignment w:val="center"/>
              <w:rPr>
                <w:rFonts w:ascii="Times New Roman" w:hAnsi="Times New Roman" w:eastAsia="宋体" w:cs="Times New Roman"/>
                <w:bCs/>
                <w:color w:val="auto"/>
                <w:kern w:val="0"/>
                <w:sz w:val="21"/>
                <w:szCs w:val="21"/>
              </w:rPr>
            </w:pPr>
            <w:bookmarkStart w:id="101" w:name="OLE_LINK70"/>
            <w:bookmarkStart w:id="102" w:name="OLE_LINK69"/>
            <w:r>
              <w:rPr>
                <w:rFonts w:ascii="Times New Roman" w:hAnsi="Times New Roman" w:eastAsia="宋体" w:cs="Times New Roman"/>
                <w:bCs/>
                <w:color w:val="auto"/>
                <w:kern w:val="0"/>
                <w:sz w:val="21"/>
                <w:szCs w:val="21"/>
              </w:rPr>
              <w:t>YJ/T</w:t>
            </w:r>
            <w:bookmarkEnd w:id="101"/>
            <w:bookmarkEnd w:id="102"/>
            <w:r>
              <w:rPr>
                <w:rFonts w:ascii="Times New Roman" w:hAnsi="Times New Roman" w:eastAsia="宋体" w:cs="Times New Roman"/>
                <w:bCs/>
                <w:color w:val="auto"/>
                <w:kern w:val="0"/>
                <w:sz w:val="21"/>
                <w:szCs w:val="21"/>
              </w:rPr>
              <w:t xml:space="preserve"> 9009-2015</w:t>
            </w:r>
            <w:bookmarkEnd w:id="99"/>
            <w:bookmarkEnd w:id="100"/>
          </w:p>
        </w:tc>
        <w:tc>
          <w:tcPr>
            <w:tcW w:w="1653" w:type="dxa"/>
            <w:vAlign w:val="center"/>
          </w:tcPr>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核实演练计划的执行情况和演练效果评价情况，演练效果评价内容要具备充分性和有效性，并形成记录，并根据演练效果评价和存在的问题对应急救援预案进行修订。</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48</w:t>
            </w:r>
          </w:p>
        </w:tc>
        <w:tc>
          <w:tcPr>
            <w:tcW w:w="564" w:type="dxa"/>
            <w:vMerge w:val="continue"/>
            <w:vAlign w:val="center"/>
          </w:tcPr>
          <w:p>
            <w:pPr>
              <w:jc w:val="center"/>
              <w:rPr>
                <w:rFonts w:ascii="Times New Roman" w:hAnsi="Times New Roman" w:eastAsia="宋体" w:cs="Times New Roman"/>
                <w:bCs/>
                <w:color w:val="auto"/>
                <w:kern w:val="0"/>
                <w:sz w:val="21"/>
                <w:szCs w:val="21"/>
              </w:rPr>
            </w:pPr>
          </w:p>
        </w:tc>
        <w:tc>
          <w:tcPr>
            <w:tcW w:w="2118"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企业应配备必要的应急救援器材、设备和物资，并进行经常性维护、保养，保证正常运转。根据要求配备应急装备和物资，建立应急资源台账、维护保养记录。应急资源台账应至少包含设备设施名称、数量、存放地点、联系人、联系电话等信息。应按照规范要求每月进行一次检查。</w:t>
            </w:r>
          </w:p>
        </w:tc>
        <w:tc>
          <w:tcPr>
            <w:tcW w:w="2424"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《危险化学品单位应急救援物资配备标准》GB30077-2023第9.1、9.3条</w:t>
            </w:r>
          </w:p>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《危险化学品生产企业安全生产许可证实施办法》（国家安全生产监督管理总局令第41号）</w:t>
            </w:r>
          </w:p>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第二十一条</w:t>
            </w:r>
          </w:p>
        </w:tc>
        <w:tc>
          <w:tcPr>
            <w:tcW w:w="1653"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查应急资源台账、现场</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widowControl/>
              <w:spacing w:line="280" w:lineRule="exact"/>
              <w:jc w:val="center"/>
              <w:textAlignment w:val="center"/>
              <w:rPr>
                <w:rFonts w:ascii="Times New Roman" w:hAnsi="Times New Roman" w:eastAsia="宋体" w:cs="Times New Roman"/>
                <w:b/>
                <w:color w:val="auto"/>
                <w:kern w:val="0"/>
                <w:sz w:val="21"/>
                <w:szCs w:val="21"/>
              </w:rPr>
            </w:pPr>
            <w:r>
              <w:rPr>
                <w:rFonts w:ascii="Times New Roman" w:hAnsi="Times New Roman" w:eastAsia="宋体" w:cs="Times New Roman"/>
                <w:b/>
                <w:color w:val="auto"/>
                <w:kern w:val="0"/>
                <w:sz w:val="21"/>
                <w:szCs w:val="21"/>
              </w:rPr>
              <w:t>A级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49</w:t>
            </w:r>
          </w:p>
        </w:tc>
        <w:tc>
          <w:tcPr>
            <w:tcW w:w="564" w:type="dxa"/>
            <w:vMerge w:val="continue"/>
            <w:vAlign w:val="center"/>
          </w:tcPr>
          <w:p>
            <w:pPr>
              <w:jc w:val="center"/>
              <w:rPr>
                <w:rFonts w:ascii="Times New Roman" w:hAnsi="Times New Roman" w:eastAsia="宋体" w:cs="Times New Roman"/>
                <w:bCs/>
                <w:color w:val="auto"/>
                <w:kern w:val="0"/>
                <w:sz w:val="21"/>
                <w:szCs w:val="21"/>
              </w:rPr>
            </w:pPr>
          </w:p>
        </w:tc>
        <w:tc>
          <w:tcPr>
            <w:tcW w:w="2118"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企业应在有毒有害岗位配备应急器材柜（气防柜），设置与柜内器材相符的应急器材清单，应急器材完好有效。</w:t>
            </w:r>
          </w:p>
        </w:tc>
        <w:tc>
          <w:tcPr>
            <w:tcW w:w="2424"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《危险化学品单位应急救援物资配备标准》GB30077-2023第9.1、9.3条</w:t>
            </w:r>
          </w:p>
        </w:tc>
        <w:tc>
          <w:tcPr>
            <w:tcW w:w="1653" w:type="dxa"/>
            <w:vAlign w:val="center"/>
          </w:tcPr>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查阅应急物资检查记录和现场随机抽样，核实应急物资和应急器材的完好。</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50</w:t>
            </w:r>
          </w:p>
        </w:tc>
        <w:tc>
          <w:tcPr>
            <w:tcW w:w="564" w:type="dxa"/>
            <w:vMerge w:val="continue"/>
            <w:vAlign w:val="center"/>
          </w:tcPr>
          <w:p>
            <w:pPr>
              <w:jc w:val="center"/>
              <w:rPr>
                <w:rFonts w:ascii="Times New Roman" w:hAnsi="Times New Roman" w:eastAsia="宋体" w:cs="Times New Roman"/>
                <w:bCs/>
                <w:color w:val="auto"/>
                <w:kern w:val="0"/>
                <w:sz w:val="21"/>
                <w:szCs w:val="21"/>
              </w:rPr>
            </w:pPr>
          </w:p>
        </w:tc>
        <w:tc>
          <w:tcPr>
            <w:tcW w:w="2118"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消防柜内器材配备齐全，附件完好无损，有专人负责定期检查灭火器材，药剂定期更换，有更换记录和有效期标签。罐区、石油化工装置区、锅炉房等重点场所应每半月检查一次。</w:t>
            </w:r>
          </w:p>
        </w:tc>
        <w:tc>
          <w:tcPr>
            <w:tcW w:w="2424"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《建筑灭火器配置验收及检查规范》</w:t>
            </w:r>
          </w:p>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GB50444-2008第5.2.1、5.2.2条</w:t>
            </w:r>
          </w:p>
        </w:tc>
        <w:tc>
          <w:tcPr>
            <w:tcW w:w="1653"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查现场</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51</w:t>
            </w:r>
          </w:p>
        </w:tc>
        <w:tc>
          <w:tcPr>
            <w:tcW w:w="564" w:type="dxa"/>
            <w:vMerge w:val="continue"/>
            <w:vAlign w:val="center"/>
          </w:tcPr>
          <w:p>
            <w:pPr>
              <w:jc w:val="center"/>
              <w:rPr>
                <w:rFonts w:ascii="Times New Roman" w:hAnsi="Times New Roman" w:eastAsia="宋体" w:cs="Times New Roman"/>
                <w:bCs/>
                <w:color w:val="auto"/>
                <w:kern w:val="0"/>
                <w:sz w:val="21"/>
                <w:szCs w:val="21"/>
              </w:rPr>
            </w:pPr>
          </w:p>
        </w:tc>
        <w:tc>
          <w:tcPr>
            <w:tcW w:w="2118"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企业存在可燃、有毒气体的区域应配备便携式检测仪，并每年检定，保证设备完好。</w:t>
            </w:r>
          </w:p>
        </w:tc>
        <w:tc>
          <w:tcPr>
            <w:tcW w:w="2424"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《危险化学品单位应急救援物资配备要求》GB30077-2023第9.4条</w:t>
            </w:r>
          </w:p>
        </w:tc>
        <w:tc>
          <w:tcPr>
            <w:tcW w:w="1653" w:type="dxa"/>
            <w:vAlign w:val="center"/>
          </w:tcPr>
          <w:p>
            <w:pPr>
              <w:jc w:val="left"/>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涉及有毒有害、易燃易爆气体的岗位设否配备相应数量的便携式气体检测仪，并定期校准或检定。</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C级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1"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52</w:t>
            </w:r>
          </w:p>
        </w:tc>
        <w:tc>
          <w:tcPr>
            <w:tcW w:w="564" w:type="dxa"/>
            <w:vMerge w:val="continue"/>
            <w:vAlign w:val="center"/>
          </w:tcPr>
          <w:p>
            <w:pPr>
              <w:jc w:val="center"/>
              <w:rPr>
                <w:rFonts w:ascii="Times New Roman" w:hAnsi="Times New Roman" w:eastAsia="宋体" w:cs="Times New Roman"/>
                <w:bCs/>
                <w:color w:val="auto"/>
                <w:kern w:val="0"/>
                <w:sz w:val="21"/>
                <w:szCs w:val="21"/>
              </w:rPr>
            </w:pPr>
          </w:p>
        </w:tc>
        <w:tc>
          <w:tcPr>
            <w:tcW w:w="2118"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消防水泵房及其配电室的消防应急照明采用蓄电池作备用电池时，其连续供电时间不应少于3h。</w:t>
            </w:r>
          </w:p>
        </w:tc>
        <w:tc>
          <w:tcPr>
            <w:tcW w:w="2424" w:type="dxa"/>
            <w:vAlign w:val="center"/>
          </w:tcPr>
          <w:p>
            <w:pPr>
              <w:widowControl/>
              <w:spacing w:line="280" w:lineRule="exact"/>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《石油化工企业设计防火标准》GB50160-2008（2018年版）第9.1.2条</w:t>
            </w:r>
          </w:p>
        </w:tc>
        <w:tc>
          <w:tcPr>
            <w:tcW w:w="1653" w:type="dxa"/>
            <w:vAlign w:val="center"/>
          </w:tcPr>
          <w:p>
            <w:pPr>
              <w:jc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查现场</w:t>
            </w:r>
          </w:p>
        </w:tc>
        <w:tc>
          <w:tcPr>
            <w:tcW w:w="1943" w:type="dxa"/>
          </w:tcPr>
          <w:p>
            <w:pPr>
              <w:jc w:val="center"/>
              <w:rPr>
                <w:rFonts w:ascii="Times New Roman" w:hAnsi="Times New Roman" w:eastAsia="宋体" w:cs="Times New Roman"/>
                <w:bCs/>
                <w:color w:val="auto"/>
                <w:kern w:val="0"/>
                <w:sz w:val="21"/>
                <w:szCs w:val="21"/>
              </w:rPr>
            </w:pPr>
          </w:p>
        </w:tc>
        <w:tc>
          <w:tcPr>
            <w:tcW w:w="1805" w:type="dxa"/>
          </w:tcPr>
          <w:p>
            <w:pPr>
              <w:jc w:val="center"/>
              <w:rPr>
                <w:rFonts w:ascii="Times New Roman" w:hAnsi="Times New Roman" w:eastAsia="宋体" w:cs="Times New Roman"/>
                <w:bCs/>
                <w:color w:val="auto"/>
                <w:kern w:val="0"/>
                <w:sz w:val="21"/>
                <w:szCs w:val="21"/>
              </w:rPr>
            </w:pPr>
          </w:p>
        </w:tc>
        <w:tc>
          <w:tcPr>
            <w:tcW w:w="2081" w:type="dxa"/>
          </w:tcPr>
          <w:p>
            <w:pPr>
              <w:jc w:val="center"/>
              <w:rPr>
                <w:rFonts w:ascii="Times New Roman" w:hAnsi="Times New Roman" w:eastAsia="宋体" w:cs="Times New Roman"/>
                <w:bCs/>
                <w:color w:val="auto"/>
                <w:kern w:val="0"/>
                <w:sz w:val="21"/>
                <w:szCs w:val="21"/>
              </w:rPr>
            </w:pPr>
          </w:p>
        </w:tc>
        <w:tc>
          <w:tcPr>
            <w:tcW w:w="702" w:type="dxa"/>
          </w:tcPr>
          <w:p>
            <w:pPr>
              <w:jc w:val="center"/>
              <w:rPr>
                <w:rFonts w:ascii="Times New Roman" w:hAnsi="Times New Roman" w:eastAsia="宋体" w:cs="Times New Roman"/>
                <w:bCs/>
                <w:color w:val="auto"/>
                <w:kern w:val="0"/>
                <w:sz w:val="21"/>
                <w:szCs w:val="21"/>
              </w:rPr>
            </w:pPr>
          </w:p>
        </w:tc>
        <w:tc>
          <w:tcPr>
            <w:tcW w:w="965" w:type="dxa"/>
            <w:vAlign w:val="center"/>
          </w:tcPr>
          <w:p>
            <w:pPr>
              <w:widowControl/>
              <w:spacing w:line="280" w:lineRule="exact"/>
              <w:jc w:val="center"/>
              <w:textAlignment w:val="center"/>
              <w:rPr>
                <w:rFonts w:ascii="Times New Roman" w:hAnsi="Times New Roman" w:eastAsia="宋体" w:cs="Times New Roman"/>
                <w:bCs/>
                <w:color w:val="auto"/>
                <w:kern w:val="0"/>
                <w:sz w:val="21"/>
                <w:szCs w:val="21"/>
              </w:rPr>
            </w:pPr>
            <w:r>
              <w:rPr>
                <w:rFonts w:ascii="Times New Roman" w:hAnsi="Times New Roman" w:eastAsia="宋体" w:cs="Times New Roman"/>
                <w:bCs/>
                <w:color w:val="auto"/>
                <w:kern w:val="0"/>
                <w:sz w:val="21"/>
                <w:szCs w:val="21"/>
              </w:rPr>
              <w:t>C级</w:t>
            </w:r>
          </w:p>
        </w:tc>
      </w:tr>
    </w:tbl>
    <w:p>
      <w:pPr>
        <w:jc w:val="left"/>
        <w:rPr>
          <w:rFonts w:hint="eastAsia" w:ascii="宋体" w:hAnsi="宋体" w:eastAsia="宋体"/>
          <w:b/>
          <w:bCs/>
          <w:color w:val="auto"/>
          <w:sz w:val="30"/>
          <w:szCs w:val="30"/>
        </w:rPr>
      </w:pPr>
    </w:p>
    <w:p>
      <w:pPr>
        <w:widowControl/>
        <w:jc w:val="left"/>
        <w:rPr>
          <w:rFonts w:hint="eastAsia" w:ascii="宋体" w:hAnsi="宋体" w:eastAsia="宋体"/>
          <w:b/>
          <w:bCs/>
          <w:color w:val="auto"/>
          <w:sz w:val="30"/>
          <w:szCs w:val="30"/>
        </w:rPr>
      </w:pPr>
      <w:r>
        <w:rPr>
          <w:rFonts w:ascii="宋体" w:hAnsi="宋体" w:eastAsia="宋体"/>
          <w:b/>
          <w:bCs/>
          <w:color w:val="auto"/>
          <w:sz w:val="30"/>
          <w:szCs w:val="30"/>
        </w:rPr>
        <w:br w:type="page"/>
      </w:r>
    </w:p>
    <w:p>
      <w:pPr>
        <w:jc w:val="left"/>
        <w:outlineLvl w:val="1"/>
        <w:rPr>
          <w:rFonts w:hint="eastAsia" w:ascii="宋体" w:hAnsi="宋体" w:eastAsia="宋体"/>
          <w:b/>
          <w:bCs/>
          <w:color w:val="auto"/>
          <w:sz w:val="30"/>
          <w:szCs w:val="30"/>
        </w:rPr>
      </w:pPr>
      <w:bookmarkStart w:id="103" w:name="_Toc237556462"/>
      <w:bookmarkStart w:id="104" w:name="OLE_LINK50"/>
      <w:bookmarkStart w:id="105" w:name="OLE_LINK49"/>
      <w:r>
        <w:rPr>
          <w:rFonts w:hint="eastAsia" w:ascii="宋体" w:hAnsi="宋体" w:eastAsia="宋体"/>
          <w:b/>
          <w:bCs/>
          <w:color w:val="auto"/>
          <w:sz w:val="30"/>
          <w:szCs w:val="30"/>
        </w:rPr>
        <w:t>附件5-1</w:t>
      </w:r>
      <w:r>
        <w:rPr>
          <w:rFonts w:ascii="宋体" w:hAnsi="宋体" w:eastAsia="宋体"/>
          <w:b/>
          <w:bCs/>
          <w:color w:val="auto"/>
          <w:sz w:val="30"/>
          <w:szCs w:val="30"/>
        </w:rPr>
        <w:t>：精细化工企业检查表</w:t>
      </w:r>
      <w:bookmarkEnd w:id="103"/>
    </w:p>
    <w:bookmarkEnd w:id="104"/>
    <w:bookmarkEnd w:id="105"/>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
        <w:gridCol w:w="2483"/>
        <w:gridCol w:w="2551"/>
        <w:gridCol w:w="1560"/>
        <w:gridCol w:w="1984"/>
        <w:gridCol w:w="1843"/>
        <w:gridCol w:w="2750"/>
        <w:gridCol w:w="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7"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序号</w:t>
            </w:r>
          </w:p>
        </w:tc>
        <w:tc>
          <w:tcPr>
            <w:tcW w:w="2483"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检查内容</w:t>
            </w:r>
          </w:p>
        </w:tc>
        <w:tc>
          <w:tcPr>
            <w:tcW w:w="2551"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检查依据</w:t>
            </w:r>
          </w:p>
        </w:tc>
        <w:tc>
          <w:tcPr>
            <w:tcW w:w="1560"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检查方式</w:t>
            </w:r>
          </w:p>
        </w:tc>
        <w:tc>
          <w:tcPr>
            <w:tcW w:w="1984"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检查情况</w:t>
            </w:r>
          </w:p>
        </w:tc>
        <w:tc>
          <w:tcPr>
            <w:tcW w:w="1843"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检查问题</w:t>
            </w:r>
          </w:p>
        </w:tc>
        <w:tc>
          <w:tcPr>
            <w:tcW w:w="2750"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整改建议</w:t>
            </w:r>
          </w:p>
        </w:tc>
        <w:tc>
          <w:tcPr>
            <w:tcW w:w="701"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重大</w:t>
            </w:r>
          </w:p>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隐患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7"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w:t>
            </w:r>
          </w:p>
        </w:tc>
        <w:tc>
          <w:tcPr>
            <w:tcW w:w="2483"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企业应全面识别生产工艺中涉及的原料、辅料、中间产物、产品（包括副产品）、副产物、换热介质、密封液以及工艺条件偏差产生的物质等物料的危险性，掌握其理化特性、危害程度分级等数据，并建立化学品相容性矩阵。</w:t>
            </w:r>
          </w:p>
        </w:tc>
        <w:tc>
          <w:tcPr>
            <w:tcW w:w="2551"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《精细化工企业安全管理规范》（AQ 3062-2025）</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第 4.3 条</w:t>
            </w:r>
          </w:p>
        </w:tc>
        <w:tc>
          <w:tcPr>
            <w:tcW w:w="1560"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查阅评价报告和企业的“一书一签”</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50" w:type="dxa"/>
          </w:tcPr>
          <w:p>
            <w:pPr>
              <w:jc w:val="center"/>
              <w:rPr>
                <w:rFonts w:ascii="Times New Roman" w:hAnsi="Times New Roman" w:eastAsia="宋体" w:cs="Times New Roman"/>
                <w:color w:val="auto"/>
                <w:szCs w:val="21"/>
              </w:rPr>
            </w:pPr>
          </w:p>
        </w:tc>
        <w:tc>
          <w:tcPr>
            <w:tcW w:w="701"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7"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w:t>
            </w:r>
          </w:p>
        </w:tc>
        <w:tc>
          <w:tcPr>
            <w:tcW w:w="2483"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1.企业不应在已建成投用的生产装置上进行中试和工业化试验。除国家法律法规另有规定外，中试或工业化试验装置不应直接进行工业化生产。</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2.中试和工业化试验装置应在独立区域单独设置，不应与生产装置设置在同一建构筑物内，不同试验装置应处于独立的防火分区内，并满足防火防爆等安全要求。</w:t>
            </w:r>
          </w:p>
        </w:tc>
        <w:tc>
          <w:tcPr>
            <w:tcW w:w="2551"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《精细化工企业安全管理规范》（AQ 3062-2025）</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第 4.6 条、第6.6 条</w:t>
            </w:r>
          </w:p>
        </w:tc>
        <w:tc>
          <w:tcPr>
            <w:tcW w:w="1560"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查阅中试和工业化试验资料，现场核查。</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50" w:type="dxa"/>
          </w:tcPr>
          <w:p>
            <w:pPr>
              <w:jc w:val="center"/>
              <w:rPr>
                <w:rFonts w:ascii="Times New Roman" w:hAnsi="Times New Roman" w:eastAsia="宋体" w:cs="Times New Roman"/>
                <w:color w:val="auto"/>
                <w:szCs w:val="21"/>
              </w:rPr>
            </w:pPr>
          </w:p>
        </w:tc>
        <w:tc>
          <w:tcPr>
            <w:tcW w:w="701"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37"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3</w:t>
            </w:r>
          </w:p>
        </w:tc>
        <w:tc>
          <w:tcPr>
            <w:tcW w:w="2483"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涉及放热易造成热失控的反应，通过控制加料速度来控制反应放热量时，应采用自动加料系统，控制加料速度在设计的安全范围内。加料速度控制措施应采取至少两种固定不可超调的限流措施，如限制进料管径、设置限流孔板、调节阀物理限位等。</w:t>
            </w:r>
          </w:p>
        </w:tc>
        <w:tc>
          <w:tcPr>
            <w:tcW w:w="2551"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《精细化工企业安全管理规范》（AQ 3062-2025）</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第 7.2.1.2 条</w:t>
            </w:r>
          </w:p>
        </w:tc>
        <w:tc>
          <w:tcPr>
            <w:tcW w:w="1560"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查阅企业涉及反应的资料，现场核查。</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50" w:type="dxa"/>
          </w:tcPr>
          <w:p>
            <w:pPr>
              <w:jc w:val="center"/>
              <w:rPr>
                <w:rFonts w:ascii="Times New Roman" w:hAnsi="Times New Roman" w:eastAsia="宋体" w:cs="Times New Roman"/>
                <w:color w:val="auto"/>
                <w:szCs w:val="21"/>
              </w:rPr>
            </w:pPr>
          </w:p>
        </w:tc>
        <w:tc>
          <w:tcPr>
            <w:tcW w:w="701"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7"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4</w:t>
            </w:r>
          </w:p>
        </w:tc>
        <w:tc>
          <w:tcPr>
            <w:tcW w:w="2483"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存在高压窜低压且会造成设备损害或物料泄漏风险的设备，应采取压力监测报警、安全联锁、紧急切断及安全泄放等防窜压措施。</w:t>
            </w:r>
          </w:p>
        </w:tc>
        <w:tc>
          <w:tcPr>
            <w:tcW w:w="2551"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《精细化工企业安全管理规范》（AQ 3062-2025）</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第 7.2.1.8 条</w:t>
            </w:r>
          </w:p>
        </w:tc>
        <w:tc>
          <w:tcPr>
            <w:tcW w:w="1560"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查阅评价报告，现场核查。</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50" w:type="dxa"/>
          </w:tcPr>
          <w:p>
            <w:pPr>
              <w:jc w:val="center"/>
              <w:rPr>
                <w:rFonts w:ascii="Times New Roman" w:hAnsi="Times New Roman" w:eastAsia="宋体" w:cs="Times New Roman"/>
                <w:color w:val="auto"/>
                <w:szCs w:val="21"/>
              </w:rPr>
            </w:pPr>
          </w:p>
        </w:tc>
        <w:tc>
          <w:tcPr>
            <w:tcW w:w="701"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7"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5</w:t>
            </w:r>
          </w:p>
        </w:tc>
        <w:tc>
          <w:tcPr>
            <w:tcW w:w="2483"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建设项目应优先选用过滤、淋洗、干燥一体化设备。企业涉及易燃易爆、有毒物料时，不应采用敞开式真空抽滤设备及敞开式离心分离机，涉及易燃易爆介质的离心分离机系统应按GB 19815的规定设置惰性气体保护、在线氧含量检测报警联锁系统等设施。</w:t>
            </w:r>
          </w:p>
        </w:tc>
        <w:tc>
          <w:tcPr>
            <w:tcW w:w="2551"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《精细化工企业安全管理规范》（AQ 3062-2025）</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第 7.2.2.1 条</w:t>
            </w:r>
          </w:p>
        </w:tc>
        <w:tc>
          <w:tcPr>
            <w:tcW w:w="1560"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查阅安全设施设计报告、竣工验收报告、现状评价报告，现场核查。</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50" w:type="dxa"/>
          </w:tcPr>
          <w:p>
            <w:pPr>
              <w:jc w:val="center"/>
              <w:rPr>
                <w:rFonts w:ascii="Times New Roman" w:hAnsi="Times New Roman" w:eastAsia="宋体" w:cs="Times New Roman"/>
                <w:color w:val="auto"/>
                <w:szCs w:val="21"/>
              </w:rPr>
            </w:pPr>
          </w:p>
        </w:tc>
        <w:tc>
          <w:tcPr>
            <w:tcW w:w="701"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7"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6</w:t>
            </w:r>
          </w:p>
        </w:tc>
        <w:tc>
          <w:tcPr>
            <w:tcW w:w="2483"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分离作业场所应设置通风系统，涉及惰性气体使用的封闭、半封闭作业空间应设置氧含量检测报警联锁系统。</w:t>
            </w:r>
          </w:p>
        </w:tc>
        <w:tc>
          <w:tcPr>
            <w:tcW w:w="2551"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《精细化工企业安全管理规范》（AQ 3062-2025）</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第 7.2.2.2 条</w:t>
            </w:r>
          </w:p>
        </w:tc>
        <w:tc>
          <w:tcPr>
            <w:tcW w:w="1560"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查阅安全设施设计报告、竣工验收报告、现状评价报告，现场核查。</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50" w:type="dxa"/>
          </w:tcPr>
          <w:p>
            <w:pPr>
              <w:jc w:val="center"/>
              <w:rPr>
                <w:rFonts w:ascii="Times New Roman" w:hAnsi="Times New Roman" w:eastAsia="宋体" w:cs="Times New Roman"/>
                <w:color w:val="auto"/>
                <w:szCs w:val="21"/>
              </w:rPr>
            </w:pPr>
          </w:p>
        </w:tc>
        <w:tc>
          <w:tcPr>
            <w:tcW w:w="701"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37"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7</w:t>
            </w:r>
          </w:p>
        </w:tc>
        <w:tc>
          <w:tcPr>
            <w:tcW w:w="2483"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挥发性液体危险化学品的装卸应采用设有平衡管或有惰性气体保护的密闭系统。甲 B、乙 A 类可燃液体物料不应采用真空或压缩空气压送方式输送。</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注：挥发性液体是指 20℃时，真实蒸气压大于0.3kPa 的单一组分液体，或者真实蒸气压大于或等于0.3kPa 的组分总质量占比大于或等于 20%的液体混合物。</w:t>
            </w:r>
          </w:p>
        </w:tc>
        <w:tc>
          <w:tcPr>
            <w:tcW w:w="2551"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《精细化工企业安全管理规范》（AQ 3062-2025）</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第 7.2.4.1 条</w:t>
            </w:r>
          </w:p>
        </w:tc>
        <w:tc>
          <w:tcPr>
            <w:tcW w:w="1560"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查阅安全设施设计报告、竣工验收报告、现状评价报告，现场核查。</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50" w:type="dxa"/>
          </w:tcPr>
          <w:p>
            <w:pPr>
              <w:jc w:val="center"/>
              <w:rPr>
                <w:rFonts w:ascii="Times New Roman" w:hAnsi="Times New Roman" w:eastAsia="宋体" w:cs="Times New Roman"/>
                <w:color w:val="auto"/>
                <w:szCs w:val="21"/>
              </w:rPr>
            </w:pPr>
          </w:p>
        </w:tc>
        <w:tc>
          <w:tcPr>
            <w:tcW w:w="701"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7"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8</w:t>
            </w:r>
          </w:p>
        </w:tc>
        <w:tc>
          <w:tcPr>
            <w:tcW w:w="2483"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建设项目甲、乙类厂房（装置）内单品种桶装易燃、有毒液体物料1天（24h）使用量超过1吨时，应设置供料间转送物料。供料间布置在厂房（装置）内时，应设置在本厂房（装置）首层的一侧，并采用无门、窗、洞口的防火隔墙和耐火极限不低于1.50h的不燃性楼板与厂房（装置）的其他部位分隔。供料间应根据物料性质设置必要的隔离、防流散、防渗、防腐、静电接地、机械通风设施以及可燃气体和有毒气体检测报警系统（GDS）等，并满足9.2.10中间仓库物料存放量的规定。</w:t>
            </w:r>
          </w:p>
        </w:tc>
        <w:tc>
          <w:tcPr>
            <w:tcW w:w="2551"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《精细化工企业安全管理规范》（AQ 3062-2025）</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第 7.2.4.2 条</w:t>
            </w:r>
          </w:p>
        </w:tc>
        <w:tc>
          <w:tcPr>
            <w:tcW w:w="1560"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查阅安全设施设计报告、竣工验收报告、现状评价报告，现场核查。</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50" w:type="dxa"/>
          </w:tcPr>
          <w:p>
            <w:pPr>
              <w:jc w:val="center"/>
              <w:rPr>
                <w:rFonts w:ascii="Times New Roman" w:hAnsi="Times New Roman" w:eastAsia="宋体" w:cs="Times New Roman"/>
                <w:color w:val="auto"/>
                <w:szCs w:val="21"/>
              </w:rPr>
            </w:pPr>
          </w:p>
        </w:tc>
        <w:tc>
          <w:tcPr>
            <w:tcW w:w="701"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7"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9</w:t>
            </w:r>
          </w:p>
        </w:tc>
        <w:tc>
          <w:tcPr>
            <w:tcW w:w="2483"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液体物料应采用管道密闭输送，输送可燃介质的管道应符合静电导除的要求。可燃物料和急性毒性属于类别1、类别2物料的输送不应采用非金属管道。</w:t>
            </w:r>
          </w:p>
        </w:tc>
        <w:tc>
          <w:tcPr>
            <w:tcW w:w="2551"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《精细化工企业安全管理规范》（AQ 3062-2025）</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第 7.2.4.3 条</w:t>
            </w:r>
          </w:p>
        </w:tc>
        <w:tc>
          <w:tcPr>
            <w:tcW w:w="1560"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现场核查</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50" w:type="dxa"/>
          </w:tcPr>
          <w:p>
            <w:pPr>
              <w:jc w:val="center"/>
              <w:rPr>
                <w:rFonts w:ascii="Times New Roman" w:hAnsi="Times New Roman" w:eastAsia="宋体" w:cs="Times New Roman"/>
                <w:color w:val="auto"/>
                <w:szCs w:val="21"/>
              </w:rPr>
            </w:pPr>
          </w:p>
        </w:tc>
        <w:tc>
          <w:tcPr>
            <w:tcW w:w="701"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7"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10</w:t>
            </w:r>
          </w:p>
        </w:tc>
        <w:tc>
          <w:tcPr>
            <w:tcW w:w="2483"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桶装可燃液体生产、使用场所，应在设计中明确桶装可燃液体的放置位置（在设计图上标注）、最大放置总量（设计时应遵循尽可能减量的原则）和单个包装桶最大容积，并按设计严格限量。</w:t>
            </w:r>
          </w:p>
        </w:tc>
        <w:tc>
          <w:tcPr>
            <w:tcW w:w="2551"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事故教训</w:t>
            </w:r>
          </w:p>
        </w:tc>
        <w:tc>
          <w:tcPr>
            <w:tcW w:w="1560"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查阅安全设施设计报告、竣工验收报告、现状评价报告，现场核查。</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50" w:type="dxa"/>
          </w:tcPr>
          <w:p>
            <w:pPr>
              <w:jc w:val="center"/>
              <w:rPr>
                <w:rFonts w:ascii="Times New Roman" w:hAnsi="Times New Roman" w:eastAsia="宋体" w:cs="Times New Roman"/>
                <w:color w:val="auto"/>
                <w:szCs w:val="21"/>
              </w:rPr>
            </w:pPr>
          </w:p>
        </w:tc>
        <w:tc>
          <w:tcPr>
            <w:tcW w:w="701"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37"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11</w:t>
            </w:r>
          </w:p>
        </w:tc>
        <w:tc>
          <w:tcPr>
            <w:tcW w:w="2483"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桶装易燃液体开桶、取样、分装、装桶、打料、涨桶处置等作业设施、作业工具应符合防火防爆、防静电等安全要求。</w:t>
            </w:r>
          </w:p>
        </w:tc>
        <w:tc>
          <w:tcPr>
            <w:tcW w:w="2551"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事故教训</w:t>
            </w:r>
          </w:p>
        </w:tc>
        <w:tc>
          <w:tcPr>
            <w:tcW w:w="1560"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现场核查</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50" w:type="dxa"/>
          </w:tcPr>
          <w:p>
            <w:pPr>
              <w:jc w:val="center"/>
              <w:rPr>
                <w:rFonts w:ascii="Times New Roman" w:hAnsi="Times New Roman" w:eastAsia="宋体" w:cs="Times New Roman"/>
                <w:color w:val="auto"/>
                <w:szCs w:val="21"/>
              </w:rPr>
            </w:pPr>
          </w:p>
        </w:tc>
        <w:tc>
          <w:tcPr>
            <w:tcW w:w="701"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7"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12</w:t>
            </w:r>
          </w:p>
        </w:tc>
        <w:tc>
          <w:tcPr>
            <w:tcW w:w="2483"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企业应制定桶装可燃液体相关作业的安全操作规程，并教育和督促作业人员严格执行安全操作规程。</w:t>
            </w:r>
          </w:p>
        </w:tc>
        <w:tc>
          <w:tcPr>
            <w:tcW w:w="2551"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事故教训</w:t>
            </w:r>
          </w:p>
        </w:tc>
        <w:tc>
          <w:tcPr>
            <w:tcW w:w="1560"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查安全操作规程</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50" w:type="dxa"/>
          </w:tcPr>
          <w:p>
            <w:pPr>
              <w:jc w:val="center"/>
              <w:rPr>
                <w:rFonts w:ascii="Times New Roman" w:hAnsi="Times New Roman" w:eastAsia="宋体" w:cs="Times New Roman"/>
                <w:color w:val="auto"/>
                <w:szCs w:val="21"/>
              </w:rPr>
            </w:pPr>
          </w:p>
        </w:tc>
        <w:tc>
          <w:tcPr>
            <w:tcW w:w="701"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7"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13</w:t>
            </w:r>
          </w:p>
        </w:tc>
        <w:tc>
          <w:tcPr>
            <w:tcW w:w="2483"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1.采用共线设施的精细化工装置，应结合反应物料及工艺，充分考虑各产品生产工艺操作参数与设备的符合性、产能的匹配性、自动控制系统调整的要求和安全可靠性以及防爆电气的选型、反应釜的泄压设施等。</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2.建设项目涉及的产品切换时可能存在物料不相容的共线设施，应设计批量控制程序（系统）实现不同生产工况下的自动切换。</w:t>
            </w:r>
          </w:p>
        </w:tc>
        <w:tc>
          <w:tcPr>
            <w:tcW w:w="2551"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《精细化工企业安全管理规范》（AQ 3062-2025）</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第 7.2.5.1 条、第 7.2.5.2 条</w:t>
            </w:r>
          </w:p>
        </w:tc>
        <w:tc>
          <w:tcPr>
            <w:tcW w:w="1560"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查阅安全设施设计报告、竣工验收报告、现状评价报告，现场核查。</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50" w:type="dxa"/>
          </w:tcPr>
          <w:p>
            <w:pPr>
              <w:jc w:val="center"/>
              <w:rPr>
                <w:rFonts w:ascii="Times New Roman" w:hAnsi="Times New Roman" w:eastAsia="宋体" w:cs="Times New Roman"/>
                <w:color w:val="auto"/>
                <w:szCs w:val="21"/>
              </w:rPr>
            </w:pPr>
          </w:p>
        </w:tc>
        <w:tc>
          <w:tcPr>
            <w:tcW w:w="701"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7"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14</w:t>
            </w:r>
          </w:p>
        </w:tc>
        <w:tc>
          <w:tcPr>
            <w:tcW w:w="2483"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危险化学品计量槽、高位槽应设置液位高、低报警，并设置溢流管道或采取液位高高报警值联锁停进料措施。</w:t>
            </w:r>
          </w:p>
        </w:tc>
        <w:tc>
          <w:tcPr>
            <w:tcW w:w="2551"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《精细化工企业安全管理规范》（AQ 3062-2025）</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第 7.4.2.4 条</w:t>
            </w:r>
          </w:p>
        </w:tc>
        <w:tc>
          <w:tcPr>
            <w:tcW w:w="1560"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查阅安全设施设计报告、竣工验收报告、现状评价报告，现场核查。</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50" w:type="dxa"/>
          </w:tcPr>
          <w:p>
            <w:pPr>
              <w:jc w:val="center"/>
              <w:rPr>
                <w:rFonts w:ascii="Times New Roman" w:hAnsi="Times New Roman" w:eastAsia="宋体" w:cs="Times New Roman"/>
                <w:color w:val="auto"/>
                <w:szCs w:val="21"/>
              </w:rPr>
            </w:pPr>
          </w:p>
        </w:tc>
        <w:tc>
          <w:tcPr>
            <w:tcW w:w="701"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37"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15</w:t>
            </w:r>
          </w:p>
        </w:tc>
        <w:tc>
          <w:tcPr>
            <w:tcW w:w="2483"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涉及有毒气体应急处置系统的吸收剂供应泵、吸收剂循环泵和尾气风机等设备应设置应急电源，其配电、控制线路应具备阻燃耐火性能或采取防火保护措施。</w:t>
            </w:r>
          </w:p>
        </w:tc>
        <w:tc>
          <w:tcPr>
            <w:tcW w:w="2551"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《精细化工企业安全管理规范》（AQ 3062-2025）</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第 7.5.5 条</w:t>
            </w:r>
          </w:p>
        </w:tc>
        <w:tc>
          <w:tcPr>
            <w:tcW w:w="1560"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查阅安全设施设计报告、竣工验收报告、现状评价报告，现场核查。</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50" w:type="dxa"/>
          </w:tcPr>
          <w:p>
            <w:pPr>
              <w:jc w:val="center"/>
              <w:rPr>
                <w:rFonts w:ascii="Times New Roman" w:hAnsi="Times New Roman" w:eastAsia="宋体" w:cs="Times New Roman"/>
                <w:color w:val="auto"/>
                <w:szCs w:val="21"/>
              </w:rPr>
            </w:pPr>
          </w:p>
        </w:tc>
        <w:tc>
          <w:tcPr>
            <w:tcW w:w="701"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7"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16</w:t>
            </w:r>
          </w:p>
        </w:tc>
        <w:tc>
          <w:tcPr>
            <w:tcW w:w="2483"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厂房（装置） 内物料的存放符合下列要求：</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1.原料、辅料、产品、中间产品、副产品、包装物等应定点存放，存放量不应超过单班或单批次使用（生产）量；</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2.原料、辅料存放量需要超过单班或单批次使用量时，应按GB 51283 的要求设置中间仓库；</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3.原料、辅料单个包装物的满装量超过其 1 天（24h）的使用量时，其中间仓库设计存放量不应超过 1 个包装物的满装量；</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4.物料的堆放不应影响应急疏散和消防救援。</w:t>
            </w:r>
          </w:p>
        </w:tc>
        <w:tc>
          <w:tcPr>
            <w:tcW w:w="2551"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《精细化工企业安全管理规范》（AQ 3062-2025）</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第 9.2.10 条</w:t>
            </w:r>
          </w:p>
        </w:tc>
        <w:tc>
          <w:tcPr>
            <w:tcW w:w="1560"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现场核查</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50" w:type="dxa"/>
          </w:tcPr>
          <w:p>
            <w:pPr>
              <w:jc w:val="center"/>
              <w:rPr>
                <w:rFonts w:ascii="Times New Roman" w:hAnsi="Times New Roman" w:eastAsia="宋体" w:cs="Times New Roman"/>
                <w:color w:val="auto"/>
                <w:szCs w:val="21"/>
              </w:rPr>
            </w:pPr>
          </w:p>
        </w:tc>
        <w:tc>
          <w:tcPr>
            <w:tcW w:w="701" w:type="dxa"/>
          </w:tcPr>
          <w:p>
            <w:pPr>
              <w:jc w:val="center"/>
              <w:rPr>
                <w:rFonts w:ascii="Times New Roman" w:hAnsi="Times New Roman" w:eastAsia="宋体" w:cs="Times New Roman"/>
                <w:color w:val="auto"/>
                <w:szCs w:val="21"/>
              </w:rPr>
            </w:pPr>
          </w:p>
        </w:tc>
      </w:tr>
    </w:tbl>
    <w:p>
      <w:pPr>
        <w:jc w:val="left"/>
        <w:rPr>
          <w:rFonts w:hint="eastAsia" w:ascii="宋体" w:hAnsi="宋体" w:eastAsia="宋体"/>
          <w:b/>
          <w:bCs/>
          <w:color w:val="auto"/>
          <w:sz w:val="30"/>
          <w:szCs w:val="30"/>
        </w:rPr>
      </w:pPr>
    </w:p>
    <w:p>
      <w:pPr>
        <w:widowControl/>
        <w:jc w:val="left"/>
        <w:rPr>
          <w:rFonts w:hint="eastAsia" w:ascii="宋体" w:hAnsi="宋体" w:eastAsia="宋体"/>
          <w:b/>
          <w:bCs/>
          <w:color w:val="auto"/>
          <w:sz w:val="30"/>
          <w:szCs w:val="30"/>
        </w:rPr>
      </w:pPr>
      <w:r>
        <w:rPr>
          <w:rFonts w:ascii="宋体" w:hAnsi="宋体" w:eastAsia="宋体"/>
          <w:b/>
          <w:bCs/>
          <w:color w:val="auto"/>
          <w:sz w:val="30"/>
          <w:szCs w:val="30"/>
        </w:rPr>
        <w:br w:type="page"/>
      </w:r>
    </w:p>
    <w:p>
      <w:pPr>
        <w:jc w:val="left"/>
        <w:outlineLvl w:val="1"/>
        <w:rPr>
          <w:rFonts w:hint="eastAsia" w:ascii="宋体" w:hAnsi="宋体" w:eastAsia="宋体"/>
          <w:b/>
          <w:bCs/>
          <w:color w:val="auto"/>
          <w:sz w:val="30"/>
          <w:szCs w:val="30"/>
        </w:rPr>
      </w:pPr>
      <w:bookmarkStart w:id="106" w:name="_Toc237556463"/>
      <w:bookmarkStart w:id="107" w:name="OLE_LINK52"/>
      <w:bookmarkStart w:id="108" w:name="OLE_LINK51"/>
      <w:r>
        <w:rPr>
          <w:rFonts w:hint="eastAsia" w:ascii="宋体" w:hAnsi="宋体" w:eastAsia="宋体"/>
          <w:b/>
          <w:bCs/>
          <w:color w:val="auto"/>
          <w:sz w:val="30"/>
          <w:szCs w:val="30"/>
        </w:rPr>
        <w:t>附件5-2</w:t>
      </w:r>
      <w:r>
        <w:rPr>
          <w:rFonts w:ascii="宋体" w:hAnsi="宋体" w:eastAsia="宋体"/>
          <w:b/>
          <w:bCs/>
          <w:color w:val="auto"/>
          <w:sz w:val="30"/>
          <w:szCs w:val="30"/>
        </w:rPr>
        <w:t>：涉氯化工企业检查表</w:t>
      </w:r>
      <w:bookmarkEnd w:id="106"/>
    </w:p>
    <w:bookmarkEnd w:id="107"/>
    <w:bookmarkEnd w:id="108"/>
    <w:tbl>
      <w:tblPr>
        <w:tblStyle w:val="5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4"/>
        <w:gridCol w:w="2708"/>
        <w:gridCol w:w="2409"/>
        <w:gridCol w:w="1560"/>
        <w:gridCol w:w="1984"/>
        <w:gridCol w:w="1843"/>
        <w:gridCol w:w="2459"/>
        <w:gridCol w:w="6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序号</w:t>
            </w:r>
          </w:p>
        </w:tc>
        <w:tc>
          <w:tcPr>
            <w:tcW w:w="2708"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检查内容</w:t>
            </w:r>
          </w:p>
        </w:tc>
        <w:tc>
          <w:tcPr>
            <w:tcW w:w="2409"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检查依据</w:t>
            </w:r>
          </w:p>
        </w:tc>
        <w:tc>
          <w:tcPr>
            <w:tcW w:w="1560"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检查方式</w:t>
            </w:r>
          </w:p>
        </w:tc>
        <w:tc>
          <w:tcPr>
            <w:tcW w:w="1984"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检查情况</w:t>
            </w:r>
          </w:p>
        </w:tc>
        <w:tc>
          <w:tcPr>
            <w:tcW w:w="1843"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检查问题</w:t>
            </w:r>
          </w:p>
        </w:tc>
        <w:tc>
          <w:tcPr>
            <w:tcW w:w="2459"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整改建议</w:t>
            </w:r>
          </w:p>
        </w:tc>
        <w:tc>
          <w:tcPr>
            <w:tcW w:w="692"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重大</w:t>
            </w:r>
          </w:p>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隐患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w:t>
            </w:r>
          </w:p>
        </w:tc>
        <w:tc>
          <w:tcPr>
            <w:tcW w:w="270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氯气场所的作业人员应佩戴便携式氯气报警仪，使用符合GB39800.2规定的个体防护装备。</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《化工企业氯气安全技术规范》</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（GB 11984-2024）</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第4.2.7条</w:t>
            </w:r>
          </w:p>
        </w:tc>
        <w:tc>
          <w:tcPr>
            <w:tcW w:w="1560"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现场核查</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459" w:type="dxa"/>
          </w:tcPr>
          <w:p>
            <w:pPr>
              <w:jc w:val="center"/>
              <w:rPr>
                <w:rFonts w:ascii="Times New Roman" w:hAnsi="Times New Roman" w:eastAsia="宋体" w:cs="Times New Roman"/>
                <w:color w:val="auto"/>
                <w:szCs w:val="21"/>
              </w:rPr>
            </w:pPr>
          </w:p>
        </w:tc>
        <w:tc>
          <w:tcPr>
            <w:tcW w:w="692"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w:t>
            </w:r>
          </w:p>
        </w:tc>
        <w:tc>
          <w:tcPr>
            <w:tcW w:w="270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液氯储罐厂房、瓶库、充装场所和气化间应采用封闭式结构，内部不应设置水、碱等液体吸收喷淋设施和碱液中和池，外围门、窗等密封面应设置雾状水喷淋装置。封闭式厂房（仓库）应设置氯气捕集设施，与事故氯吸收装置相连接，配备固定式吸风口和移动式非金属软管，固定式吸风口设置应靠近地面，移动式非金属软管长度应能延伸到所有可能发生泄漏的部位。</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《化工企业氯气安全技术规范》</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（GB 11984-2024）</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第4.3.10条</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《化工和危险化学品生产经营企业重大生产安全事故隐患判定准则》（AQ 3067-2026）</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第5.4.9条</w:t>
            </w:r>
          </w:p>
        </w:tc>
        <w:tc>
          <w:tcPr>
            <w:tcW w:w="1560"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查阅安全设施设计报告、竣工验收报告、现状评价报告，现场核查。</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459" w:type="dxa"/>
          </w:tcPr>
          <w:p>
            <w:pPr>
              <w:jc w:val="center"/>
              <w:rPr>
                <w:rFonts w:ascii="Times New Roman" w:hAnsi="Times New Roman" w:eastAsia="宋体" w:cs="Times New Roman"/>
                <w:color w:val="auto"/>
                <w:szCs w:val="21"/>
              </w:rPr>
            </w:pPr>
          </w:p>
        </w:tc>
        <w:tc>
          <w:tcPr>
            <w:tcW w:w="692"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0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3</w:t>
            </w:r>
          </w:p>
        </w:tc>
        <w:tc>
          <w:tcPr>
            <w:tcW w:w="270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半敞开式厂房应设置氯气捕集设施，与事故氯吸收装置相连接，配备移动式非金属软管，移动式非金属软管长度应能延伸到所有可能发生泄漏的部位。敞开式、半敞开式厂房应实现自然通风，不能自然通风的厂房应配备机械通风设施。</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《化工企业氯气安全技术规范》</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（GB 11984-2024）</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第 4.3.11 条</w:t>
            </w:r>
          </w:p>
        </w:tc>
        <w:tc>
          <w:tcPr>
            <w:tcW w:w="1560"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现场核查</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459" w:type="dxa"/>
          </w:tcPr>
          <w:p>
            <w:pPr>
              <w:jc w:val="center"/>
              <w:rPr>
                <w:rFonts w:ascii="Times New Roman" w:hAnsi="Times New Roman" w:eastAsia="宋体" w:cs="Times New Roman"/>
                <w:color w:val="auto"/>
                <w:szCs w:val="21"/>
              </w:rPr>
            </w:pPr>
          </w:p>
        </w:tc>
        <w:tc>
          <w:tcPr>
            <w:tcW w:w="692"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4</w:t>
            </w:r>
          </w:p>
        </w:tc>
        <w:tc>
          <w:tcPr>
            <w:tcW w:w="270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液氯气化不应使用釜式气化器，应采用全气化工艺，气化器应符合以下要求：</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a)无潜在三氯化氮富集部位；</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b)加热介质采用热水或低压饱和水蒸气，出口氯气温度应控制在 71 ℃~121 ℃；</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c)设置就地和远传压力、温度监测；氯气温度和压力应采用自动化控制。</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《化工企业氯气安全技术规范》</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（GB 11984-2024）</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第 5.4.1 条</w:t>
            </w:r>
          </w:p>
        </w:tc>
        <w:tc>
          <w:tcPr>
            <w:tcW w:w="1560"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查阅安全设施设计报告、竣工验收报告、现状评价报告，现场核查。</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459" w:type="dxa"/>
          </w:tcPr>
          <w:p>
            <w:pPr>
              <w:jc w:val="center"/>
              <w:rPr>
                <w:rFonts w:ascii="Times New Roman" w:hAnsi="Times New Roman" w:eastAsia="宋体" w:cs="Times New Roman"/>
                <w:color w:val="auto"/>
                <w:szCs w:val="21"/>
              </w:rPr>
            </w:pPr>
          </w:p>
        </w:tc>
        <w:tc>
          <w:tcPr>
            <w:tcW w:w="692"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5</w:t>
            </w:r>
          </w:p>
        </w:tc>
        <w:tc>
          <w:tcPr>
            <w:tcW w:w="270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气化器与反应设备之间应设置缓冲罐，缓冲罐应符合以下要求：</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a)按照生产工艺装置系统风险评估结果及工艺要求设计容积；</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b)与反应设备之间的管道应设置截止阀、止回阀、自动调节阀和紧急切断阀等安全设施；</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c)设置就地和远传压力、温度监测；</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d)采取保温、电伴热等防冷凝措施。</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《化工企业氯气安全技术规范》</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（GB 11984-2024）</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第 5.4.2 条</w:t>
            </w:r>
          </w:p>
        </w:tc>
        <w:tc>
          <w:tcPr>
            <w:tcW w:w="1560"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查阅安全设施设计报告、竣工验收报告、现状评价报告，现场核查。</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459" w:type="dxa"/>
          </w:tcPr>
          <w:p>
            <w:pPr>
              <w:jc w:val="center"/>
              <w:rPr>
                <w:rFonts w:ascii="Times New Roman" w:hAnsi="Times New Roman" w:eastAsia="宋体" w:cs="Times New Roman"/>
                <w:color w:val="auto"/>
                <w:szCs w:val="21"/>
              </w:rPr>
            </w:pPr>
          </w:p>
        </w:tc>
        <w:tc>
          <w:tcPr>
            <w:tcW w:w="692"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6</w:t>
            </w:r>
          </w:p>
        </w:tc>
        <w:tc>
          <w:tcPr>
            <w:tcW w:w="270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液氯储罐区应设置SIS，实现紧急切断功能，切换时实现远程自动化操作，并应符合以下要求：</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a)每台储罐液氯进出口管道设置手动阀和两道远程切断阀，两道远程切断阀中一道接入BPCS，另一道接入 SIS；</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b)构成一级、二级重大危险源的应配备独立于BPCS的SIS；</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c)设置压力、温度、液位的就地及远传仪表；</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d)液位监测配备两种及以上不同原理的仪表；</w:t>
            </w:r>
          </w:p>
          <w:p>
            <w:pPr>
              <w:rPr>
                <w:rFonts w:ascii="Times New Roman" w:hAnsi="Times New Roman" w:eastAsia="宋体" w:cs="Times New Roman"/>
                <w:color w:val="auto"/>
                <w:szCs w:val="21"/>
              </w:rPr>
            </w:pPr>
            <w:r>
              <w:rPr>
                <w:rFonts w:ascii="Times New Roman" w:hAnsi="Times New Roman" w:eastAsia="宋体" w:cs="Times New Roman"/>
                <w:color w:val="auto"/>
                <w:szCs w:val="21"/>
              </w:rPr>
              <w:t>e)就地液位计不应选用钛材质，远传液位计采用不与液氯接触的防泄漏型；</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f)设置高、低液位报警和高高、低低液位联锁；</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g)设置1台最大容积的液氯储罐为空罐，作为事故状态下应急备用接收罐。</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《化工企业氯气安全技术规范》</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（GB 11984-2024）</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第 6.1.2 条</w:t>
            </w:r>
          </w:p>
        </w:tc>
        <w:tc>
          <w:tcPr>
            <w:tcW w:w="1560"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查阅安全设施设计报告、竣工验收报告、现状评价报告，现场核查。</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459" w:type="dxa"/>
          </w:tcPr>
          <w:p>
            <w:pPr>
              <w:jc w:val="center"/>
              <w:rPr>
                <w:rFonts w:ascii="Times New Roman" w:hAnsi="Times New Roman" w:eastAsia="宋体" w:cs="Times New Roman"/>
                <w:color w:val="auto"/>
                <w:szCs w:val="21"/>
              </w:rPr>
            </w:pPr>
          </w:p>
        </w:tc>
        <w:tc>
          <w:tcPr>
            <w:tcW w:w="692"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0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7</w:t>
            </w:r>
          </w:p>
        </w:tc>
        <w:tc>
          <w:tcPr>
            <w:tcW w:w="270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液氯储罐事故氯吸收装置应符合以下要求：</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a)独立设置并采用二级吸收工艺；</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b)碱吸收、热交换等能力与液氯泄漏量相匹配。液氯泄漏量综合考虑堵漏和倒罐作业时长、泄漏管径和速率等因素；</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c)具备24h连续运行能力，碱液循环吸收罐具备切换、备用和配液的条件；</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d)循环吸收液氢氧化钠浓度为15%～20%，且出塔时温度不大于45 ℃。设置循环吸收液氢氧化钠浓度和温度在线监测设施，定期进行分析检测，氢氧化钠浓度低于 5%前及时置换或更新；</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e)风机具备手动和自动启动功能。在厂房内外易于操作处分别设置手动开关，并能实现远程启动；自动启动与封闭式（半敞开式）厂房内氯气探测器联锁；</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f)尾气排放口设置氯气探测器；</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g)循环泵、事故氯风机设置备用设备，用电负荷为一级负荷中特别重要的负荷；</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h)液氯充装、罐式专用车辆和钢瓶泄漏处置的氯气可并入事故氯吸收装置，单独设置符合上述要求。</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《化工企业氯气安全技术规范》</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（GB 11984-2024）</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第 6.1.3 条</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《化工和危险化学品生产经营企业重大生产安全事故隐患判定准则》（AQ 3067-2026）</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第5.4.9条</w:t>
            </w:r>
          </w:p>
        </w:tc>
        <w:tc>
          <w:tcPr>
            <w:tcW w:w="1560"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查阅安全设施设计报告、竣工验收报告、现状评价报告，现场核查。</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459" w:type="dxa"/>
          </w:tcPr>
          <w:p>
            <w:pPr>
              <w:jc w:val="center"/>
              <w:rPr>
                <w:rFonts w:ascii="Times New Roman" w:hAnsi="Times New Roman" w:eastAsia="宋体" w:cs="Times New Roman"/>
                <w:color w:val="auto"/>
                <w:szCs w:val="21"/>
              </w:rPr>
            </w:pPr>
          </w:p>
        </w:tc>
        <w:tc>
          <w:tcPr>
            <w:tcW w:w="692"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8</w:t>
            </w:r>
          </w:p>
        </w:tc>
        <w:tc>
          <w:tcPr>
            <w:tcW w:w="270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液氯罐式集装箱、罐式专用车辆不应作为固定储罐使用。</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《化工企业氯气安全技术规范》</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（GB 11984-2024）</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第 6.1.7 条</w:t>
            </w:r>
          </w:p>
          <w:p>
            <w:pPr>
              <w:jc w:val="center"/>
              <w:rPr>
                <w:rFonts w:ascii="Times New Roman" w:hAnsi="Times New Roman" w:eastAsia="宋体" w:cs="Times New Roman"/>
                <w:color w:val="auto"/>
                <w:szCs w:val="21"/>
              </w:rPr>
            </w:pPr>
            <w:bookmarkStart w:id="109" w:name="OLE_LINK102"/>
            <w:r>
              <w:rPr>
                <w:rFonts w:ascii="Times New Roman" w:hAnsi="Times New Roman" w:eastAsia="宋体" w:cs="Times New Roman"/>
                <w:color w:val="auto"/>
                <w:szCs w:val="21"/>
              </w:rPr>
              <w:t>《化工和危险化学品生产经营企业重大生产安全事故隐患判定准则》（AQ 3067-2026）</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第5.4.9条</w:t>
            </w:r>
            <w:bookmarkEnd w:id="109"/>
          </w:p>
        </w:tc>
        <w:tc>
          <w:tcPr>
            <w:tcW w:w="1560"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现场查看</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459" w:type="dxa"/>
          </w:tcPr>
          <w:p>
            <w:pPr>
              <w:jc w:val="center"/>
              <w:rPr>
                <w:rFonts w:ascii="Times New Roman" w:hAnsi="Times New Roman" w:eastAsia="宋体" w:cs="Times New Roman"/>
                <w:color w:val="auto"/>
                <w:szCs w:val="21"/>
              </w:rPr>
            </w:pPr>
          </w:p>
        </w:tc>
        <w:tc>
          <w:tcPr>
            <w:tcW w:w="692" w:type="dxa"/>
          </w:tcPr>
          <w:p>
            <w:pPr>
              <w:jc w:val="center"/>
              <w:rPr>
                <w:rFonts w:ascii="Times New Roman" w:hAnsi="Times New Roman" w:eastAsia="宋体" w:cs="Times New Roman"/>
                <w:color w:val="auto"/>
                <w:szCs w:val="21"/>
              </w:rPr>
            </w:pPr>
          </w:p>
        </w:tc>
      </w:tr>
    </w:tbl>
    <w:p>
      <w:pPr>
        <w:jc w:val="left"/>
        <w:rPr>
          <w:rFonts w:hint="eastAsia" w:ascii="宋体" w:hAnsi="宋体" w:eastAsia="宋体"/>
          <w:b/>
          <w:bCs/>
          <w:color w:val="auto"/>
          <w:sz w:val="30"/>
          <w:szCs w:val="30"/>
        </w:rPr>
      </w:pPr>
    </w:p>
    <w:p>
      <w:pPr>
        <w:widowControl/>
        <w:jc w:val="left"/>
        <w:rPr>
          <w:rFonts w:hint="eastAsia" w:ascii="宋体" w:hAnsi="宋体" w:eastAsia="宋体"/>
          <w:b/>
          <w:bCs/>
          <w:color w:val="auto"/>
          <w:sz w:val="30"/>
          <w:szCs w:val="30"/>
        </w:rPr>
      </w:pPr>
      <w:r>
        <w:rPr>
          <w:rFonts w:ascii="宋体" w:hAnsi="宋体" w:eastAsia="宋体"/>
          <w:b/>
          <w:bCs/>
          <w:color w:val="auto"/>
          <w:sz w:val="30"/>
          <w:szCs w:val="30"/>
        </w:rPr>
        <w:br w:type="page"/>
      </w:r>
    </w:p>
    <w:p>
      <w:pPr>
        <w:jc w:val="left"/>
        <w:outlineLvl w:val="1"/>
        <w:rPr>
          <w:rFonts w:hint="eastAsia" w:ascii="宋体" w:hAnsi="宋体" w:eastAsia="宋体"/>
          <w:b/>
          <w:bCs/>
          <w:color w:val="auto"/>
          <w:sz w:val="30"/>
          <w:szCs w:val="30"/>
        </w:rPr>
      </w:pPr>
      <w:bookmarkStart w:id="110" w:name="_Toc237556464"/>
      <w:bookmarkStart w:id="111" w:name="OLE_LINK56"/>
      <w:bookmarkStart w:id="112" w:name="OLE_LINK55"/>
      <w:r>
        <w:rPr>
          <w:rFonts w:hint="eastAsia" w:ascii="宋体" w:hAnsi="宋体" w:eastAsia="宋体"/>
          <w:b/>
          <w:bCs/>
          <w:color w:val="auto"/>
          <w:sz w:val="30"/>
          <w:szCs w:val="30"/>
        </w:rPr>
        <w:t>附件5-3</w:t>
      </w:r>
      <w:r>
        <w:rPr>
          <w:rFonts w:ascii="宋体" w:hAnsi="宋体" w:eastAsia="宋体"/>
          <w:b/>
          <w:bCs/>
          <w:color w:val="auto"/>
          <w:sz w:val="30"/>
          <w:szCs w:val="30"/>
        </w:rPr>
        <w:t>：</w:t>
      </w:r>
      <w:r>
        <w:rPr>
          <w:rFonts w:hint="eastAsia" w:ascii="宋体" w:hAnsi="宋体" w:eastAsia="宋体"/>
          <w:b/>
          <w:bCs/>
          <w:color w:val="auto"/>
          <w:sz w:val="30"/>
          <w:szCs w:val="30"/>
        </w:rPr>
        <w:t>合成氨</w:t>
      </w:r>
      <w:r>
        <w:rPr>
          <w:rFonts w:ascii="宋体" w:hAnsi="宋体" w:eastAsia="宋体"/>
          <w:b/>
          <w:bCs/>
          <w:color w:val="auto"/>
          <w:sz w:val="30"/>
          <w:szCs w:val="30"/>
        </w:rPr>
        <w:t>企业检查表</w:t>
      </w:r>
      <w:bookmarkEnd w:id="110"/>
    </w:p>
    <w:bookmarkEnd w:id="111"/>
    <w:bookmarkEnd w:id="112"/>
    <w:tbl>
      <w:tblPr>
        <w:tblStyle w:val="6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3"/>
        <w:gridCol w:w="2637"/>
        <w:gridCol w:w="2409"/>
        <w:gridCol w:w="1560"/>
        <w:gridCol w:w="1984"/>
        <w:gridCol w:w="1843"/>
        <w:gridCol w:w="2742"/>
        <w:gridCol w:w="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序号</w:t>
            </w:r>
          </w:p>
        </w:tc>
        <w:tc>
          <w:tcPr>
            <w:tcW w:w="2637"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检查内容</w:t>
            </w:r>
          </w:p>
        </w:tc>
        <w:tc>
          <w:tcPr>
            <w:tcW w:w="2409"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检查依据</w:t>
            </w:r>
          </w:p>
        </w:tc>
        <w:tc>
          <w:tcPr>
            <w:tcW w:w="1560"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检查方式</w:t>
            </w:r>
          </w:p>
        </w:tc>
        <w:tc>
          <w:tcPr>
            <w:tcW w:w="1984"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检查情况</w:t>
            </w:r>
          </w:p>
        </w:tc>
        <w:tc>
          <w:tcPr>
            <w:tcW w:w="1843"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检查问题</w:t>
            </w:r>
          </w:p>
        </w:tc>
        <w:tc>
          <w:tcPr>
            <w:tcW w:w="2742"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整改建议</w:t>
            </w:r>
          </w:p>
        </w:tc>
        <w:tc>
          <w:tcPr>
            <w:tcW w:w="693"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重大</w:t>
            </w:r>
          </w:p>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隐患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w:t>
            </w:r>
          </w:p>
        </w:tc>
        <w:tc>
          <w:tcPr>
            <w:tcW w:w="2637" w:type="dxa"/>
            <w:vAlign w:val="center"/>
          </w:tcPr>
          <w:p>
            <w:pPr>
              <w:rPr>
                <w:rFonts w:hint="eastAsia" w:ascii="宋体" w:hAnsi="宋体" w:eastAsia="宋体" w:cs="宋体"/>
                <w:color w:val="auto"/>
                <w:sz w:val="22"/>
              </w:rPr>
            </w:pPr>
            <w:r>
              <w:rPr>
                <w:rFonts w:ascii="Calibri" w:hAnsi="Calibri" w:eastAsia="宋体" w:cs="Times New Roman"/>
                <w:color w:val="auto"/>
                <w:sz w:val="22"/>
              </w:rPr>
              <w:t>粉煤气化原料制备、储存等存在煤尘爆炸风险场所应采用氮气或二氧化碳等惰性气体保护，并设置氧气浓度分析仪等在线监测设施；禁止含氨废水作为磨煤系统用水。</w:t>
            </w:r>
          </w:p>
        </w:tc>
        <w:tc>
          <w:tcPr>
            <w:tcW w:w="2409" w:type="dxa"/>
            <w:vAlign w:val="center"/>
          </w:tcPr>
          <w:p>
            <w:pPr>
              <w:rPr>
                <w:rFonts w:hint="eastAsia" w:ascii="宋体" w:hAnsi="宋体" w:eastAsia="宋体" w:cs="宋体"/>
                <w:color w:val="auto"/>
                <w:sz w:val="22"/>
              </w:rPr>
            </w:pPr>
            <w:r>
              <w:rPr>
                <w:rFonts w:ascii="Calibri" w:hAnsi="Calibri" w:eastAsia="宋体" w:cs="Times New Roman"/>
                <w:color w:val="auto"/>
                <w:sz w:val="22"/>
              </w:rPr>
              <w:t>《煤化工原（燃）料煤制备系统设计规范》</w:t>
            </w:r>
          </w:p>
        </w:tc>
        <w:tc>
          <w:tcPr>
            <w:tcW w:w="1560" w:type="dxa"/>
            <w:vAlign w:val="center"/>
          </w:tcPr>
          <w:p>
            <w:pPr>
              <w:rPr>
                <w:rFonts w:hint="eastAsia" w:ascii="宋体" w:hAnsi="宋体" w:eastAsia="宋体" w:cs="宋体"/>
                <w:color w:val="auto"/>
                <w:sz w:val="22"/>
              </w:rPr>
            </w:pPr>
            <w:r>
              <w:rPr>
                <w:rFonts w:ascii="Calibri" w:hAnsi="Calibri" w:eastAsia="宋体" w:cs="Times New Roman"/>
                <w:color w:val="auto"/>
                <w:sz w:val="22"/>
              </w:rPr>
              <w:t>查设计资料、DCS、现场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42" w:type="dxa"/>
          </w:tcPr>
          <w:p>
            <w:pPr>
              <w:jc w:val="center"/>
              <w:rPr>
                <w:rFonts w:ascii="Times New Roman" w:hAnsi="Times New Roman" w:eastAsia="宋体" w:cs="Times New Roman"/>
                <w:color w:val="auto"/>
                <w:szCs w:val="21"/>
              </w:rPr>
            </w:pPr>
          </w:p>
        </w:tc>
        <w:tc>
          <w:tcPr>
            <w:tcW w:w="69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w:t>
            </w:r>
          </w:p>
        </w:tc>
        <w:tc>
          <w:tcPr>
            <w:tcW w:w="2637" w:type="dxa"/>
            <w:vAlign w:val="center"/>
          </w:tcPr>
          <w:p>
            <w:pPr>
              <w:rPr>
                <w:rFonts w:hint="eastAsia" w:ascii="宋体" w:hAnsi="宋体" w:eastAsia="宋体" w:cs="宋体"/>
                <w:color w:val="auto"/>
                <w:sz w:val="22"/>
              </w:rPr>
            </w:pPr>
            <w:r>
              <w:rPr>
                <w:rFonts w:ascii="Calibri" w:hAnsi="Calibri" w:eastAsia="宋体" w:cs="Times New Roman"/>
                <w:color w:val="auto"/>
                <w:sz w:val="22"/>
              </w:rPr>
              <w:t>（1）碎煤仓应设温度检测报警设施和氮气管道接口；当碎煤仓内储存褐煤和易自燃的高挥发分煤种时，宜增设一氧化碳检测报警设施，并应采取自动紧急充氮保护；当储存经过预干燥的褐煤时，应采取充氮保护措施。（2）用于煤粉分离收集的袋式过滤器的气体出口管线上应设置一氧化碳监测报警设施。</w:t>
            </w:r>
          </w:p>
        </w:tc>
        <w:tc>
          <w:tcPr>
            <w:tcW w:w="2409" w:type="dxa"/>
            <w:vAlign w:val="center"/>
          </w:tcPr>
          <w:p>
            <w:pPr>
              <w:rPr>
                <w:rFonts w:hint="eastAsia" w:ascii="宋体" w:hAnsi="宋体" w:eastAsia="宋体" w:cs="宋体"/>
                <w:color w:val="auto"/>
                <w:sz w:val="22"/>
              </w:rPr>
            </w:pPr>
            <w:r>
              <w:rPr>
                <w:rFonts w:ascii="Calibri" w:hAnsi="Calibri" w:eastAsia="宋体" w:cs="Times New Roman"/>
                <w:color w:val="auto"/>
                <w:sz w:val="22"/>
              </w:rPr>
              <w:t>《煤化工工程设计防火标准》</w:t>
            </w:r>
          </w:p>
        </w:tc>
        <w:tc>
          <w:tcPr>
            <w:tcW w:w="1560" w:type="dxa"/>
            <w:vAlign w:val="center"/>
          </w:tcPr>
          <w:p>
            <w:pPr>
              <w:rPr>
                <w:rFonts w:hint="eastAsia" w:ascii="宋体" w:hAnsi="宋体" w:eastAsia="宋体" w:cs="宋体"/>
                <w:color w:val="auto"/>
                <w:sz w:val="22"/>
              </w:rPr>
            </w:pPr>
            <w:r>
              <w:rPr>
                <w:rFonts w:ascii="Calibri" w:hAnsi="Calibri" w:eastAsia="宋体" w:cs="Times New Roman"/>
                <w:color w:val="auto"/>
                <w:sz w:val="22"/>
              </w:rPr>
              <w:t>查现场、相关制度</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42" w:type="dxa"/>
          </w:tcPr>
          <w:p>
            <w:pPr>
              <w:jc w:val="center"/>
              <w:rPr>
                <w:rFonts w:ascii="Times New Roman" w:hAnsi="Times New Roman" w:eastAsia="宋体" w:cs="Times New Roman"/>
                <w:color w:val="auto"/>
                <w:szCs w:val="21"/>
              </w:rPr>
            </w:pPr>
          </w:p>
        </w:tc>
        <w:tc>
          <w:tcPr>
            <w:tcW w:w="69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33"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3</w:t>
            </w:r>
          </w:p>
        </w:tc>
        <w:tc>
          <w:tcPr>
            <w:tcW w:w="2637" w:type="dxa"/>
            <w:vAlign w:val="center"/>
          </w:tcPr>
          <w:p>
            <w:pPr>
              <w:rPr>
                <w:rFonts w:hint="eastAsia" w:ascii="宋体" w:hAnsi="宋体" w:eastAsia="宋体" w:cs="宋体"/>
                <w:color w:val="auto"/>
                <w:sz w:val="22"/>
              </w:rPr>
            </w:pPr>
            <w:r>
              <w:rPr>
                <w:rFonts w:ascii="Calibri" w:hAnsi="Calibri" w:eastAsia="宋体" w:cs="Times New Roman"/>
                <w:color w:val="auto"/>
                <w:sz w:val="22"/>
              </w:rPr>
              <w:t>使用粉煤或水煤浆的煤气化装置应设置以下重点监控工艺参数：进气化炉氧煤比、气化炉环隙温度、保护氮气或二氧化碳压力、煤浆管或粉煤管线与气化炉压差、激冷水流量、激冷室液位、合成气出口温度、烧嘴流量、烧嘴冷却水缓冲罐与气化炉压差、洗涤塔液位控制，并控制参数运行在指标范围内（水煤浆气化装置重点监控工艺参数还应包括气化炉顶温度）。</w:t>
            </w:r>
          </w:p>
        </w:tc>
        <w:tc>
          <w:tcPr>
            <w:tcW w:w="2409" w:type="dxa"/>
            <w:vAlign w:val="center"/>
          </w:tcPr>
          <w:p>
            <w:pPr>
              <w:rPr>
                <w:rFonts w:hint="eastAsia" w:ascii="宋体" w:hAnsi="宋体" w:eastAsia="宋体" w:cs="宋体"/>
                <w:color w:val="auto"/>
                <w:sz w:val="22"/>
              </w:rPr>
            </w:pPr>
            <w:r>
              <w:rPr>
                <w:rFonts w:ascii="Calibri" w:hAnsi="Calibri" w:eastAsia="宋体" w:cs="Times New Roman"/>
                <w:color w:val="auto"/>
                <w:sz w:val="22"/>
              </w:rPr>
              <w:t>《关于公布第二批重点监管危险化工工艺目录和调整首批重点监管危险化工工艺中部分典型工艺的通知》</w:t>
            </w:r>
          </w:p>
        </w:tc>
        <w:tc>
          <w:tcPr>
            <w:tcW w:w="1560" w:type="dxa"/>
            <w:vAlign w:val="center"/>
          </w:tcPr>
          <w:p>
            <w:pPr>
              <w:rPr>
                <w:rFonts w:hint="eastAsia" w:ascii="宋体" w:hAnsi="宋体" w:eastAsia="宋体" w:cs="宋体"/>
                <w:color w:val="auto"/>
                <w:sz w:val="22"/>
              </w:rPr>
            </w:pPr>
            <w:r>
              <w:rPr>
                <w:rFonts w:ascii="Calibri" w:hAnsi="Calibri" w:eastAsia="宋体" w:cs="Times New Roman"/>
                <w:color w:val="auto"/>
                <w:sz w:val="22"/>
              </w:rPr>
              <w:t>查设计资料、DCS、现场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42" w:type="dxa"/>
          </w:tcPr>
          <w:p>
            <w:pPr>
              <w:jc w:val="center"/>
              <w:rPr>
                <w:rFonts w:ascii="Times New Roman" w:hAnsi="Times New Roman" w:eastAsia="宋体" w:cs="Times New Roman"/>
                <w:color w:val="auto"/>
                <w:szCs w:val="21"/>
              </w:rPr>
            </w:pPr>
          </w:p>
        </w:tc>
        <w:tc>
          <w:tcPr>
            <w:tcW w:w="69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4</w:t>
            </w:r>
          </w:p>
        </w:tc>
        <w:tc>
          <w:tcPr>
            <w:tcW w:w="2637" w:type="dxa"/>
            <w:vAlign w:val="center"/>
          </w:tcPr>
          <w:p>
            <w:pPr>
              <w:rPr>
                <w:rFonts w:hint="eastAsia" w:ascii="宋体" w:hAnsi="宋体" w:eastAsia="宋体" w:cs="宋体"/>
                <w:color w:val="auto"/>
                <w:sz w:val="22"/>
              </w:rPr>
            </w:pPr>
            <w:r>
              <w:rPr>
                <w:rFonts w:ascii="Calibri" w:hAnsi="Calibri" w:eastAsia="宋体" w:cs="Times New Roman"/>
                <w:color w:val="auto"/>
                <w:sz w:val="22"/>
              </w:rPr>
              <w:t>使用粉煤或水煤浆的煤气化装置应设置满足要求的安全控制系统：进气化炉氧煤比联锁、煤浆管或粉煤管线与气化炉压差联锁、激冷室液位联锁、合成气出口温度联锁、烧嘴流量联锁、烧嘴冷却水缓冲罐与气化炉压差、可燃和有毒气体检测报警装置、紧急冷却系统、安全泄放系统（水煤浆气化装置还应设置气化炉顶温度联锁）。</w:t>
            </w:r>
          </w:p>
        </w:tc>
        <w:tc>
          <w:tcPr>
            <w:tcW w:w="2409" w:type="dxa"/>
            <w:vAlign w:val="center"/>
          </w:tcPr>
          <w:p>
            <w:pPr>
              <w:rPr>
                <w:rFonts w:hint="eastAsia" w:ascii="宋体" w:hAnsi="宋体" w:eastAsia="宋体" w:cs="宋体"/>
                <w:color w:val="auto"/>
                <w:sz w:val="22"/>
              </w:rPr>
            </w:pPr>
            <w:r>
              <w:rPr>
                <w:rFonts w:ascii="Calibri" w:hAnsi="Calibri" w:eastAsia="宋体" w:cs="Times New Roman"/>
                <w:color w:val="auto"/>
                <w:sz w:val="22"/>
              </w:rPr>
              <w:t>《关于公布第二批重点监管危险化工工艺目录和调整首批重点监管危险化工工艺中部分典型工艺的通知》</w:t>
            </w:r>
          </w:p>
        </w:tc>
        <w:tc>
          <w:tcPr>
            <w:tcW w:w="1560" w:type="dxa"/>
            <w:vAlign w:val="center"/>
          </w:tcPr>
          <w:p>
            <w:pPr>
              <w:rPr>
                <w:rFonts w:hint="eastAsia" w:ascii="宋体" w:hAnsi="宋体" w:eastAsia="宋体" w:cs="宋体"/>
                <w:color w:val="auto"/>
                <w:sz w:val="22"/>
              </w:rPr>
            </w:pPr>
            <w:r>
              <w:rPr>
                <w:rFonts w:ascii="Calibri" w:hAnsi="Calibri" w:eastAsia="宋体" w:cs="Times New Roman"/>
                <w:color w:val="auto"/>
                <w:sz w:val="22"/>
              </w:rPr>
              <w:t>查设计资料、DCS、现场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42" w:type="dxa"/>
          </w:tcPr>
          <w:p>
            <w:pPr>
              <w:jc w:val="center"/>
              <w:rPr>
                <w:rFonts w:ascii="Times New Roman" w:hAnsi="Times New Roman" w:eastAsia="宋体" w:cs="Times New Roman"/>
                <w:color w:val="auto"/>
                <w:szCs w:val="21"/>
              </w:rPr>
            </w:pPr>
          </w:p>
        </w:tc>
        <w:tc>
          <w:tcPr>
            <w:tcW w:w="69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5</w:t>
            </w:r>
          </w:p>
        </w:tc>
        <w:tc>
          <w:tcPr>
            <w:tcW w:w="2637" w:type="dxa"/>
            <w:vAlign w:val="center"/>
          </w:tcPr>
          <w:p>
            <w:pPr>
              <w:rPr>
                <w:rFonts w:hint="eastAsia" w:ascii="宋体" w:hAnsi="宋体" w:eastAsia="宋体" w:cs="宋体"/>
                <w:color w:val="auto"/>
                <w:sz w:val="22"/>
              </w:rPr>
            </w:pPr>
            <w:r>
              <w:rPr>
                <w:rFonts w:ascii="Calibri" w:hAnsi="Calibri" w:eastAsia="宋体" w:cs="Times New Roman"/>
                <w:color w:val="auto"/>
                <w:sz w:val="22"/>
              </w:rPr>
              <w:t>合成氨固定层间歇式煤气化装置应设置气化炉出口温度联锁、气化炉灰锁温度联锁、出气化炉洗涤冷却器、气化炉与夹套压差联锁、气化炉夹套压力高联锁、气化炉夹套液位联锁、氧气含量超过0.8%或1.0%联锁、气化炉紧急停车、气化炉粗煤气安全阀、夹套安全阀、洗涤冷却器出口安全阀。</w:t>
            </w:r>
          </w:p>
        </w:tc>
        <w:tc>
          <w:tcPr>
            <w:tcW w:w="2409" w:type="dxa"/>
            <w:vAlign w:val="center"/>
          </w:tcPr>
          <w:p>
            <w:pPr>
              <w:rPr>
                <w:rFonts w:hint="eastAsia" w:ascii="宋体" w:hAnsi="宋体" w:eastAsia="宋体" w:cs="宋体"/>
                <w:color w:val="auto"/>
                <w:sz w:val="22"/>
              </w:rPr>
            </w:pPr>
            <w:r>
              <w:rPr>
                <w:rFonts w:ascii="Calibri" w:hAnsi="Calibri" w:eastAsia="宋体" w:cs="Times New Roman"/>
                <w:color w:val="auto"/>
                <w:sz w:val="22"/>
              </w:rPr>
              <w:t>基于风险</w:t>
            </w:r>
          </w:p>
        </w:tc>
        <w:tc>
          <w:tcPr>
            <w:tcW w:w="1560" w:type="dxa"/>
            <w:vAlign w:val="center"/>
          </w:tcPr>
          <w:p>
            <w:pPr>
              <w:rPr>
                <w:rFonts w:hint="eastAsia" w:ascii="宋体" w:hAnsi="宋体" w:eastAsia="宋体" w:cs="宋体"/>
                <w:color w:val="auto"/>
                <w:sz w:val="22"/>
              </w:rPr>
            </w:pPr>
            <w:r>
              <w:rPr>
                <w:rFonts w:ascii="Calibri" w:hAnsi="Calibri" w:eastAsia="宋体" w:cs="Times New Roman"/>
                <w:color w:val="auto"/>
                <w:sz w:val="22"/>
              </w:rPr>
              <w:t>查设计资料、现场、DCS、SIS、ESD</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42" w:type="dxa"/>
          </w:tcPr>
          <w:p>
            <w:pPr>
              <w:jc w:val="center"/>
              <w:rPr>
                <w:rFonts w:ascii="Times New Roman" w:hAnsi="Times New Roman" w:eastAsia="宋体" w:cs="Times New Roman"/>
                <w:color w:val="auto"/>
                <w:szCs w:val="21"/>
              </w:rPr>
            </w:pPr>
          </w:p>
        </w:tc>
        <w:tc>
          <w:tcPr>
            <w:tcW w:w="69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6</w:t>
            </w:r>
          </w:p>
        </w:tc>
        <w:tc>
          <w:tcPr>
            <w:tcW w:w="2637" w:type="dxa"/>
            <w:vAlign w:val="center"/>
          </w:tcPr>
          <w:p>
            <w:pPr>
              <w:rPr>
                <w:rFonts w:hint="eastAsia" w:ascii="宋体" w:hAnsi="宋体" w:eastAsia="宋体" w:cs="宋体"/>
                <w:color w:val="auto"/>
                <w:sz w:val="22"/>
              </w:rPr>
            </w:pPr>
            <w:r>
              <w:rPr>
                <w:rFonts w:ascii="Calibri" w:hAnsi="Calibri" w:eastAsia="宋体" w:cs="Times New Roman"/>
                <w:color w:val="auto"/>
                <w:sz w:val="22"/>
              </w:rPr>
              <w:t>合成氨固定层间歇式煤气化装置放煤通道的三道阀门应具备互锁功能。</w:t>
            </w:r>
          </w:p>
        </w:tc>
        <w:tc>
          <w:tcPr>
            <w:tcW w:w="2409" w:type="dxa"/>
            <w:vAlign w:val="center"/>
          </w:tcPr>
          <w:p>
            <w:pPr>
              <w:rPr>
                <w:rFonts w:hint="eastAsia" w:ascii="宋体" w:hAnsi="宋体" w:eastAsia="宋体" w:cs="宋体"/>
                <w:color w:val="auto"/>
                <w:sz w:val="22"/>
              </w:rPr>
            </w:pPr>
            <w:r>
              <w:rPr>
                <w:rFonts w:ascii="Calibri" w:hAnsi="Calibri" w:eastAsia="宋体" w:cs="Times New Roman"/>
                <w:color w:val="auto"/>
                <w:sz w:val="22"/>
              </w:rPr>
              <w:t>事故教训</w:t>
            </w:r>
          </w:p>
        </w:tc>
        <w:tc>
          <w:tcPr>
            <w:tcW w:w="1560" w:type="dxa"/>
            <w:vAlign w:val="center"/>
          </w:tcPr>
          <w:p>
            <w:pPr>
              <w:rPr>
                <w:rFonts w:hint="eastAsia" w:ascii="宋体" w:hAnsi="宋体" w:eastAsia="宋体" w:cs="宋体"/>
                <w:color w:val="auto"/>
                <w:sz w:val="22"/>
              </w:rPr>
            </w:pPr>
            <w:r>
              <w:rPr>
                <w:rFonts w:ascii="Calibri" w:hAnsi="Calibri" w:eastAsia="宋体" w:cs="Times New Roman"/>
                <w:color w:val="auto"/>
                <w:sz w:val="22"/>
              </w:rPr>
              <w:t>查现场、DCS、SIS</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42" w:type="dxa"/>
          </w:tcPr>
          <w:p>
            <w:pPr>
              <w:jc w:val="center"/>
              <w:rPr>
                <w:rFonts w:ascii="Times New Roman" w:hAnsi="Times New Roman" w:eastAsia="宋体" w:cs="Times New Roman"/>
                <w:color w:val="auto"/>
                <w:szCs w:val="21"/>
              </w:rPr>
            </w:pPr>
          </w:p>
        </w:tc>
        <w:tc>
          <w:tcPr>
            <w:tcW w:w="69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33"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7</w:t>
            </w:r>
          </w:p>
        </w:tc>
        <w:tc>
          <w:tcPr>
            <w:tcW w:w="2637" w:type="dxa"/>
            <w:vAlign w:val="center"/>
          </w:tcPr>
          <w:p>
            <w:pPr>
              <w:rPr>
                <w:rFonts w:hint="eastAsia" w:ascii="宋体" w:hAnsi="宋体" w:eastAsia="宋体" w:cs="宋体"/>
                <w:color w:val="auto"/>
                <w:sz w:val="22"/>
              </w:rPr>
            </w:pPr>
            <w:r>
              <w:rPr>
                <w:rFonts w:ascii="Calibri" w:hAnsi="Calibri" w:eastAsia="宋体" w:cs="Times New Roman"/>
                <w:color w:val="auto"/>
                <w:sz w:val="22"/>
              </w:rPr>
              <w:t>新建合成氨企业煤气化炉烧嘴所在楼层宜设置防止烧嘴蹿火的不燃烧实体隔断墙，隔断墙高度宜高于烧嘴顶部不小于0.5m。</w:t>
            </w:r>
          </w:p>
        </w:tc>
        <w:tc>
          <w:tcPr>
            <w:tcW w:w="2409" w:type="dxa"/>
            <w:vAlign w:val="center"/>
          </w:tcPr>
          <w:p>
            <w:pPr>
              <w:rPr>
                <w:rFonts w:hint="eastAsia" w:ascii="宋体" w:hAnsi="宋体" w:eastAsia="宋体" w:cs="宋体"/>
                <w:color w:val="auto"/>
                <w:sz w:val="22"/>
              </w:rPr>
            </w:pPr>
            <w:r>
              <w:rPr>
                <w:rFonts w:ascii="Calibri" w:hAnsi="Calibri" w:eastAsia="宋体" w:cs="Times New Roman"/>
                <w:color w:val="auto"/>
                <w:sz w:val="22"/>
              </w:rPr>
              <w:t>《煤化工工程设计防火标准》</w:t>
            </w:r>
          </w:p>
        </w:tc>
        <w:tc>
          <w:tcPr>
            <w:tcW w:w="1560" w:type="dxa"/>
            <w:vAlign w:val="center"/>
          </w:tcPr>
          <w:p>
            <w:pPr>
              <w:rPr>
                <w:rFonts w:hint="eastAsia" w:ascii="宋体" w:hAnsi="宋体" w:eastAsia="宋体" w:cs="宋体"/>
                <w:color w:val="auto"/>
                <w:sz w:val="22"/>
              </w:rPr>
            </w:pPr>
            <w:r>
              <w:rPr>
                <w:rFonts w:ascii="Calibri" w:hAnsi="Calibri" w:eastAsia="宋体" w:cs="Times New Roman"/>
                <w:color w:val="auto"/>
                <w:sz w:val="22"/>
              </w:rPr>
              <w:t>查现场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42" w:type="dxa"/>
          </w:tcPr>
          <w:p>
            <w:pPr>
              <w:jc w:val="center"/>
              <w:rPr>
                <w:rFonts w:ascii="Times New Roman" w:hAnsi="Times New Roman" w:eastAsia="宋体" w:cs="Times New Roman"/>
                <w:color w:val="auto"/>
                <w:szCs w:val="21"/>
              </w:rPr>
            </w:pPr>
          </w:p>
        </w:tc>
        <w:tc>
          <w:tcPr>
            <w:tcW w:w="69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8</w:t>
            </w:r>
          </w:p>
        </w:tc>
        <w:tc>
          <w:tcPr>
            <w:tcW w:w="2637" w:type="dxa"/>
            <w:vAlign w:val="center"/>
          </w:tcPr>
          <w:p>
            <w:pPr>
              <w:rPr>
                <w:rFonts w:hint="eastAsia" w:ascii="宋体" w:hAnsi="宋体" w:eastAsia="宋体" w:cs="宋体"/>
                <w:color w:val="auto"/>
                <w:sz w:val="22"/>
              </w:rPr>
            </w:pPr>
            <w:r>
              <w:rPr>
                <w:rFonts w:ascii="Calibri" w:hAnsi="Calibri" w:eastAsia="宋体" w:cs="Times New Roman"/>
                <w:color w:val="auto"/>
                <w:sz w:val="22"/>
              </w:rPr>
              <w:t>气化炉排渣应采用程控控制，并投入使用；气化炉排渣过程中严禁人员逗留；气化炉超压、氧煤比频繁波动等情况，应停车处置。</w:t>
            </w:r>
          </w:p>
        </w:tc>
        <w:tc>
          <w:tcPr>
            <w:tcW w:w="2409" w:type="dxa"/>
            <w:vAlign w:val="center"/>
          </w:tcPr>
          <w:p>
            <w:pPr>
              <w:rPr>
                <w:rFonts w:hint="eastAsia" w:ascii="宋体" w:hAnsi="宋体" w:eastAsia="宋体" w:cs="宋体"/>
                <w:color w:val="auto"/>
                <w:sz w:val="22"/>
              </w:rPr>
            </w:pPr>
            <w:r>
              <w:rPr>
                <w:rFonts w:ascii="Calibri" w:hAnsi="Calibri" w:eastAsia="宋体" w:cs="Times New Roman"/>
                <w:color w:val="auto"/>
                <w:sz w:val="22"/>
              </w:rPr>
              <w:t>事故教训</w:t>
            </w:r>
          </w:p>
        </w:tc>
        <w:tc>
          <w:tcPr>
            <w:tcW w:w="1560" w:type="dxa"/>
            <w:vAlign w:val="center"/>
          </w:tcPr>
          <w:p>
            <w:pPr>
              <w:rPr>
                <w:rFonts w:hint="eastAsia" w:ascii="宋体" w:hAnsi="宋体" w:eastAsia="宋体" w:cs="宋体"/>
                <w:color w:val="auto"/>
                <w:sz w:val="22"/>
              </w:rPr>
            </w:pPr>
            <w:r>
              <w:rPr>
                <w:rFonts w:ascii="Calibri" w:hAnsi="Calibri" w:eastAsia="宋体" w:cs="Times New Roman"/>
                <w:color w:val="auto"/>
                <w:sz w:val="22"/>
              </w:rPr>
              <w:t>查现场、DCS、操作规程</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42" w:type="dxa"/>
          </w:tcPr>
          <w:p>
            <w:pPr>
              <w:jc w:val="center"/>
              <w:rPr>
                <w:rFonts w:ascii="Times New Roman" w:hAnsi="Times New Roman" w:eastAsia="宋体" w:cs="Times New Roman"/>
                <w:color w:val="auto"/>
                <w:szCs w:val="21"/>
              </w:rPr>
            </w:pPr>
          </w:p>
        </w:tc>
        <w:tc>
          <w:tcPr>
            <w:tcW w:w="69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9</w:t>
            </w:r>
          </w:p>
        </w:tc>
        <w:tc>
          <w:tcPr>
            <w:tcW w:w="2637" w:type="dxa"/>
            <w:vAlign w:val="center"/>
          </w:tcPr>
          <w:p>
            <w:pPr>
              <w:rPr>
                <w:rFonts w:hint="eastAsia" w:ascii="宋体" w:hAnsi="宋体" w:eastAsia="宋体" w:cs="宋体"/>
                <w:color w:val="auto"/>
                <w:sz w:val="22"/>
              </w:rPr>
            </w:pPr>
            <w:r>
              <w:rPr>
                <w:rFonts w:ascii="Calibri" w:hAnsi="Calibri" w:eastAsia="宋体" w:cs="Times New Roman"/>
                <w:color w:val="auto"/>
                <w:sz w:val="22"/>
              </w:rPr>
              <w:t>（1）气化送气大阀前后均设置手动放空管线，并确保阀门能够打开。（2）气化送气大阀前后均设置远传压力表，配有高压冲洗水或有其他防止堵塞的确认措施。（3）应当定期对气化与变换系统界区阀门进行检修，界区阀门宜采用电动驱动形式。</w:t>
            </w:r>
          </w:p>
        </w:tc>
        <w:tc>
          <w:tcPr>
            <w:tcW w:w="2409" w:type="dxa"/>
            <w:vAlign w:val="center"/>
          </w:tcPr>
          <w:p>
            <w:pPr>
              <w:rPr>
                <w:rFonts w:hint="eastAsia" w:ascii="宋体" w:hAnsi="宋体" w:eastAsia="宋体" w:cs="宋体"/>
                <w:color w:val="auto"/>
                <w:sz w:val="22"/>
              </w:rPr>
            </w:pPr>
            <w:r>
              <w:rPr>
                <w:rFonts w:ascii="Calibri" w:hAnsi="Calibri" w:eastAsia="宋体" w:cs="Times New Roman"/>
                <w:color w:val="auto"/>
                <w:sz w:val="22"/>
              </w:rPr>
              <w:t>事故教训</w:t>
            </w:r>
          </w:p>
        </w:tc>
        <w:tc>
          <w:tcPr>
            <w:tcW w:w="1560" w:type="dxa"/>
            <w:vAlign w:val="center"/>
          </w:tcPr>
          <w:p>
            <w:pPr>
              <w:rPr>
                <w:rFonts w:hint="eastAsia" w:ascii="宋体" w:hAnsi="宋体" w:eastAsia="宋体" w:cs="宋体"/>
                <w:color w:val="auto"/>
                <w:sz w:val="22"/>
              </w:rPr>
            </w:pPr>
            <w:r>
              <w:rPr>
                <w:rFonts w:ascii="Calibri" w:hAnsi="Calibri" w:eastAsia="宋体" w:cs="Times New Roman"/>
                <w:color w:val="auto"/>
                <w:sz w:val="22"/>
              </w:rPr>
              <w:t>查现场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42" w:type="dxa"/>
          </w:tcPr>
          <w:p>
            <w:pPr>
              <w:jc w:val="center"/>
              <w:rPr>
                <w:rFonts w:ascii="Times New Roman" w:hAnsi="Times New Roman" w:eastAsia="宋体" w:cs="Times New Roman"/>
                <w:color w:val="auto"/>
                <w:szCs w:val="21"/>
              </w:rPr>
            </w:pPr>
          </w:p>
        </w:tc>
        <w:tc>
          <w:tcPr>
            <w:tcW w:w="69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10</w:t>
            </w:r>
          </w:p>
        </w:tc>
        <w:tc>
          <w:tcPr>
            <w:tcW w:w="2637" w:type="dxa"/>
            <w:vAlign w:val="center"/>
          </w:tcPr>
          <w:p>
            <w:pPr>
              <w:rPr>
                <w:rFonts w:hint="eastAsia" w:ascii="宋体" w:hAnsi="宋体" w:eastAsia="宋体" w:cs="宋体"/>
                <w:color w:val="auto"/>
                <w:sz w:val="22"/>
              </w:rPr>
            </w:pPr>
            <w:r>
              <w:rPr>
                <w:rFonts w:ascii="Calibri" w:hAnsi="Calibri" w:eastAsia="宋体" w:cs="Times New Roman"/>
                <w:color w:val="auto"/>
                <w:sz w:val="22"/>
              </w:rPr>
              <w:t>（1）渣锁斗等设备检修前必须有与所检修设备相连接管道内各种工艺气体及窒息性气体的隔离与置换完全的措施确认。（2）渣锁斗上下阀无泄漏，渣锁斗温度控制在指标范围内。</w:t>
            </w:r>
          </w:p>
        </w:tc>
        <w:tc>
          <w:tcPr>
            <w:tcW w:w="2409" w:type="dxa"/>
            <w:vAlign w:val="center"/>
          </w:tcPr>
          <w:p>
            <w:pPr>
              <w:rPr>
                <w:rFonts w:hint="eastAsia" w:ascii="宋体" w:hAnsi="宋体" w:eastAsia="宋体" w:cs="宋体"/>
                <w:color w:val="auto"/>
                <w:sz w:val="22"/>
              </w:rPr>
            </w:pPr>
            <w:r>
              <w:rPr>
                <w:rFonts w:ascii="Calibri" w:hAnsi="Calibri" w:eastAsia="宋体" w:cs="Times New Roman"/>
                <w:color w:val="auto"/>
                <w:sz w:val="22"/>
              </w:rPr>
              <w:t>事故教训</w:t>
            </w:r>
          </w:p>
        </w:tc>
        <w:tc>
          <w:tcPr>
            <w:tcW w:w="1560" w:type="dxa"/>
            <w:vAlign w:val="center"/>
          </w:tcPr>
          <w:p>
            <w:pPr>
              <w:rPr>
                <w:rFonts w:hint="eastAsia" w:ascii="宋体" w:hAnsi="宋体" w:eastAsia="宋体" w:cs="宋体"/>
                <w:color w:val="auto"/>
                <w:sz w:val="22"/>
              </w:rPr>
            </w:pPr>
            <w:r>
              <w:rPr>
                <w:rFonts w:ascii="Calibri" w:hAnsi="Calibri" w:eastAsia="宋体" w:cs="Times New Roman"/>
                <w:color w:val="auto"/>
                <w:sz w:val="22"/>
              </w:rPr>
              <w:t>查现场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42" w:type="dxa"/>
          </w:tcPr>
          <w:p>
            <w:pPr>
              <w:jc w:val="center"/>
              <w:rPr>
                <w:rFonts w:ascii="Times New Roman" w:hAnsi="Times New Roman" w:eastAsia="宋体" w:cs="Times New Roman"/>
                <w:color w:val="auto"/>
                <w:szCs w:val="21"/>
              </w:rPr>
            </w:pPr>
          </w:p>
        </w:tc>
        <w:tc>
          <w:tcPr>
            <w:tcW w:w="69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33"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11</w:t>
            </w:r>
          </w:p>
        </w:tc>
        <w:tc>
          <w:tcPr>
            <w:tcW w:w="2637" w:type="dxa"/>
            <w:vAlign w:val="center"/>
          </w:tcPr>
          <w:p>
            <w:pPr>
              <w:rPr>
                <w:rFonts w:hint="eastAsia" w:ascii="宋体" w:hAnsi="宋体" w:eastAsia="宋体" w:cs="宋体"/>
                <w:color w:val="auto"/>
                <w:sz w:val="22"/>
              </w:rPr>
            </w:pPr>
            <w:r>
              <w:rPr>
                <w:rFonts w:ascii="Calibri" w:hAnsi="Calibri" w:eastAsia="宋体" w:cs="Times New Roman"/>
                <w:color w:val="auto"/>
                <w:sz w:val="22"/>
              </w:rPr>
              <w:t>（1）煤气变换装置应设置以下重点监控工艺参数：水分离器液位、水煤气废热锅炉液位、变换炉温度、汽包液位等。</w:t>
            </w:r>
            <w:r>
              <w:rPr>
                <w:rFonts w:ascii="Calibri" w:hAnsi="Calibri" w:eastAsia="宋体" w:cs="Times New Roman"/>
                <w:color w:val="auto"/>
                <w:sz w:val="22"/>
              </w:rPr>
              <w:br w:type="textWrapping"/>
            </w:r>
            <w:r>
              <w:rPr>
                <w:rFonts w:ascii="Calibri" w:hAnsi="Calibri" w:eastAsia="宋体" w:cs="Times New Roman"/>
                <w:color w:val="auto"/>
                <w:sz w:val="22"/>
              </w:rPr>
              <w:t>（2）煤气变换装置应设置满足要求的安全控制系统：变换炉温度高高联锁、废热锅炉液位低低联锁。</w:t>
            </w:r>
            <w:r>
              <w:rPr>
                <w:rFonts w:ascii="Calibri" w:hAnsi="Calibri" w:eastAsia="宋体" w:cs="Times New Roman"/>
                <w:color w:val="auto"/>
                <w:sz w:val="22"/>
              </w:rPr>
              <w:br w:type="textWrapping"/>
            </w:r>
            <w:r>
              <w:rPr>
                <w:rFonts w:ascii="Calibri" w:hAnsi="Calibri" w:eastAsia="宋体" w:cs="Times New Roman"/>
                <w:color w:val="auto"/>
                <w:sz w:val="22"/>
              </w:rPr>
              <w:t>（3）定期分析变换炉进口水汽比和氢氰酸含量，设置水分离器pH计，分析变换系统的腐蚀安全风险。</w:t>
            </w:r>
          </w:p>
        </w:tc>
        <w:tc>
          <w:tcPr>
            <w:tcW w:w="2409" w:type="dxa"/>
            <w:vAlign w:val="center"/>
          </w:tcPr>
          <w:p>
            <w:pPr>
              <w:rPr>
                <w:rFonts w:hint="eastAsia" w:ascii="宋体" w:hAnsi="宋体" w:eastAsia="宋体" w:cs="宋体"/>
                <w:color w:val="auto"/>
                <w:sz w:val="22"/>
              </w:rPr>
            </w:pPr>
            <w:r>
              <w:rPr>
                <w:rFonts w:ascii="Calibri" w:hAnsi="Calibri" w:eastAsia="宋体" w:cs="Times New Roman"/>
                <w:color w:val="auto"/>
                <w:sz w:val="22"/>
              </w:rPr>
              <w:t>基于风险</w:t>
            </w:r>
          </w:p>
        </w:tc>
        <w:tc>
          <w:tcPr>
            <w:tcW w:w="1560" w:type="dxa"/>
            <w:vAlign w:val="center"/>
          </w:tcPr>
          <w:p>
            <w:pPr>
              <w:rPr>
                <w:rFonts w:hint="eastAsia" w:ascii="宋体" w:hAnsi="宋体" w:eastAsia="宋体" w:cs="宋体"/>
                <w:color w:val="auto"/>
                <w:sz w:val="22"/>
              </w:rPr>
            </w:pPr>
            <w:r>
              <w:rPr>
                <w:rFonts w:ascii="Calibri" w:hAnsi="Calibri" w:eastAsia="宋体" w:cs="Times New Roman"/>
                <w:color w:val="auto"/>
                <w:sz w:val="22"/>
              </w:rPr>
              <w:t>查设计、现场、操作规程、DCS</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42" w:type="dxa"/>
          </w:tcPr>
          <w:p>
            <w:pPr>
              <w:jc w:val="center"/>
              <w:rPr>
                <w:rFonts w:ascii="Times New Roman" w:hAnsi="Times New Roman" w:eastAsia="宋体" w:cs="Times New Roman"/>
                <w:color w:val="auto"/>
                <w:szCs w:val="21"/>
              </w:rPr>
            </w:pPr>
          </w:p>
        </w:tc>
        <w:tc>
          <w:tcPr>
            <w:tcW w:w="69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12</w:t>
            </w:r>
          </w:p>
        </w:tc>
        <w:tc>
          <w:tcPr>
            <w:tcW w:w="2637" w:type="dxa"/>
            <w:vAlign w:val="center"/>
          </w:tcPr>
          <w:p>
            <w:pPr>
              <w:rPr>
                <w:rFonts w:hint="eastAsia" w:ascii="宋体" w:hAnsi="宋体" w:eastAsia="宋体" w:cs="宋体"/>
                <w:color w:val="auto"/>
                <w:sz w:val="22"/>
              </w:rPr>
            </w:pPr>
            <w:r>
              <w:rPr>
                <w:rFonts w:ascii="Calibri" w:hAnsi="Calibri" w:eastAsia="宋体" w:cs="Times New Roman"/>
                <w:color w:val="auto"/>
                <w:sz w:val="22"/>
              </w:rPr>
              <w:t>固定层间歇式煤气化装置进变换炉煤气中氧含量控制应不大于0.5%，应设置氧含量在线分析及报警；变换炉温度、煤气中硫化氢含量（耐硫变换除外）等应制定工艺指标并严格执行；变换装置进口煤气中氧含量达到1％时，立即停车处理。</w:t>
            </w:r>
          </w:p>
        </w:tc>
        <w:tc>
          <w:tcPr>
            <w:tcW w:w="2409" w:type="dxa"/>
            <w:vAlign w:val="center"/>
          </w:tcPr>
          <w:p>
            <w:pPr>
              <w:rPr>
                <w:rFonts w:hint="eastAsia" w:ascii="宋体" w:hAnsi="宋体" w:eastAsia="宋体" w:cs="宋体"/>
                <w:color w:val="auto"/>
                <w:sz w:val="22"/>
              </w:rPr>
            </w:pPr>
            <w:r>
              <w:rPr>
                <w:rFonts w:ascii="Calibri" w:hAnsi="Calibri" w:eastAsia="宋体" w:cs="Times New Roman"/>
                <w:color w:val="auto"/>
                <w:sz w:val="22"/>
              </w:rPr>
              <w:t>基于风险</w:t>
            </w:r>
          </w:p>
        </w:tc>
        <w:tc>
          <w:tcPr>
            <w:tcW w:w="1560" w:type="dxa"/>
            <w:vAlign w:val="center"/>
          </w:tcPr>
          <w:p>
            <w:pPr>
              <w:rPr>
                <w:rFonts w:hint="eastAsia" w:ascii="宋体" w:hAnsi="宋体" w:eastAsia="宋体" w:cs="宋体"/>
                <w:color w:val="auto"/>
                <w:sz w:val="22"/>
              </w:rPr>
            </w:pPr>
            <w:r>
              <w:rPr>
                <w:rFonts w:ascii="Calibri" w:hAnsi="Calibri" w:eastAsia="宋体" w:cs="Times New Roman"/>
                <w:color w:val="auto"/>
                <w:sz w:val="22"/>
              </w:rPr>
              <w:t>查设计、现场、DCS、操作规程</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42" w:type="dxa"/>
          </w:tcPr>
          <w:p>
            <w:pPr>
              <w:jc w:val="center"/>
              <w:rPr>
                <w:rFonts w:ascii="Times New Roman" w:hAnsi="Times New Roman" w:eastAsia="宋体" w:cs="Times New Roman"/>
                <w:color w:val="auto"/>
                <w:szCs w:val="21"/>
              </w:rPr>
            </w:pPr>
          </w:p>
        </w:tc>
        <w:tc>
          <w:tcPr>
            <w:tcW w:w="69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13</w:t>
            </w:r>
          </w:p>
        </w:tc>
        <w:tc>
          <w:tcPr>
            <w:tcW w:w="2637" w:type="dxa"/>
            <w:vAlign w:val="center"/>
          </w:tcPr>
          <w:p>
            <w:pPr>
              <w:rPr>
                <w:rFonts w:hint="eastAsia" w:ascii="宋体" w:hAnsi="宋体" w:eastAsia="宋体" w:cs="宋体"/>
                <w:color w:val="auto"/>
                <w:sz w:val="22"/>
              </w:rPr>
            </w:pPr>
            <w:r>
              <w:rPr>
                <w:rFonts w:ascii="Calibri" w:hAnsi="Calibri" w:eastAsia="宋体" w:cs="Times New Roman"/>
                <w:color w:val="auto"/>
                <w:sz w:val="22"/>
              </w:rPr>
              <w:t>（1）参与原料气配比的蒸汽压力应高于变换系统压力，并设置压差低限报警，且应在蒸汽管线上设置不同型式的双止回阀。</w:t>
            </w:r>
            <w:r>
              <w:rPr>
                <w:rFonts w:ascii="Calibri" w:hAnsi="Calibri" w:eastAsia="宋体" w:cs="Times New Roman"/>
                <w:color w:val="auto"/>
                <w:sz w:val="22"/>
              </w:rPr>
              <w:br w:type="textWrapping"/>
            </w:r>
            <w:r>
              <w:rPr>
                <w:rFonts w:ascii="Calibri" w:hAnsi="Calibri" w:eastAsia="宋体" w:cs="Times New Roman"/>
                <w:color w:val="auto"/>
                <w:sz w:val="22"/>
              </w:rPr>
              <w:t>（2）变换装置进口应当设置水分离器，水分离器排水设施应当进行高压串低压安全风险分析。</w:t>
            </w:r>
          </w:p>
        </w:tc>
        <w:tc>
          <w:tcPr>
            <w:tcW w:w="2409" w:type="dxa"/>
            <w:vAlign w:val="center"/>
          </w:tcPr>
          <w:p>
            <w:pPr>
              <w:rPr>
                <w:rFonts w:hint="eastAsia" w:ascii="宋体" w:hAnsi="宋体" w:eastAsia="宋体" w:cs="宋体"/>
                <w:color w:val="auto"/>
                <w:sz w:val="22"/>
              </w:rPr>
            </w:pPr>
            <w:r>
              <w:rPr>
                <w:rFonts w:ascii="Calibri" w:hAnsi="Calibri" w:eastAsia="宋体" w:cs="Times New Roman"/>
                <w:color w:val="auto"/>
                <w:sz w:val="22"/>
              </w:rPr>
              <w:t>基于风险</w:t>
            </w:r>
          </w:p>
        </w:tc>
        <w:tc>
          <w:tcPr>
            <w:tcW w:w="1560" w:type="dxa"/>
            <w:vAlign w:val="center"/>
          </w:tcPr>
          <w:p>
            <w:pPr>
              <w:rPr>
                <w:rFonts w:hint="eastAsia" w:ascii="宋体" w:hAnsi="宋体" w:eastAsia="宋体" w:cs="宋体"/>
                <w:color w:val="auto"/>
                <w:sz w:val="22"/>
              </w:rPr>
            </w:pPr>
            <w:r>
              <w:rPr>
                <w:rFonts w:ascii="Calibri" w:hAnsi="Calibri" w:eastAsia="宋体" w:cs="Times New Roman"/>
                <w:color w:val="auto"/>
                <w:sz w:val="22"/>
              </w:rPr>
              <w:t>查设计、现场、操作规程、DCS</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42" w:type="dxa"/>
          </w:tcPr>
          <w:p>
            <w:pPr>
              <w:jc w:val="center"/>
              <w:rPr>
                <w:rFonts w:ascii="Times New Roman" w:hAnsi="Times New Roman" w:eastAsia="宋体" w:cs="Times New Roman"/>
                <w:color w:val="auto"/>
                <w:szCs w:val="21"/>
              </w:rPr>
            </w:pPr>
          </w:p>
        </w:tc>
        <w:tc>
          <w:tcPr>
            <w:tcW w:w="69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14</w:t>
            </w:r>
          </w:p>
        </w:tc>
        <w:tc>
          <w:tcPr>
            <w:tcW w:w="2637" w:type="dxa"/>
            <w:vAlign w:val="center"/>
          </w:tcPr>
          <w:p>
            <w:pPr>
              <w:rPr>
                <w:rFonts w:hint="eastAsia" w:ascii="宋体" w:hAnsi="宋体" w:eastAsia="宋体" w:cs="宋体"/>
                <w:color w:val="auto"/>
                <w:sz w:val="22"/>
              </w:rPr>
            </w:pPr>
            <w:r>
              <w:rPr>
                <w:rFonts w:ascii="Calibri" w:hAnsi="Calibri" w:eastAsia="宋体" w:cs="Times New Roman"/>
                <w:color w:val="auto"/>
                <w:sz w:val="22"/>
              </w:rPr>
              <w:t>变换炉触媒床层热点温度超过最高允许值，且无下降趋势时，应立即停车处置，保持系统正压。</w:t>
            </w:r>
          </w:p>
        </w:tc>
        <w:tc>
          <w:tcPr>
            <w:tcW w:w="2409" w:type="dxa"/>
            <w:vAlign w:val="center"/>
          </w:tcPr>
          <w:p>
            <w:pPr>
              <w:rPr>
                <w:rFonts w:hint="eastAsia" w:ascii="宋体" w:hAnsi="宋体" w:eastAsia="宋体" w:cs="宋体"/>
                <w:color w:val="auto"/>
                <w:sz w:val="22"/>
              </w:rPr>
            </w:pPr>
            <w:r>
              <w:rPr>
                <w:rFonts w:ascii="Calibri" w:hAnsi="Calibri" w:eastAsia="宋体" w:cs="Times New Roman"/>
                <w:color w:val="auto"/>
                <w:sz w:val="22"/>
              </w:rPr>
              <w:t>基于风险</w:t>
            </w:r>
          </w:p>
        </w:tc>
        <w:tc>
          <w:tcPr>
            <w:tcW w:w="1560" w:type="dxa"/>
            <w:vAlign w:val="center"/>
          </w:tcPr>
          <w:p>
            <w:pPr>
              <w:rPr>
                <w:rFonts w:hint="eastAsia" w:ascii="宋体" w:hAnsi="宋体" w:eastAsia="宋体" w:cs="宋体"/>
                <w:color w:val="auto"/>
                <w:sz w:val="22"/>
              </w:rPr>
            </w:pPr>
            <w:r>
              <w:rPr>
                <w:rFonts w:ascii="Calibri" w:hAnsi="Calibri" w:eastAsia="宋体" w:cs="Times New Roman"/>
                <w:color w:val="auto"/>
                <w:sz w:val="22"/>
              </w:rPr>
              <w:t>查现场、操作规程</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42" w:type="dxa"/>
          </w:tcPr>
          <w:p>
            <w:pPr>
              <w:jc w:val="center"/>
              <w:rPr>
                <w:rFonts w:ascii="Times New Roman" w:hAnsi="Times New Roman" w:eastAsia="宋体" w:cs="Times New Roman"/>
                <w:color w:val="auto"/>
                <w:szCs w:val="21"/>
              </w:rPr>
            </w:pPr>
          </w:p>
        </w:tc>
        <w:tc>
          <w:tcPr>
            <w:tcW w:w="69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33"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15</w:t>
            </w:r>
          </w:p>
        </w:tc>
        <w:tc>
          <w:tcPr>
            <w:tcW w:w="2637" w:type="dxa"/>
            <w:vAlign w:val="center"/>
          </w:tcPr>
          <w:p>
            <w:pPr>
              <w:rPr>
                <w:rFonts w:hint="eastAsia" w:ascii="宋体" w:hAnsi="宋体" w:eastAsia="宋体" w:cs="宋体"/>
                <w:color w:val="auto"/>
                <w:sz w:val="22"/>
              </w:rPr>
            </w:pPr>
            <w:r>
              <w:rPr>
                <w:rFonts w:ascii="Calibri" w:hAnsi="Calibri" w:eastAsia="宋体" w:cs="Times New Roman"/>
                <w:color w:val="auto"/>
                <w:sz w:val="22"/>
              </w:rPr>
              <w:t>变换工段的含氨废水应送往污水处理系统，并进行安全风险分析。</w:t>
            </w:r>
          </w:p>
        </w:tc>
        <w:tc>
          <w:tcPr>
            <w:tcW w:w="2409" w:type="dxa"/>
            <w:vAlign w:val="center"/>
          </w:tcPr>
          <w:p>
            <w:pPr>
              <w:rPr>
                <w:rFonts w:hint="eastAsia" w:ascii="宋体" w:hAnsi="宋体" w:eastAsia="宋体" w:cs="宋体"/>
                <w:color w:val="auto"/>
                <w:sz w:val="22"/>
              </w:rPr>
            </w:pPr>
            <w:r>
              <w:rPr>
                <w:rFonts w:ascii="Calibri" w:hAnsi="Calibri" w:eastAsia="宋体" w:cs="Times New Roman"/>
                <w:color w:val="auto"/>
                <w:sz w:val="22"/>
              </w:rPr>
              <w:t>基于风险</w:t>
            </w:r>
          </w:p>
        </w:tc>
        <w:tc>
          <w:tcPr>
            <w:tcW w:w="1560" w:type="dxa"/>
            <w:vAlign w:val="center"/>
          </w:tcPr>
          <w:p>
            <w:pPr>
              <w:rPr>
                <w:rFonts w:hint="eastAsia" w:ascii="宋体" w:hAnsi="宋体" w:eastAsia="宋体" w:cs="宋体"/>
                <w:color w:val="auto"/>
                <w:sz w:val="22"/>
              </w:rPr>
            </w:pPr>
            <w:r>
              <w:rPr>
                <w:rFonts w:ascii="Calibri" w:hAnsi="Calibri" w:eastAsia="宋体" w:cs="Times New Roman"/>
                <w:color w:val="auto"/>
                <w:sz w:val="22"/>
              </w:rPr>
              <w:t>查现场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42" w:type="dxa"/>
          </w:tcPr>
          <w:p>
            <w:pPr>
              <w:jc w:val="center"/>
              <w:rPr>
                <w:rFonts w:ascii="Times New Roman" w:hAnsi="Times New Roman" w:eastAsia="宋体" w:cs="Times New Roman"/>
                <w:color w:val="auto"/>
                <w:szCs w:val="21"/>
              </w:rPr>
            </w:pPr>
          </w:p>
        </w:tc>
        <w:tc>
          <w:tcPr>
            <w:tcW w:w="69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16</w:t>
            </w:r>
          </w:p>
        </w:tc>
        <w:tc>
          <w:tcPr>
            <w:tcW w:w="2637" w:type="dxa"/>
            <w:vAlign w:val="center"/>
          </w:tcPr>
          <w:p>
            <w:pPr>
              <w:rPr>
                <w:rFonts w:hint="eastAsia" w:ascii="宋体" w:hAnsi="宋体" w:eastAsia="宋体" w:cs="宋体"/>
                <w:color w:val="auto"/>
                <w:sz w:val="22"/>
              </w:rPr>
            </w:pPr>
            <w:r>
              <w:rPr>
                <w:rFonts w:ascii="Calibri" w:hAnsi="Calibri" w:eastAsia="宋体" w:cs="Times New Roman"/>
                <w:color w:val="auto"/>
                <w:sz w:val="22"/>
              </w:rPr>
              <w:t>（1）应结合生产特点，设置以下重点监控工艺参数：合成塔、压缩机、氨储存系统的运行基本控制参数（包括温度、压力、液位、物料流量及比例等）。</w:t>
            </w:r>
            <w:r>
              <w:rPr>
                <w:rFonts w:ascii="Calibri" w:hAnsi="Calibri" w:eastAsia="宋体" w:cs="Times New Roman"/>
                <w:color w:val="auto"/>
                <w:sz w:val="22"/>
              </w:rPr>
              <w:br w:type="textWrapping"/>
            </w:r>
            <w:r>
              <w:rPr>
                <w:rFonts w:ascii="Calibri" w:hAnsi="Calibri" w:eastAsia="宋体" w:cs="Times New Roman"/>
                <w:color w:val="auto"/>
                <w:sz w:val="22"/>
              </w:rPr>
              <w:t>（2）氨合成系统循环冷却水氯离子含量应当控制在操作规程规定范围内。</w:t>
            </w:r>
          </w:p>
        </w:tc>
        <w:tc>
          <w:tcPr>
            <w:tcW w:w="2409" w:type="dxa"/>
            <w:vAlign w:val="center"/>
          </w:tcPr>
          <w:p>
            <w:pPr>
              <w:rPr>
                <w:rFonts w:hint="eastAsia" w:ascii="宋体" w:hAnsi="宋体" w:eastAsia="宋体" w:cs="宋体"/>
                <w:color w:val="auto"/>
                <w:sz w:val="22"/>
              </w:rPr>
            </w:pPr>
            <w:r>
              <w:rPr>
                <w:rFonts w:ascii="Calibri" w:hAnsi="Calibri" w:eastAsia="宋体" w:cs="Times New Roman"/>
                <w:color w:val="auto"/>
                <w:sz w:val="22"/>
              </w:rPr>
              <w:t>《关于公布首批重点监管的危险化工工艺目录的通知》</w:t>
            </w:r>
          </w:p>
        </w:tc>
        <w:tc>
          <w:tcPr>
            <w:tcW w:w="1560" w:type="dxa"/>
            <w:vAlign w:val="center"/>
          </w:tcPr>
          <w:p>
            <w:pPr>
              <w:rPr>
                <w:rFonts w:hint="eastAsia" w:ascii="宋体" w:hAnsi="宋体" w:eastAsia="宋体" w:cs="宋体"/>
                <w:color w:val="auto"/>
                <w:sz w:val="22"/>
              </w:rPr>
            </w:pPr>
            <w:r>
              <w:rPr>
                <w:rFonts w:ascii="Calibri" w:hAnsi="Calibri" w:eastAsia="宋体" w:cs="Times New Roman"/>
                <w:color w:val="auto"/>
                <w:sz w:val="22"/>
              </w:rPr>
              <w:t>查设计资料、DCS、现场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42" w:type="dxa"/>
          </w:tcPr>
          <w:p>
            <w:pPr>
              <w:jc w:val="center"/>
              <w:rPr>
                <w:rFonts w:ascii="Times New Roman" w:hAnsi="Times New Roman" w:eastAsia="宋体" w:cs="Times New Roman"/>
                <w:color w:val="auto"/>
                <w:szCs w:val="21"/>
              </w:rPr>
            </w:pPr>
          </w:p>
        </w:tc>
        <w:tc>
          <w:tcPr>
            <w:tcW w:w="69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17</w:t>
            </w:r>
          </w:p>
        </w:tc>
        <w:tc>
          <w:tcPr>
            <w:tcW w:w="2637" w:type="dxa"/>
            <w:vAlign w:val="center"/>
          </w:tcPr>
          <w:p>
            <w:pPr>
              <w:rPr>
                <w:rFonts w:hint="eastAsia" w:ascii="宋体" w:hAnsi="宋体" w:eastAsia="宋体" w:cs="宋体"/>
                <w:color w:val="auto"/>
                <w:sz w:val="22"/>
              </w:rPr>
            </w:pPr>
            <w:r>
              <w:rPr>
                <w:rFonts w:ascii="Calibri" w:hAnsi="Calibri" w:eastAsia="宋体" w:cs="Times New Roman"/>
                <w:color w:val="auto"/>
                <w:sz w:val="22"/>
              </w:rPr>
              <w:t>应结合生产特点满足安全控制的基本要求：合成氨装置温度、压力报警和联锁，物料比例控制和联锁，压缩机的温度、入口分离器液位、压力报警联锁，氨分离器、冷交分离器的放氨液位高高联锁，放氨液位低低（带气）联锁，紧急切断系统，安全泄放系统，废热锅炉高低限液位报警、液位高高联锁切断进水。</w:t>
            </w:r>
          </w:p>
        </w:tc>
        <w:tc>
          <w:tcPr>
            <w:tcW w:w="2409" w:type="dxa"/>
            <w:vAlign w:val="center"/>
          </w:tcPr>
          <w:p>
            <w:pPr>
              <w:rPr>
                <w:rFonts w:hint="eastAsia" w:ascii="宋体" w:hAnsi="宋体" w:eastAsia="宋体" w:cs="宋体"/>
                <w:color w:val="auto"/>
                <w:sz w:val="22"/>
              </w:rPr>
            </w:pPr>
            <w:r>
              <w:rPr>
                <w:rFonts w:ascii="Calibri" w:hAnsi="Calibri" w:eastAsia="宋体" w:cs="Times New Roman"/>
                <w:color w:val="auto"/>
                <w:sz w:val="22"/>
              </w:rPr>
              <w:t>《关于公布首批重点监管的危险化工工艺目录的通知》</w:t>
            </w:r>
          </w:p>
        </w:tc>
        <w:tc>
          <w:tcPr>
            <w:tcW w:w="1560" w:type="dxa"/>
            <w:vAlign w:val="center"/>
          </w:tcPr>
          <w:p>
            <w:pPr>
              <w:rPr>
                <w:rFonts w:hint="eastAsia" w:ascii="宋体" w:hAnsi="宋体" w:eastAsia="宋体" w:cs="宋体"/>
                <w:color w:val="auto"/>
                <w:sz w:val="22"/>
              </w:rPr>
            </w:pPr>
            <w:r>
              <w:rPr>
                <w:rFonts w:ascii="Calibri" w:hAnsi="Calibri" w:eastAsia="宋体" w:cs="Times New Roman"/>
                <w:color w:val="auto"/>
                <w:sz w:val="22"/>
              </w:rPr>
              <w:t>查设计资料、DCS、现场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42" w:type="dxa"/>
          </w:tcPr>
          <w:p>
            <w:pPr>
              <w:jc w:val="center"/>
              <w:rPr>
                <w:rFonts w:ascii="Times New Roman" w:hAnsi="Times New Roman" w:eastAsia="宋体" w:cs="Times New Roman"/>
                <w:color w:val="auto"/>
                <w:szCs w:val="21"/>
              </w:rPr>
            </w:pPr>
          </w:p>
        </w:tc>
        <w:tc>
          <w:tcPr>
            <w:tcW w:w="69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18</w:t>
            </w:r>
          </w:p>
        </w:tc>
        <w:tc>
          <w:tcPr>
            <w:tcW w:w="2637" w:type="dxa"/>
            <w:vAlign w:val="center"/>
          </w:tcPr>
          <w:p>
            <w:pPr>
              <w:rPr>
                <w:rFonts w:hint="eastAsia" w:ascii="宋体" w:hAnsi="宋体" w:eastAsia="宋体" w:cs="宋体"/>
                <w:color w:val="auto"/>
                <w:sz w:val="22"/>
              </w:rPr>
            </w:pPr>
            <w:r>
              <w:rPr>
                <w:rFonts w:ascii="Calibri" w:hAnsi="Calibri" w:eastAsia="宋体" w:cs="Times New Roman"/>
                <w:color w:val="auto"/>
                <w:sz w:val="22"/>
              </w:rPr>
              <w:t>氮氢气压缩机应设置一段入口压力低限报警、压缩机出口压力高高联锁；各段温度、入口分离器液位、压力应设置报警联锁；氮氢压缩机振动高限跳车联锁、入口分离器液位低低联锁停运循环氢压缩机。</w:t>
            </w:r>
          </w:p>
        </w:tc>
        <w:tc>
          <w:tcPr>
            <w:tcW w:w="2409" w:type="dxa"/>
            <w:vAlign w:val="center"/>
          </w:tcPr>
          <w:p>
            <w:pPr>
              <w:rPr>
                <w:rFonts w:hint="eastAsia" w:ascii="宋体" w:hAnsi="宋体" w:eastAsia="宋体" w:cs="宋体"/>
                <w:color w:val="auto"/>
                <w:sz w:val="22"/>
              </w:rPr>
            </w:pPr>
            <w:r>
              <w:rPr>
                <w:rFonts w:ascii="Calibri" w:hAnsi="Calibri" w:eastAsia="宋体" w:cs="Times New Roman"/>
                <w:color w:val="auto"/>
                <w:sz w:val="22"/>
              </w:rPr>
              <w:t>《关于公布首批重点监管的危险化工工艺目录的通知》</w:t>
            </w:r>
          </w:p>
        </w:tc>
        <w:tc>
          <w:tcPr>
            <w:tcW w:w="1560" w:type="dxa"/>
            <w:vAlign w:val="center"/>
          </w:tcPr>
          <w:p>
            <w:pPr>
              <w:rPr>
                <w:rFonts w:hint="eastAsia" w:ascii="宋体" w:hAnsi="宋体" w:eastAsia="宋体" w:cs="宋体"/>
                <w:color w:val="auto"/>
                <w:sz w:val="22"/>
              </w:rPr>
            </w:pPr>
            <w:r>
              <w:rPr>
                <w:rFonts w:ascii="Calibri" w:hAnsi="Calibri" w:eastAsia="宋体" w:cs="Times New Roman"/>
                <w:color w:val="auto"/>
                <w:sz w:val="22"/>
              </w:rPr>
              <w:t>查现场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42" w:type="dxa"/>
          </w:tcPr>
          <w:p>
            <w:pPr>
              <w:jc w:val="center"/>
              <w:rPr>
                <w:rFonts w:ascii="Times New Roman" w:hAnsi="Times New Roman" w:eastAsia="宋体" w:cs="Times New Roman"/>
                <w:color w:val="auto"/>
                <w:szCs w:val="21"/>
              </w:rPr>
            </w:pPr>
          </w:p>
        </w:tc>
        <w:tc>
          <w:tcPr>
            <w:tcW w:w="69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33"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19</w:t>
            </w:r>
          </w:p>
        </w:tc>
        <w:tc>
          <w:tcPr>
            <w:tcW w:w="2637" w:type="dxa"/>
            <w:vAlign w:val="center"/>
          </w:tcPr>
          <w:p>
            <w:pPr>
              <w:rPr>
                <w:rFonts w:hint="eastAsia" w:ascii="宋体" w:hAnsi="宋体" w:eastAsia="宋体" w:cs="宋体"/>
                <w:color w:val="auto"/>
                <w:sz w:val="22"/>
              </w:rPr>
            </w:pPr>
            <w:r>
              <w:rPr>
                <w:rFonts w:ascii="Calibri" w:hAnsi="Calibri" w:eastAsia="宋体" w:cs="Times New Roman"/>
                <w:color w:val="auto"/>
                <w:sz w:val="22"/>
              </w:rPr>
              <w:t>氨冷器、气氨总管、循环机出口、液氨贮槽、废热锅炉等部位，应设置安全阀；安全阀出口处应加导气管，并采取吸收措施或引入火炬系统，严禁导气管出口朝向室内。</w:t>
            </w:r>
          </w:p>
        </w:tc>
        <w:tc>
          <w:tcPr>
            <w:tcW w:w="2409" w:type="dxa"/>
            <w:vAlign w:val="center"/>
          </w:tcPr>
          <w:p>
            <w:pPr>
              <w:rPr>
                <w:rFonts w:hint="eastAsia" w:ascii="宋体" w:hAnsi="宋体" w:eastAsia="宋体" w:cs="宋体"/>
                <w:color w:val="auto"/>
                <w:sz w:val="22"/>
              </w:rPr>
            </w:pPr>
            <w:r>
              <w:rPr>
                <w:rFonts w:ascii="Calibri" w:hAnsi="Calibri" w:eastAsia="宋体" w:cs="Times New Roman"/>
                <w:color w:val="auto"/>
                <w:sz w:val="22"/>
              </w:rPr>
              <w:t>基于风险</w:t>
            </w:r>
          </w:p>
        </w:tc>
        <w:tc>
          <w:tcPr>
            <w:tcW w:w="1560" w:type="dxa"/>
            <w:vAlign w:val="center"/>
          </w:tcPr>
          <w:p>
            <w:pPr>
              <w:rPr>
                <w:rFonts w:hint="eastAsia" w:ascii="宋体" w:hAnsi="宋体" w:eastAsia="宋体" w:cs="宋体"/>
                <w:color w:val="auto"/>
                <w:sz w:val="22"/>
              </w:rPr>
            </w:pPr>
            <w:r>
              <w:rPr>
                <w:rFonts w:ascii="Calibri" w:hAnsi="Calibri" w:eastAsia="宋体" w:cs="Times New Roman"/>
                <w:color w:val="auto"/>
                <w:sz w:val="22"/>
              </w:rPr>
              <w:t>查现场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42" w:type="dxa"/>
          </w:tcPr>
          <w:p>
            <w:pPr>
              <w:jc w:val="center"/>
              <w:rPr>
                <w:rFonts w:ascii="Times New Roman" w:hAnsi="Times New Roman" w:eastAsia="宋体" w:cs="Times New Roman"/>
                <w:color w:val="auto"/>
                <w:szCs w:val="21"/>
              </w:rPr>
            </w:pPr>
          </w:p>
        </w:tc>
        <w:tc>
          <w:tcPr>
            <w:tcW w:w="69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20</w:t>
            </w:r>
          </w:p>
        </w:tc>
        <w:tc>
          <w:tcPr>
            <w:tcW w:w="2637" w:type="dxa"/>
            <w:vAlign w:val="center"/>
          </w:tcPr>
          <w:p>
            <w:pPr>
              <w:rPr>
                <w:rFonts w:hint="eastAsia" w:ascii="宋体" w:hAnsi="宋体" w:eastAsia="宋体" w:cs="宋体"/>
                <w:color w:val="auto"/>
                <w:sz w:val="22"/>
              </w:rPr>
            </w:pPr>
            <w:r>
              <w:rPr>
                <w:rFonts w:ascii="Calibri" w:hAnsi="Calibri" w:eastAsia="宋体" w:cs="Times New Roman"/>
                <w:color w:val="auto"/>
                <w:sz w:val="22"/>
              </w:rPr>
              <w:t>氮氢气压缩机各段出口管道上应安装安全阀，安全阀出口导气管应接出室外；放空管应设置阻火器，高度应高于周边20m范围内操作平台3.5m以上；安全阀应定期校验，确保灵敏可靠。</w:t>
            </w:r>
          </w:p>
        </w:tc>
        <w:tc>
          <w:tcPr>
            <w:tcW w:w="2409" w:type="dxa"/>
            <w:vAlign w:val="center"/>
          </w:tcPr>
          <w:p>
            <w:pPr>
              <w:rPr>
                <w:rFonts w:hint="eastAsia" w:ascii="宋体" w:hAnsi="宋体" w:eastAsia="宋体" w:cs="宋体"/>
                <w:color w:val="auto"/>
                <w:sz w:val="22"/>
              </w:rPr>
            </w:pPr>
            <w:r>
              <w:rPr>
                <w:rFonts w:ascii="Calibri" w:hAnsi="Calibri" w:eastAsia="宋体" w:cs="Times New Roman"/>
                <w:color w:val="auto"/>
                <w:sz w:val="22"/>
              </w:rPr>
              <w:t>《石油化工企业设计防火标准》</w:t>
            </w:r>
          </w:p>
        </w:tc>
        <w:tc>
          <w:tcPr>
            <w:tcW w:w="1560" w:type="dxa"/>
            <w:vAlign w:val="center"/>
          </w:tcPr>
          <w:p>
            <w:pPr>
              <w:rPr>
                <w:rFonts w:hint="eastAsia" w:ascii="宋体" w:hAnsi="宋体" w:eastAsia="宋体" w:cs="宋体"/>
                <w:color w:val="auto"/>
                <w:sz w:val="22"/>
              </w:rPr>
            </w:pPr>
            <w:r>
              <w:rPr>
                <w:rFonts w:ascii="Calibri" w:hAnsi="Calibri" w:eastAsia="宋体" w:cs="Times New Roman"/>
                <w:color w:val="auto"/>
                <w:sz w:val="22"/>
              </w:rPr>
              <w:t>查现场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42" w:type="dxa"/>
          </w:tcPr>
          <w:p>
            <w:pPr>
              <w:jc w:val="center"/>
              <w:rPr>
                <w:rFonts w:ascii="Times New Roman" w:hAnsi="Times New Roman" w:eastAsia="宋体" w:cs="Times New Roman"/>
                <w:color w:val="auto"/>
                <w:szCs w:val="21"/>
              </w:rPr>
            </w:pPr>
          </w:p>
        </w:tc>
        <w:tc>
          <w:tcPr>
            <w:tcW w:w="69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21</w:t>
            </w:r>
          </w:p>
        </w:tc>
        <w:tc>
          <w:tcPr>
            <w:tcW w:w="2637" w:type="dxa"/>
            <w:vAlign w:val="center"/>
          </w:tcPr>
          <w:p>
            <w:pPr>
              <w:rPr>
                <w:rFonts w:hint="eastAsia" w:ascii="宋体" w:hAnsi="宋体" w:eastAsia="宋体" w:cs="宋体"/>
                <w:color w:val="auto"/>
                <w:sz w:val="22"/>
              </w:rPr>
            </w:pPr>
            <w:r>
              <w:rPr>
                <w:rFonts w:ascii="Calibri" w:hAnsi="Calibri" w:eastAsia="宋体" w:cs="Times New Roman"/>
                <w:color w:val="auto"/>
                <w:sz w:val="22"/>
              </w:rPr>
              <w:t>氮氢气压缩机超温、超压、漏气、带水、带液、电流突然升高，应停车处置。</w:t>
            </w:r>
          </w:p>
        </w:tc>
        <w:tc>
          <w:tcPr>
            <w:tcW w:w="2409" w:type="dxa"/>
            <w:vAlign w:val="center"/>
          </w:tcPr>
          <w:p>
            <w:pPr>
              <w:rPr>
                <w:rFonts w:hint="eastAsia" w:ascii="宋体" w:hAnsi="宋体" w:eastAsia="宋体" w:cs="宋体"/>
                <w:color w:val="auto"/>
                <w:sz w:val="22"/>
              </w:rPr>
            </w:pPr>
            <w:r>
              <w:rPr>
                <w:rFonts w:ascii="Calibri" w:hAnsi="Calibri" w:eastAsia="宋体" w:cs="Times New Roman"/>
                <w:color w:val="auto"/>
                <w:sz w:val="22"/>
              </w:rPr>
              <w:t>基于风险</w:t>
            </w:r>
          </w:p>
        </w:tc>
        <w:tc>
          <w:tcPr>
            <w:tcW w:w="1560" w:type="dxa"/>
            <w:vAlign w:val="center"/>
          </w:tcPr>
          <w:p>
            <w:pPr>
              <w:rPr>
                <w:rFonts w:hint="eastAsia" w:ascii="宋体" w:hAnsi="宋体" w:eastAsia="宋体" w:cs="宋体"/>
                <w:color w:val="auto"/>
                <w:sz w:val="22"/>
              </w:rPr>
            </w:pPr>
            <w:r>
              <w:rPr>
                <w:rFonts w:ascii="Calibri" w:hAnsi="Calibri" w:eastAsia="宋体" w:cs="Times New Roman"/>
                <w:color w:val="auto"/>
                <w:sz w:val="22"/>
              </w:rPr>
              <w:t>查现场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42" w:type="dxa"/>
          </w:tcPr>
          <w:p>
            <w:pPr>
              <w:jc w:val="center"/>
              <w:rPr>
                <w:rFonts w:ascii="Times New Roman" w:hAnsi="Times New Roman" w:eastAsia="宋体" w:cs="Times New Roman"/>
                <w:color w:val="auto"/>
                <w:szCs w:val="21"/>
              </w:rPr>
            </w:pPr>
          </w:p>
        </w:tc>
        <w:tc>
          <w:tcPr>
            <w:tcW w:w="69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22</w:t>
            </w:r>
          </w:p>
        </w:tc>
        <w:tc>
          <w:tcPr>
            <w:tcW w:w="2637" w:type="dxa"/>
            <w:vAlign w:val="center"/>
          </w:tcPr>
          <w:p>
            <w:pPr>
              <w:rPr>
                <w:rFonts w:hint="eastAsia" w:ascii="宋体" w:hAnsi="宋体" w:eastAsia="宋体" w:cs="宋体"/>
                <w:color w:val="auto"/>
                <w:sz w:val="22"/>
              </w:rPr>
            </w:pPr>
            <w:r>
              <w:rPr>
                <w:rFonts w:ascii="Calibri" w:hAnsi="Calibri" w:eastAsia="宋体" w:cs="Times New Roman"/>
                <w:color w:val="auto"/>
                <w:sz w:val="22"/>
              </w:rPr>
              <w:t>高压分离器至低压闪蒸槽等可能存在高压串低压的设备设施出现异常、检测仪表出现异常或者发生故障，应停车处置。</w:t>
            </w:r>
          </w:p>
        </w:tc>
        <w:tc>
          <w:tcPr>
            <w:tcW w:w="2409" w:type="dxa"/>
            <w:vAlign w:val="center"/>
          </w:tcPr>
          <w:p>
            <w:pPr>
              <w:rPr>
                <w:rFonts w:hint="eastAsia" w:ascii="宋体" w:hAnsi="宋体" w:eastAsia="宋体" w:cs="宋体"/>
                <w:color w:val="auto"/>
                <w:sz w:val="22"/>
              </w:rPr>
            </w:pPr>
            <w:r>
              <w:rPr>
                <w:rFonts w:ascii="Calibri" w:hAnsi="Calibri" w:eastAsia="宋体" w:cs="Times New Roman"/>
                <w:color w:val="auto"/>
                <w:sz w:val="22"/>
              </w:rPr>
              <w:t>基于风险</w:t>
            </w:r>
          </w:p>
        </w:tc>
        <w:tc>
          <w:tcPr>
            <w:tcW w:w="1560" w:type="dxa"/>
            <w:vAlign w:val="center"/>
          </w:tcPr>
          <w:p>
            <w:pPr>
              <w:rPr>
                <w:rFonts w:hint="eastAsia" w:ascii="宋体" w:hAnsi="宋体" w:eastAsia="宋体" w:cs="宋体"/>
                <w:color w:val="auto"/>
                <w:sz w:val="22"/>
              </w:rPr>
            </w:pPr>
            <w:r>
              <w:rPr>
                <w:rFonts w:ascii="Calibri" w:hAnsi="Calibri" w:eastAsia="宋体" w:cs="Times New Roman"/>
                <w:color w:val="auto"/>
                <w:sz w:val="22"/>
              </w:rPr>
              <w:t>查现场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42" w:type="dxa"/>
          </w:tcPr>
          <w:p>
            <w:pPr>
              <w:jc w:val="center"/>
              <w:rPr>
                <w:rFonts w:ascii="Times New Roman" w:hAnsi="Times New Roman" w:eastAsia="宋体" w:cs="Times New Roman"/>
                <w:color w:val="auto"/>
                <w:szCs w:val="21"/>
              </w:rPr>
            </w:pPr>
          </w:p>
        </w:tc>
        <w:tc>
          <w:tcPr>
            <w:tcW w:w="69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33"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23</w:t>
            </w:r>
          </w:p>
        </w:tc>
        <w:tc>
          <w:tcPr>
            <w:tcW w:w="2637" w:type="dxa"/>
            <w:vAlign w:val="center"/>
          </w:tcPr>
          <w:p>
            <w:pPr>
              <w:rPr>
                <w:rFonts w:hint="eastAsia" w:ascii="宋体" w:hAnsi="宋体" w:eastAsia="宋体" w:cs="宋体"/>
                <w:color w:val="auto"/>
                <w:sz w:val="22"/>
              </w:rPr>
            </w:pPr>
            <w:r>
              <w:rPr>
                <w:rFonts w:ascii="Calibri" w:hAnsi="Calibri" w:eastAsia="宋体" w:cs="Times New Roman"/>
                <w:color w:val="auto"/>
                <w:sz w:val="22"/>
              </w:rPr>
              <w:t>液氨储罐的储存系数不应大于0.9；液氨管道不得采用金属软管。</w:t>
            </w:r>
          </w:p>
        </w:tc>
        <w:tc>
          <w:tcPr>
            <w:tcW w:w="2409" w:type="dxa"/>
            <w:vAlign w:val="center"/>
          </w:tcPr>
          <w:p>
            <w:pPr>
              <w:rPr>
                <w:rFonts w:hint="eastAsia" w:ascii="宋体" w:hAnsi="宋体" w:eastAsia="宋体" w:cs="宋体"/>
                <w:color w:val="auto"/>
                <w:sz w:val="22"/>
              </w:rPr>
            </w:pPr>
            <w:r>
              <w:rPr>
                <w:rFonts w:ascii="Calibri" w:hAnsi="Calibri" w:eastAsia="宋体" w:cs="Times New Roman"/>
                <w:color w:val="auto"/>
                <w:sz w:val="22"/>
              </w:rPr>
              <w:t>《石油化工企业设计防火标准》</w:t>
            </w:r>
          </w:p>
        </w:tc>
        <w:tc>
          <w:tcPr>
            <w:tcW w:w="1560" w:type="dxa"/>
            <w:vAlign w:val="center"/>
          </w:tcPr>
          <w:p>
            <w:pPr>
              <w:rPr>
                <w:rFonts w:hint="eastAsia" w:ascii="宋体" w:hAnsi="宋体" w:eastAsia="宋体" w:cs="宋体"/>
                <w:color w:val="auto"/>
                <w:sz w:val="22"/>
              </w:rPr>
            </w:pPr>
            <w:r>
              <w:rPr>
                <w:rFonts w:ascii="Calibri" w:hAnsi="Calibri" w:eastAsia="宋体" w:cs="Times New Roman"/>
                <w:color w:val="auto"/>
                <w:sz w:val="22"/>
              </w:rPr>
              <w:t>查现场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42" w:type="dxa"/>
          </w:tcPr>
          <w:p>
            <w:pPr>
              <w:jc w:val="center"/>
              <w:rPr>
                <w:rFonts w:ascii="Times New Roman" w:hAnsi="Times New Roman" w:eastAsia="宋体" w:cs="Times New Roman"/>
                <w:color w:val="auto"/>
                <w:szCs w:val="21"/>
              </w:rPr>
            </w:pPr>
          </w:p>
        </w:tc>
        <w:tc>
          <w:tcPr>
            <w:tcW w:w="69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24</w:t>
            </w:r>
          </w:p>
        </w:tc>
        <w:tc>
          <w:tcPr>
            <w:tcW w:w="2637" w:type="dxa"/>
            <w:vAlign w:val="center"/>
          </w:tcPr>
          <w:p>
            <w:pPr>
              <w:rPr>
                <w:rFonts w:hint="eastAsia" w:ascii="宋体" w:hAnsi="宋体" w:eastAsia="宋体" w:cs="宋体"/>
                <w:color w:val="auto"/>
                <w:sz w:val="22"/>
              </w:rPr>
            </w:pPr>
            <w:r>
              <w:rPr>
                <w:rFonts w:ascii="Calibri" w:hAnsi="Calibri" w:eastAsia="宋体" w:cs="Times New Roman"/>
                <w:color w:val="auto"/>
                <w:sz w:val="22"/>
              </w:rPr>
              <w:t>超过100m</w:t>
            </w:r>
            <w:r>
              <w:rPr>
                <w:rFonts w:ascii="Calibri" w:hAnsi="Calibri" w:eastAsia="宋体" w:cs="Times New Roman"/>
                <w:color w:val="auto"/>
                <w:sz w:val="22"/>
                <w:vertAlign w:val="superscript"/>
              </w:rPr>
              <w:t>3</w:t>
            </w:r>
            <w:r>
              <w:rPr>
                <w:rFonts w:ascii="Calibri" w:hAnsi="Calibri" w:eastAsia="宋体" w:cs="Times New Roman"/>
                <w:color w:val="auto"/>
                <w:sz w:val="22"/>
              </w:rPr>
              <w:t>的液氨储罐应设双安全阀，安全阀排气应引至回收系统或火炬排放燃烧系统。</w:t>
            </w:r>
          </w:p>
        </w:tc>
        <w:tc>
          <w:tcPr>
            <w:tcW w:w="2409" w:type="dxa"/>
            <w:vAlign w:val="center"/>
          </w:tcPr>
          <w:p>
            <w:pPr>
              <w:rPr>
                <w:rFonts w:hint="eastAsia" w:ascii="宋体" w:hAnsi="宋体" w:eastAsia="宋体" w:cs="宋体"/>
                <w:color w:val="auto"/>
                <w:sz w:val="22"/>
              </w:rPr>
            </w:pPr>
            <w:r>
              <w:rPr>
                <w:rFonts w:ascii="Calibri" w:hAnsi="Calibri" w:eastAsia="宋体" w:cs="Times New Roman"/>
                <w:color w:val="auto"/>
                <w:sz w:val="22"/>
              </w:rPr>
              <w:t>《合成氨生产企业安全标准化实施指南》</w:t>
            </w:r>
          </w:p>
        </w:tc>
        <w:tc>
          <w:tcPr>
            <w:tcW w:w="1560" w:type="dxa"/>
            <w:vAlign w:val="center"/>
          </w:tcPr>
          <w:p>
            <w:pPr>
              <w:rPr>
                <w:rFonts w:hint="eastAsia" w:ascii="宋体" w:hAnsi="宋体" w:eastAsia="宋体" w:cs="宋体"/>
                <w:color w:val="auto"/>
                <w:sz w:val="22"/>
              </w:rPr>
            </w:pPr>
            <w:r>
              <w:rPr>
                <w:rFonts w:ascii="Calibri" w:hAnsi="Calibri" w:eastAsia="宋体" w:cs="Times New Roman"/>
                <w:color w:val="auto"/>
                <w:sz w:val="22"/>
              </w:rPr>
              <w:t>查现场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42" w:type="dxa"/>
          </w:tcPr>
          <w:p>
            <w:pPr>
              <w:jc w:val="center"/>
              <w:rPr>
                <w:rFonts w:ascii="Times New Roman" w:hAnsi="Times New Roman" w:eastAsia="宋体" w:cs="Times New Roman"/>
                <w:color w:val="auto"/>
                <w:szCs w:val="21"/>
              </w:rPr>
            </w:pPr>
          </w:p>
        </w:tc>
        <w:tc>
          <w:tcPr>
            <w:tcW w:w="69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25</w:t>
            </w:r>
          </w:p>
        </w:tc>
        <w:tc>
          <w:tcPr>
            <w:tcW w:w="2637" w:type="dxa"/>
            <w:vAlign w:val="center"/>
          </w:tcPr>
          <w:p>
            <w:pPr>
              <w:rPr>
                <w:rFonts w:hint="eastAsia" w:ascii="宋体" w:hAnsi="宋体" w:eastAsia="宋体" w:cs="宋体"/>
                <w:color w:val="auto"/>
                <w:sz w:val="22"/>
              </w:rPr>
            </w:pPr>
            <w:r>
              <w:rPr>
                <w:rFonts w:ascii="Calibri" w:hAnsi="Calibri" w:eastAsia="宋体" w:cs="Times New Roman"/>
                <w:color w:val="auto"/>
                <w:sz w:val="22"/>
              </w:rPr>
              <w:t>（1）液氨球罐（100m</w:t>
            </w:r>
            <w:r>
              <w:rPr>
                <w:rFonts w:ascii="Calibri" w:hAnsi="Calibri" w:eastAsia="宋体" w:cs="Times New Roman"/>
                <w:color w:val="auto"/>
                <w:sz w:val="22"/>
                <w:vertAlign w:val="superscript"/>
              </w:rPr>
              <w:t>3</w:t>
            </w:r>
            <w:r>
              <w:rPr>
                <w:rFonts w:ascii="Calibri" w:hAnsi="Calibri" w:eastAsia="宋体" w:cs="Times New Roman"/>
                <w:color w:val="auto"/>
                <w:sz w:val="22"/>
              </w:rPr>
              <w:t>～1000m</w:t>
            </w:r>
            <w:r>
              <w:rPr>
                <w:rFonts w:ascii="Calibri" w:hAnsi="Calibri" w:eastAsia="宋体" w:cs="Times New Roman"/>
                <w:color w:val="auto"/>
                <w:sz w:val="22"/>
                <w:vertAlign w:val="superscript"/>
              </w:rPr>
              <w:t>3</w:t>
            </w:r>
            <w:r>
              <w:rPr>
                <w:rFonts w:ascii="Calibri" w:hAnsi="Calibri" w:eastAsia="宋体" w:cs="Times New Roman"/>
                <w:color w:val="auto"/>
                <w:sz w:val="22"/>
              </w:rPr>
              <w:t>）到甲类生产装置的距离不应小于50m。（2）液氨球罐到装卸车设施的距离不应小于35m。（3）液氨球罐到锅炉房（二类全厂重要设施）的距离不应小于60m。</w:t>
            </w:r>
          </w:p>
        </w:tc>
        <w:tc>
          <w:tcPr>
            <w:tcW w:w="2409" w:type="dxa"/>
            <w:vAlign w:val="center"/>
          </w:tcPr>
          <w:p>
            <w:pPr>
              <w:rPr>
                <w:rFonts w:hint="eastAsia" w:ascii="宋体" w:hAnsi="宋体" w:eastAsia="宋体" w:cs="宋体"/>
                <w:color w:val="auto"/>
                <w:sz w:val="22"/>
              </w:rPr>
            </w:pPr>
            <w:r>
              <w:rPr>
                <w:rFonts w:ascii="Calibri" w:hAnsi="Calibri" w:eastAsia="宋体" w:cs="Times New Roman"/>
                <w:color w:val="auto"/>
                <w:sz w:val="22"/>
              </w:rPr>
              <w:t>《石油化工企业设计防火标准》</w:t>
            </w:r>
          </w:p>
        </w:tc>
        <w:tc>
          <w:tcPr>
            <w:tcW w:w="1560" w:type="dxa"/>
            <w:vAlign w:val="center"/>
          </w:tcPr>
          <w:p>
            <w:pPr>
              <w:rPr>
                <w:rFonts w:hint="eastAsia" w:ascii="宋体" w:hAnsi="宋体" w:eastAsia="宋体" w:cs="宋体"/>
                <w:color w:val="auto"/>
                <w:sz w:val="22"/>
              </w:rPr>
            </w:pPr>
            <w:r>
              <w:rPr>
                <w:rFonts w:ascii="Calibri" w:hAnsi="Calibri" w:eastAsia="宋体" w:cs="Times New Roman"/>
                <w:color w:val="auto"/>
                <w:sz w:val="22"/>
              </w:rPr>
              <w:t>查现场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42" w:type="dxa"/>
          </w:tcPr>
          <w:p>
            <w:pPr>
              <w:jc w:val="center"/>
              <w:rPr>
                <w:rFonts w:ascii="Times New Roman" w:hAnsi="Times New Roman" w:eastAsia="宋体" w:cs="Times New Roman"/>
                <w:color w:val="auto"/>
                <w:szCs w:val="21"/>
              </w:rPr>
            </w:pPr>
          </w:p>
        </w:tc>
        <w:tc>
          <w:tcPr>
            <w:tcW w:w="69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3"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26</w:t>
            </w:r>
          </w:p>
        </w:tc>
        <w:tc>
          <w:tcPr>
            <w:tcW w:w="2637" w:type="dxa"/>
            <w:vAlign w:val="center"/>
          </w:tcPr>
          <w:p>
            <w:pPr>
              <w:rPr>
                <w:rFonts w:hint="eastAsia" w:ascii="宋体" w:hAnsi="宋体" w:eastAsia="宋体" w:cs="宋体"/>
                <w:color w:val="auto"/>
                <w:sz w:val="22"/>
              </w:rPr>
            </w:pPr>
            <w:r>
              <w:rPr>
                <w:rFonts w:ascii="Calibri" w:hAnsi="Calibri" w:eastAsia="宋体" w:cs="Times New Roman"/>
                <w:color w:val="auto"/>
                <w:sz w:val="22"/>
              </w:rPr>
              <w:t>全压力式及半冷冻式液氨储罐宜采用固定式水喷雾系统和移动式消防冷却水系统，冷却水供给强度不宜小于6L/min·m</w:t>
            </w:r>
            <w:r>
              <w:rPr>
                <w:rFonts w:ascii="Calibri" w:hAnsi="Calibri" w:eastAsia="宋体" w:cs="Times New Roman"/>
                <w:color w:val="auto"/>
                <w:sz w:val="22"/>
                <w:vertAlign w:val="superscript"/>
              </w:rPr>
              <w:t>2</w:t>
            </w:r>
            <w:r>
              <w:rPr>
                <w:rFonts w:ascii="Calibri" w:hAnsi="Calibri" w:eastAsia="宋体" w:cs="Times New Roman"/>
                <w:color w:val="auto"/>
                <w:sz w:val="22"/>
              </w:rPr>
              <w:t>。</w:t>
            </w:r>
          </w:p>
        </w:tc>
        <w:tc>
          <w:tcPr>
            <w:tcW w:w="2409" w:type="dxa"/>
            <w:vAlign w:val="center"/>
          </w:tcPr>
          <w:p>
            <w:pPr>
              <w:rPr>
                <w:rFonts w:hint="eastAsia" w:ascii="宋体" w:hAnsi="宋体" w:eastAsia="宋体" w:cs="宋体"/>
                <w:color w:val="auto"/>
                <w:sz w:val="22"/>
              </w:rPr>
            </w:pPr>
            <w:r>
              <w:rPr>
                <w:rFonts w:ascii="Calibri" w:hAnsi="Calibri" w:eastAsia="宋体" w:cs="Times New Roman"/>
                <w:color w:val="auto"/>
                <w:sz w:val="22"/>
              </w:rPr>
              <w:t>《石油化工企业设计防火标准》</w:t>
            </w:r>
          </w:p>
        </w:tc>
        <w:tc>
          <w:tcPr>
            <w:tcW w:w="1560" w:type="dxa"/>
            <w:vAlign w:val="center"/>
          </w:tcPr>
          <w:p>
            <w:pPr>
              <w:rPr>
                <w:rFonts w:hint="eastAsia" w:ascii="宋体" w:hAnsi="宋体" w:eastAsia="宋体" w:cs="宋体"/>
                <w:color w:val="auto"/>
                <w:sz w:val="22"/>
              </w:rPr>
            </w:pPr>
            <w:r>
              <w:rPr>
                <w:rFonts w:ascii="Calibri" w:hAnsi="Calibri" w:eastAsia="宋体" w:cs="Times New Roman"/>
                <w:color w:val="auto"/>
                <w:sz w:val="22"/>
              </w:rPr>
              <w:t>查现场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42" w:type="dxa"/>
          </w:tcPr>
          <w:p>
            <w:pPr>
              <w:jc w:val="center"/>
              <w:rPr>
                <w:rFonts w:ascii="Times New Roman" w:hAnsi="Times New Roman" w:eastAsia="宋体" w:cs="Times New Roman"/>
                <w:color w:val="auto"/>
                <w:szCs w:val="21"/>
              </w:rPr>
            </w:pPr>
          </w:p>
        </w:tc>
        <w:tc>
          <w:tcPr>
            <w:tcW w:w="69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33"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27</w:t>
            </w:r>
          </w:p>
        </w:tc>
        <w:tc>
          <w:tcPr>
            <w:tcW w:w="2637" w:type="dxa"/>
            <w:vAlign w:val="center"/>
          </w:tcPr>
          <w:p>
            <w:pPr>
              <w:rPr>
                <w:rFonts w:hint="eastAsia" w:ascii="宋体" w:hAnsi="宋体" w:eastAsia="宋体" w:cs="宋体"/>
                <w:color w:val="auto"/>
                <w:sz w:val="22"/>
              </w:rPr>
            </w:pPr>
            <w:r>
              <w:rPr>
                <w:rFonts w:ascii="Calibri" w:hAnsi="Calibri" w:eastAsia="宋体" w:cs="Times New Roman"/>
                <w:color w:val="auto"/>
                <w:sz w:val="22"/>
              </w:rPr>
              <w:t>液氨储罐进出口管线应设置双切断阀，其中一只出口切断阀为紧急切断阀。</w:t>
            </w:r>
          </w:p>
        </w:tc>
        <w:tc>
          <w:tcPr>
            <w:tcW w:w="2409" w:type="dxa"/>
            <w:vAlign w:val="center"/>
          </w:tcPr>
          <w:p>
            <w:pPr>
              <w:rPr>
                <w:rFonts w:hint="eastAsia" w:ascii="宋体" w:hAnsi="宋体" w:eastAsia="宋体" w:cs="宋体"/>
                <w:color w:val="auto"/>
                <w:sz w:val="22"/>
              </w:rPr>
            </w:pPr>
            <w:r>
              <w:rPr>
                <w:rFonts w:ascii="Calibri" w:hAnsi="Calibri" w:eastAsia="宋体" w:cs="Times New Roman"/>
                <w:color w:val="auto"/>
                <w:sz w:val="22"/>
              </w:rPr>
              <w:t>《合成氨生产企业安全标准化实施指南》</w:t>
            </w:r>
          </w:p>
        </w:tc>
        <w:tc>
          <w:tcPr>
            <w:tcW w:w="1560" w:type="dxa"/>
            <w:vAlign w:val="center"/>
          </w:tcPr>
          <w:p>
            <w:pPr>
              <w:rPr>
                <w:rFonts w:hint="eastAsia" w:ascii="宋体" w:hAnsi="宋体" w:eastAsia="宋体" w:cs="宋体"/>
                <w:color w:val="auto"/>
                <w:sz w:val="22"/>
              </w:rPr>
            </w:pPr>
            <w:r>
              <w:rPr>
                <w:rFonts w:ascii="Calibri" w:hAnsi="Calibri" w:eastAsia="宋体" w:cs="Times New Roman"/>
                <w:color w:val="auto"/>
                <w:sz w:val="22"/>
              </w:rPr>
              <w:t>查现场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42" w:type="dxa"/>
          </w:tcPr>
          <w:p>
            <w:pPr>
              <w:jc w:val="center"/>
              <w:rPr>
                <w:rFonts w:ascii="Times New Roman" w:hAnsi="Times New Roman" w:eastAsia="宋体" w:cs="Times New Roman"/>
                <w:color w:val="auto"/>
                <w:szCs w:val="21"/>
              </w:rPr>
            </w:pPr>
          </w:p>
        </w:tc>
        <w:tc>
          <w:tcPr>
            <w:tcW w:w="693" w:type="dxa"/>
          </w:tcPr>
          <w:p>
            <w:pPr>
              <w:jc w:val="center"/>
              <w:rPr>
                <w:rFonts w:ascii="Times New Roman" w:hAnsi="Times New Roman" w:eastAsia="宋体" w:cs="Times New Roman"/>
                <w:color w:val="auto"/>
                <w:szCs w:val="21"/>
              </w:rPr>
            </w:pPr>
          </w:p>
        </w:tc>
      </w:tr>
    </w:tbl>
    <w:p>
      <w:pPr>
        <w:jc w:val="left"/>
        <w:rPr>
          <w:rFonts w:hint="eastAsia" w:ascii="宋体" w:hAnsi="宋体" w:eastAsia="宋体"/>
          <w:b/>
          <w:bCs/>
          <w:color w:val="auto"/>
          <w:sz w:val="30"/>
          <w:szCs w:val="30"/>
        </w:rPr>
      </w:pPr>
    </w:p>
    <w:p>
      <w:pPr>
        <w:widowControl/>
        <w:jc w:val="left"/>
        <w:rPr>
          <w:rFonts w:hint="eastAsia" w:ascii="宋体" w:hAnsi="宋体" w:eastAsia="宋体"/>
          <w:b/>
          <w:bCs/>
          <w:color w:val="auto"/>
          <w:sz w:val="30"/>
          <w:szCs w:val="30"/>
        </w:rPr>
      </w:pPr>
      <w:r>
        <w:rPr>
          <w:rFonts w:ascii="宋体" w:hAnsi="宋体" w:eastAsia="宋体"/>
          <w:b/>
          <w:bCs/>
          <w:color w:val="auto"/>
          <w:sz w:val="30"/>
          <w:szCs w:val="30"/>
        </w:rPr>
        <w:br w:type="page"/>
      </w:r>
    </w:p>
    <w:p>
      <w:pPr>
        <w:jc w:val="left"/>
        <w:outlineLvl w:val="1"/>
        <w:rPr>
          <w:rFonts w:hint="eastAsia" w:ascii="宋体" w:hAnsi="宋体" w:eastAsia="宋体"/>
          <w:b/>
          <w:bCs/>
          <w:color w:val="auto"/>
          <w:sz w:val="30"/>
          <w:szCs w:val="30"/>
        </w:rPr>
      </w:pPr>
      <w:bookmarkStart w:id="113" w:name="_Toc237556465"/>
      <w:bookmarkStart w:id="114" w:name="OLE_LINK57"/>
      <w:bookmarkStart w:id="115" w:name="OLE_LINK58"/>
      <w:r>
        <w:rPr>
          <w:rFonts w:hint="eastAsia" w:ascii="宋体" w:hAnsi="宋体" w:eastAsia="宋体"/>
          <w:b/>
          <w:bCs/>
          <w:color w:val="auto"/>
          <w:sz w:val="30"/>
          <w:szCs w:val="30"/>
        </w:rPr>
        <w:t>附件5-4</w:t>
      </w:r>
      <w:r>
        <w:rPr>
          <w:rFonts w:ascii="宋体" w:hAnsi="宋体" w:eastAsia="宋体"/>
          <w:b/>
          <w:bCs/>
          <w:color w:val="auto"/>
          <w:sz w:val="30"/>
          <w:szCs w:val="30"/>
        </w:rPr>
        <w:t>：</w:t>
      </w:r>
      <w:r>
        <w:rPr>
          <w:rFonts w:hint="eastAsia" w:ascii="宋体" w:hAnsi="宋体" w:eastAsia="宋体"/>
          <w:b/>
          <w:bCs/>
          <w:color w:val="auto"/>
          <w:sz w:val="30"/>
          <w:szCs w:val="30"/>
        </w:rPr>
        <w:t>过氧化氢</w:t>
      </w:r>
      <w:r>
        <w:rPr>
          <w:rFonts w:ascii="宋体" w:hAnsi="宋体" w:eastAsia="宋体"/>
          <w:b/>
          <w:bCs/>
          <w:color w:val="auto"/>
          <w:sz w:val="30"/>
          <w:szCs w:val="30"/>
        </w:rPr>
        <w:t>企业检查表</w:t>
      </w:r>
      <w:bookmarkEnd w:id="113"/>
    </w:p>
    <w:bookmarkEnd w:id="114"/>
    <w:bookmarkEnd w:id="115"/>
    <w:tbl>
      <w:tblPr>
        <w:tblStyle w:val="5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4"/>
        <w:gridCol w:w="2268"/>
        <w:gridCol w:w="2409"/>
        <w:gridCol w:w="1560"/>
        <w:gridCol w:w="1984"/>
        <w:gridCol w:w="1843"/>
        <w:gridCol w:w="2530"/>
        <w:gridCol w:w="7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
                <w:color w:val="auto"/>
                <w:szCs w:val="21"/>
              </w:rPr>
            </w:pPr>
            <w:bookmarkStart w:id="116" w:name="OLE_LINK53"/>
            <w:bookmarkStart w:id="117" w:name="OLE_LINK54"/>
            <w:r>
              <w:rPr>
                <w:rFonts w:ascii="Times New Roman" w:hAnsi="Times New Roman" w:eastAsia="宋体" w:cs="Times New Roman"/>
                <w:b/>
                <w:color w:val="auto"/>
                <w:szCs w:val="21"/>
              </w:rPr>
              <w:t>序号</w:t>
            </w:r>
          </w:p>
        </w:tc>
        <w:tc>
          <w:tcPr>
            <w:tcW w:w="2268"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检查内容</w:t>
            </w:r>
          </w:p>
        </w:tc>
        <w:tc>
          <w:tcPr>
            <w:tcW w:w="2409"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检查依据</w:t>
            </w:r>
          </w:p>
        </w:tc>
        <w:tc>
          <w:tcPr>
            <w:tcW w:w="1560"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检查方式</w:t>
            </w:r>
          </w:p>
        </w:tc>
        <w:tc>
          <w:tcPr>
            <w:tcW w:w="1984"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检查情况</w:t>
            </w:r>
          </w:p>
        </w:tc>
        <w:tc>
          <w:tcPr>
            <w:tcW w:w="1843"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检查问题</w:t>
            </w:r>
          </w:p>
        </w:tc>
        <w:tc>
          <w:tcPr>
            <w:tcW w:w="2530"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整改建议</w:t>
            </w:r>
          </w:p>
        </w:tc>
        <w:tc>
          <w:tcPr>
            <w:tcW w:w="763"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重大</w:t>
            </w:r>
          </w:p>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隐患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w:t>
            </w:r>
          </w:p>
        </w:tc>
        <w:tc>
          <w:tcPr>
            <w:tcW w:w="226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原料、公用物料等应经过洁净（洗涤、过滤等方式）后才能进入过氧化氢生产装置，脱盐水应设 pH 值或电导率监控报警，应设置氢气氧含量检测仪。</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基于生产工艺特点和安全风险分析</w:t>
            </w:r>
          </w:p>
        </w:tc>
        <w:tc>
          <w:tcPr>
            <w:tcW w:w="1560"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查设计资料、现场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530" w:type="dxa"/>
          </w:tcPr>
          <w:p>
            <w:pPr>
              <w:jc w:val="center"/>
              <w:rPr>
                <w:rFonts w:ascii="Times New Roman" w:hAnsi="Times New Roman" w:eastAsia="宋体" w:cs="Times New Roman"/>
                <w:color w:val="auto"/>
                <w:szCs w:val="21"/>
              </w:rPr>
            </w:pPr>
          </w:p>
        </w:tc>
        <w:tc>
          <w:tcPr>
            <w:tcW w:w="76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w:t>
            </w:r>
          </w:p>
        </w:tc>
        <w:tc>
          <w:tcPr>
            <w:tcW w:w="226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氢化单元开车前应用氮气置换涉氢气的管道、设备系统，设备及管道中氧气浓度应小于 2.0%（体积分数）。</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基于生产工艺特点和安全风险分析</w:t>
            </w:r>
          </w:p>
        </w:tc>
        <w:tc>
          <w:tcPr>
            <w:tcW w:w="1560"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查设计资料、现场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530" w:type="dxa"/>
          </w:tcPr>
          <w:p>
            <w:pPr>
              <w:jc w:val="center"/>
              <w:rPr>
                <w:rFonts w:ascii="Times New Roman" w:hAnsi="Times New Roman" w:eastAsia="宋体" w:cs="Times New Roman"/>
                <w:color w:val="auto"/>
                <w:szCs w:val="21"/>
              </w:rPr>
            </w:pPr>
          </w:p>
        </w:tc>
        <w:tc>
          <w:tcPr>
            <w:tcW w:w="76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3</w:t>
            </w:r>
          </w:p>
        </w:tc>
        <w:tc>
          <w:tcPr>
            <w:tcW w:w="226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1.氢气、工作液进料管线应设置流量计。</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2.氢化塔设置低压氮气保护联锁。</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3.设置氢气紧急切断阀，与氢化塔压力高、温度高联锁。</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《首批重点监管的危险化工工艺目录》</w:t>
            </w:r>
          </w:p>
        </w:tc>
        <w:tc>
          <w:tcPr>
            <w:tcW w:w="1560"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查设计资料、现场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530" w:type="dxa"/>
          </w:tcPr>
          <w:p>
            <w:pPr>
              <w:jc w:val="center"/>
              <w:rPr>
                <w:rFonts w:ascii="Times New Roman" w:hAnsi="Times New Roman" w:eastAsia="宋体" w:cs="Times New Roman"/>
                <w:color w:val="auto"/>
                <w:szCs w:val="21"/>
              </w:rPr>
            </w:pPr>
          </w:p>
        </w:tc>
        <w:tc>
          <w:tcPr>
            <w:tcW w:w="76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4</w:t>
            </w:r>
          </w:p>
        </w:tc>
        <w:tc>
          <w:tcPr>
            <w:tcW w:w="226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1.固定床工艺氢化单元应设置氢化塔塔头、尾气氧含量在线监测报警，浓度应小于 2%（体积分数）。</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2.流化床工艺氢化单元应设置循环氢氧含量在线监测报警和联锁，浓度应小于 2%（体积分数）。</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基于生产工艺特点和安全风险分析</w:t>
            </w:r>
          </w:p>
        </w:tc>
        <w:tc>
          <w:tcPr>
            <w:tcW w:w="1560"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查设计资料、现场及控制室</w:t>
            </w:r>
          </w:p>
          <w:p>
            <w:pPr>
              <w:rPr>
                <w:rFonts w:ascii="Times New Roman" w:hAnsi="Times New Roman" w:eastAsia="宋体" w:cs="Times New Roman"/>
                <w:color w:val="auto"/>
                <w:szCs w:val="21"/>
              </w:rPr>
            </w:pP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530" w:type="dxa"/>
          </w:tcPr>
          <w:p>
            <w:pPr>
              <w:jc w:val="center"/>
              <w:rPr>
                <w:rFonts w:ascii="Times New Roman" w:hAnsi="Times New Roman" w:eastAsia="宋体" w:cs="Times New Roman"/>
                <w:color w:val="auto"/>
                <w:szCs w:val="21"/>
              </w:rPr>
            </w:pPr>
          </w:p>
        </w:tc>
        <w:tc>
          <w:tcPr>
            <w:tcW w:w="76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5</w:t>
            </w:r>
          </w:p>
        </w:tc>
        <w:tc>
          <w:tcPr>
            <w:tcW w:w="226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氢化系统应设置安全阀或爆破片等紧急泄压装置。</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《首批重点监管的危险化工工艺目录》</w:t>
            </w:r>
          </w:p>
        </w:tc>
        <w:tc>
          <w:tcPr>
            <w:tcW w:w="1560"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查设计资料、现场及控制室</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530" w:type="dxa"/>
          </w:tcPr>
          <w:p>
            <w:pPr>
              <w:jc w:val="center"/>
              <w:rPr>
                <w:rFonts w:ascii="Times New Roman" w:hAnsi="Times New Roman" w:eastAsia="宋体" w:cs="Times New Roman"/>
                <w:color w:val="auto"/>
                <w:szCs w:val="21"/>
              </w:rPr>
            </w:pPr>
          </w:p>
        </w:tc>
        <w:tc>
          <w:tcPr>
            <w:tcW w:w="76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6</w:t>
            </w:r>
          </w:p>
        </w:tc>
        <w:tc>
          <w:tcPr>
            <w:tcW w:w="226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氢化液气液分离器设置液位低报警、低低液位联锁关闭出料紧急切断阀；氢化液受槽应设置压力高及液位高、低报警。</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基于生产工艺特点和安全风险分析</w:t>
            </w:r>
          </w:p>
        </w:tc>
        <w:tc>
          <w:tcPr>
            <w:tcW w:w="1560"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查设计资料、现场及控制室</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530" w:type="dxa"/>
          </w:tcPr>
          <w:p>
            <w:pPr>
              <w:jc w:val="center"/>
              <w:rPr>
                <w:rFonts w:ascii="Times New Roman" w:hAnsi="Times New Roman" w:eastAsia="宋体" w:cs="Times New Roman"/>
                <w:color w:val="auto"/>
                <w:szCs w:val="21"/>
              </w:rPr>
            </w:pPr>
          </w:p>
        </w:tc>
        <w:tc>
          <w:tcPr>
            <w:tcW w:w="76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7</w:t>
            </w:r>
          </w:p>
        </w:tc>
        <w:tc>
          <w:tcPr>
            <w:tcW w:w="2268" w:type="dxa"/>
            <w:vAlign w:val="center"/>
          </w:tcPr>
          <w:p>
            <w:pPr>
              <w:spacing w:after="240"/>
              <w:rPr>
                <w:rFonts w:ascii="Times New Roman" w:hAnsi="Times New Roman" w:eastAsia="宋体" w:cs="Times New Roman"/>
                <w:color w:val="auto"/>
                <w:szCs w:val="21"/>
              </w:rPr>
            </w:pPr>
            <w:r>
              <w:rPr>
                <w:rFonts w:ascii="Times New Roman" w:hAnsi="Times New Roman" w:eastAsia="宋体" w:cs="Times New Roman"/>
                <w:color w:val="auto"/>
                <w:szCs w:val="21"/>
              </w:rPr>
              <w:t>1.氧化塔应设置压力、温度等监控仪表以及必要的报警。</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2.在氧化塔设置空气进料流量计与调节阀，氧化塔超压、超温时，能自动联锁切断空气进料。</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《首批重点监管的危险化工工艺目录》</w:t>
            </w:r>
          </w:p>
        </w:tc>
        <w:tc>
          <w:tcPr>
            <w:tcW w:w="1560"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查设计资料、现场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530" w:type="dxa"/>
          </w:tcPr>
          <w:p>
            <w:pPr>
              <w:jc w:val="center"/>
              <w:rPr>
                <w:rFonts w:ascii="Times New Roman" w:hAnsi="Times New Roman" w:eastAsia="宋体" w:cs="Times New Roman"/>
                <w:color w:val="auto"/>
                <w:szCs w:val="21"/>
              </w:rPr>
            </w:pPr>
          </w:p>
        </w:tc>
        <w:tc>
          <w:tcPr>
            <w:tcW w:w="76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8</w:t>
            </w:r>
          </w:p>
        </w:tc>
        <w:tc>
          <w:tcPr>
            <w:tcW w:w="226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1.生产过程中应采取自动加酸方式，保证系统中氧化液呈酸性。2.固定床工艺在萃取塔入口的氧化液管线设置在线pH值检测并定期取样分析。</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《首批重点监管的危险化工工艺目录》</w:t>
            </w:r>
          </w:p>
        </w:tc>
        <w:tc>
          <w:tcPr>
            <w:tcW w:w="1560"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查设计资料、现场</w:t>
            </w:r>
          </w:p>
          <w:p>
            <w:pPr>
              <w:rPr>
                <w:rFonts w:ascii="Times New Roman" w:hAnsi="Times New Roman" w:eastAsia="宋体" w:cs="Times New Roman"/>
                <w:color w:val="auto"/>
                <w:szCs w:val="21"/>
              </w:rPr>
            </w:pP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530" w:type="dxa"/>
          </w:tcPr>
          <w:p>
            <w:pPr>
              <w:jc w:val="center"/>
              <w:rPr>
                <w:rFonts w:ascii="Times New Roman" w:hAnsi="Times New Roman" w:eastAsia="宋体" w:cs="Times New Roman"/>
                <w:color w:val="auto"/>
                <w:szCs w:val="21"/>
              </w:rPr>
            </w:pPr>
          </w:p>
        </w:tc>
        <w:tc>
          <w:tcPr>
            <w:tcW w:w="76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9</w:t>
            </w:r>
          </w:p>
        </w:tc>
        <w:tc>
          <w:tcPr>
            <w:tcW w:w="226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固定床工艺氧化残液储罐设置温度检测、报警和泄压设施。</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基于生产工艺特点和安全风险分析</w:t>
            </w:r>
          </w:p>
        </w:tc>
        <w:tc>
          <w:tcPr>
            <w:tcW w:w="1560"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查设计资料、现场</w:t>
            </w:r>
          </w:p>
          <w:p>
            <w:pPr>
              <w:rPr>
                <w:rFonts w:ascii="Times New Roman" w:hAnsi="Times New Roman" w:eastAsia="宋体" w:cs="Times New Roman"/>
                <w:color w:val="auto"/>
                <w:szCs w:val="21"/>
              </w:rPr>
            </w:pP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530" w:type="dxa"/>
          </w:tcPr>
          <w:p>
            <w:pPr>
              <w:jc w:val="center"/>
              <w:rPr>
                <w:rFonts w:ascii="Times New Roman" w:hAnsi="Times New Roman" w:eastAsia="宋体" w:cs="Times New Roman"/>
                <w:color w:val="auto"/>
                <w:szCs w:val="21"/>
              </w:rPr>
            </w:pPr>
          </w:p>
        </w:tc>
        <w:tc>
          <w:tcPr>
            <w:tcW w:w="76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10</w:t>
            </w:r>
          </w:p>
        </w:tc>
        <w:tc>
          <w:tcPr>
            <w:tcW w:w="226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1.过氧化氢生产装置应设置紧急停车系统;</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2.在SIS系统中设置氧化塔温度、萃取塔底温度、净化塔底温度及干燥塔(碱塔，如有)温度分别与氧化塔撤料阀、萃取塔撤料阀、净化塔撤料阀、干燥塔(碱塔，如有)撤料阀形成联锁，紧急情况下可以远程排放至事故池(槽)。</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3.酸性与碱性工作液应分开排放。</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《首批重点监管的危险化工工艺目录》</w:t>
            </w:r>
          </w:p>
        </w:tc>
        <w:tc>
          <w:tcPr>
            <w:tcW w:w="1560"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查设计资料、现场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530" w:type="dxa"/>
          </w:tcPr>
          <w:p>
            <w:pPr>
              <w:jc w:val="center"/>
              <w:rPr>
                <w:rFonts w:ascii="Times New Roman" w:hAnsi="Times New Roman" w:eastAsia="宋体" w:cs="Times New Roman"/>
                <w:color w:val="auto"/>
                <w:szCs w:val="21"/>
              </w:rPr>
            </w:pPr>
          </w:p>
        </w:tc>
        <w:tc>
          <w:tcPr>
            <w:tcW w:w="76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11</w:t>
            </w:r>
          </w:p>
        </w:tc>
        <w:tc>
          <w:tcPr>
            <w:tcW w:w="226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1.氧化系统应设置压力自动调节控制阀、安全阀或爆破片，防止压力超限。</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2.氧化系统尾气排放管线不应与氢化系统尾气管线连接至同一总管。</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《首批重点监管的危险化工工艺目录》</w:t>
            </w:r>
          </w:p>
        </w:tc>
        <w:tc>
          <w:tcPr>
            <w:tcW w:w="1560"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查现场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530" w:type="dxa"/>
          </w:tcPr>
          <w:p>
            <w:pPr>
              <w:jc w:val="center"/>
              <w:rPr>
                <w:rFonts w:ascii="Times New Roman" w:hAnsi="Times New Roman" w:eastAsia="宋体" w:cs="Times New Roman"/>
                <w:color w:val="auto"/>
                <w:szCs w:val="21"/>
              </w:rPr>
            </w:pPr>
          </w:p>
        </w:tc>
        <w:tc>
          <w:tcPr>
            <w:tcW w:w="76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12</w:t>
            </w:r>
          </w:p>
        </w:tc>
        <w:tc>
          <w:tcPr>
            <w:tcW w:w="226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1.萃取塔进塔纯水应设置在线pH值监测，并定期取样检测，严格控制酸性条件。</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2.与碱塔相连的萃余液分离器或聚结器底部应设置撤料管线，实现安全排放。</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3.萃余液出料管线上应设置在线过氧化氢浓度检测仪，并定期分析。萃余液中过氧化氢浓度超过0.3g/1，应紧急停车。</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《首批重点监管的危险化工工艺目录》</w:t>
            </w:r>
          </w:p>
        </w:tc>
        <w:tc>
          <w:tcPr>
            <w:tcW w:w="1560"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查设计资料、现场h</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530" w:type="dxa"/>
          </w:tcPr>
          <w:p>
            <w:pPr>
              <w:jc w:val="center"/>
              <w:rPr>
                <w:rFonts w:ascii="Times New Roman" w:hAnsi="Times New Roman" w:eastAsia="宋体" w:cs="Times New Roman"/>
                <w:color w:val="auto"/>
                <w:szCs w:val="21"/>
              </w:rPr>
            </w:pPr>
          </w:p>
        </w:tc>
        <w:tc>
          <w:tcPr>
            <w:tcW w:w="76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13</w:t>
            </w:r>
          </w:p>
        </w:tc>
        <w:tc>
          <w:tcPr>
            <w:tcW w:w="226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萃取塔过氧化氢出料设置流量计及调节阀;净化塔底出料与界面形成调节控制。</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《首批重点监管的危险化工工艺目录》</w:t>
            </w:r>
          </w:p>
        </w:tc>
        <w:tc>
          <w:tcPr>
            <w:tcW w:w="1560"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查设计资料、现场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530" w:type="dxa"/>
          </w:tcPr>
          <w:p>
            <w:pPr>
              <w:jc w:val="center"/>
              <w:rPr>
                <w:rFonts w:ascii="Times New Roman" w:hAnsi="Times New Roman" w:eastAsia="宋体" w:cs="Times New Roman"/>
                <w:color w:val="auto"/>
                <w:szCs w:val="21"/>
              </w:rPr>
            </w:pPr>
          </w:p>
        </w:tc>
        <w:tc>
          <w:tcPr>
            <w:tcW w:w="76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14</w:t>
            </w:r>
          </w:p>
        </w:tc>
        <w:tc>
          <w:tcPr>
            <w:tcW w:w="226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净化塔应通过净芳烃储槽专用管线进料，禁止含杂质芳烃串入净化塔。</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基于生产工艺特点和安全风险分析</w:t>
            </w:r>
          </w:p>
        </w:tc>
        <w:tc>
          <w:tcPr>
            <w:tcW w:w="1560"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查设计资料、现场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530" w:type="dxa"/>
          </w:tcPr>
          <w:p>
            <w:pPr>
              <w:jc w:val="center"/>
              <w:rPr>
                <w:rFonts w:ascii="Times New Roman" w:hAnsi="Times New Roman" w:eastAsia="宋体" w:cs="Times New Roman"/>
                <w:color w:val="auto"/>
                <w:szCs w:val="21"/>
              </w:rPr>
            </w:pPr>
          </w:p>
        </w:tc>
        <w:tc>
          <w:tcPr>
            <w:tcW w:w="76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15</w:t>
            </w:r>
          </w:p>
        </w:tc>
        <w:tc>
          <w:tcPr>
            <w:tcW w:w="226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后处理单元采用碱洗工艺的，碱洗塔设置界面控制。经碱洗塔工作液须经白土床进一步去除可能夹带的碱液，并定期分析工作液碱度。</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基于生产工艺特点和安全风险分析</w:t>
            </w:r>
          </w:p>
        </w:tc>
        <w:tc>
          <w:tcPr>
            <w:tcW w:w="1560"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查设计资料、现场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530" w:type="dxa"/>
          </w:tcPr>
          <w:p>
            <w:pPr>
              <w:jc w:val="center"/>
              <w:rPr>
                <w:rFonts w:ascii="Times New Roman" w:hAnsi="Times New Roman" w:eastAsia="宋体" w:cs="Times New Roman"/>
                <w:color w:val="auto"/>
                <w:szCs w:val="21"/>
              </w:rPr>
            </w:pPr>
          </w:p>
        </w:tc>
        <w:tc>
          <w:tcPr>
            <w:tcW w:w="76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16</w:t>
            </w:r>
          </w:p>
        </w:tc>
        <w:tc>
          <w:tcPr>
            <w:tcW w:w="226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后处理单元采用真空干燥工艺的，真空闪蒸罐设置压力报警和控制(设置工作液加热的，应设置温度报警和控制)。</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基于生产工艺特点和安全风险分析</w:t>
            </w:r>
          </w:p>
        </w:tc>
        <w:tc>
          <w:tcPr>
            <w:tcW w:w="1560"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查现场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530" w:type="dxa"/>
          </w:tcPr>
          <w:p>
            <w:pPr>
              <w:jc w:val="center"/>
              <w:rPr>
                <w:rFonts w:ascii="Times New Roman" w:hAnsi="Times New Roman" w:eastAsia="宋体" w:cs="Times New Roman"/>
                <w:color w:val="auto"/>
                <w:szCs w:val="21"/>
              </w:rPr>
            </w:pPr>
          </w:p>
        </w:tc>
        <w:tc>
          <w:tcPr>
            <w:tcW w:w="76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17</w:t>
            </w:r>
          </w:p>
        </w:tc>
        <w:tc>
          <w:tcPr>
            <w:tcW w:w="226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1.氧化液贮槽和成品槽等含过氧化氢的设备应采取泄压措施。2.氢化液槽、氧化液贮槽、循环工作液槽、芳烃贮槽、工作液贮槽应采用氮封或液封的方式避免易燃易爆混合气体在容器内聚集。</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基于生产工艺特点和安全风险分析</w:t>
            </w:r>
          </w:p>
        </w:tc>
        <w:tc>
          <w:tcPr>
            <w:tcW w:w="1560"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查现场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530" w:type="dxa"/>
          </w:tcPr>
          <w:p>
            <w:pPr>
              <w:jc w:val="center"/>
              <w:rPr>
                <w:rFonts w:ascii="Times New Roman" w:hAnsi="Times New Roman" w:eastAsia="宋体" w:cs="Times New Roman"/>
                <w:color w:val="auto"/>
                <w:szCs w:val="21"/>
              </w:rPr>
            </w:pPr>
          </w:p>
        </w:tc>
        <w:tc>
          <w:tcPr>
            <w:tcW w:w="76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18</w:t>
            </w:r>
          </w:p>
        </w:tc>
        <w:tc>
          <w:tcPr>
            <w:tcW w:w="226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双氧水浓缩系统应设置温度和压力联锁，当真空度降低或温度升高时，应联锁停止进蒸汽、紧急投水或停车。</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基于生产工艺特点和安全风险分析</w:t>
            </w:r>
          </w:p>
        </w:tc>
        <w:tc>
          <w:tcPr>
            <w:tcW w:w="1560"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查现场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530" w:type="dxa"/>
          </w:tcPr>
          <w:p>
            <w:pPr>
              <w:jc w:val="center"/>
              <w:rPr>
                <w:rFonts w:ascii="Times New Roman" w:hAnsi="Times New Roman" w:eastAsia="宋体" w:cs="Times New Roman"/>
                <w:color w:val="auto"/>
                <w:szCs w:val="21"/>
              </w:rPr>
            </w:pPr>
          </w:p>
        </w:tc>
        <w:tc>
          <w:tcPr>
            <w:tcW w:w="76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19</w:t>
            </w:r>
          </w:p>
        </w:tc>
        <w:tc>
          <w:tcPr>
            <w:tcW w:w="226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1.过氧化氢储罐应采取泄压措施，可以在过氧化氢快速分解时起到泄压作用。储罐应有防晒措施，或设置喷淋装置。</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2.过氧化氢储罐应设脱盐水注入设施。</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3.过氧化氢储存及装卸车严禁使用可能带入铁离子的设备设施及附件，如铁质卸车泵、铁质管节等，严禁带入碱性物料。</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4.过氧化氢储罐区地沟严禁排入有机物等易燃物质。</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基于生产工艺特点和安全风险分析</w:t>
            </w:r>
          </w:p>
        </w:tc>
        <w:tc>
          <w:tcPr>
            <w:tcW w:w="1560"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查设计资料、现场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530" w:type="dxa"/>
          </w:tcPr>
          <w:p>
            <w:pPr>
              <w:jc w:val="center"/>
              <w:rPr>
                <w:rFonts w:ascii="Times New Roman" w:hAnsi="Times New Roman" w:eastAsia="宋体" w:cs="Times New Roman"/>
                <w:color w:val="auto"/>
                <w:szCs w:val="21"/>
              </w:rPr>
            </w:pPr>
          </w:p>
        </w:tc>
        <w:tc>
          <w:tcPr>
            <w:tcW w:w="76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20</w:t>
            </w:r>
          </w:p>
        </w:tc>
        <w:tc>
          <w:tcPr>
            <w:tcW w:w="226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1.严禁工作液配制釜与配碱釜共用。配制釜采取必要的泄压措施。</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2.对进入配制釜的工作液pH值与双氧水浓度必须每批次检测。</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3.严禁回收受污染的双氧水。回收的工作液应检测pH值、金属离子等杂质含量合格后方可返回系统。</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基于生产工艺特点和安全风险分析</w:t>
            </w:r>
          </w:p>
        </w:tc>
        <w:tc>
          <w:tcPr>
            <w:tcW w:w="1560"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查设计资料、现场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530" w:type="dxa"/>
          </w:tcPr>
          <w:p>
            <w:pPr>
              <w:jc w:val="center"/>
              <w:rPr>
                <w:rFonts w:ascii="Times New Roman" w:hAnsi="Times New Roman" w:eastAsia="宋体" w:cs="Times New Roman"/>
                <w:color w:val="auto"/>
                <w:szCs w:val="21"/>
              </w:rPr>
            </w:pPr>
          </w:p>
        </w:tc>
        <w:tc>
          <w:tcPr>
            <w:tcW w:w="76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21</w:t>
            </w:r>
          </w:p>
        </w:tc>
        <w:tc>
          <w:tcPr>
            <w:tcW w:w="226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应严格控制配制釜温度，设置配制釜温度与加热蒸汽自动调节。</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基于生产工艺特点和安全风险分析</w:t>
            </w:r>
          </w:p>
        </w:tc>
        <w:tc>
          <w:tcPr>
            <w:tcW w:w="1560"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查设计资料、现场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530" w:type="dxa"/>
          </w:tcPr>
          <w:p>
            <w:pPr>
              <w:jc w:val="center"/>
              <w:rPr>
                <w:rFonts w:ascii="Times New Roman" w:hAnsi="Times New Roman" w:eastAsia="宋体" w:cs="Times New Roman"/>
                <w:color w:val="auto"/>
                <w:szCs w:val="21"/>
              </w:rPr>
            </w:pPr>
          </w:p>
        </w:tc>
        <w:tc>
          <w:tcPr>
            <w:tcW w:w="76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22</w:t>
            </w:r>
          </w:p>
        </w:tc>
        <w:tc>
          <w:tcPr>
            <w:tcW w:w="226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在过氧化氢物料的流程中设置的过滤器，应采取泄压措施。</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基于生产工艺特点和安全风险分析</w:t>
            </w:r>
          </w:p>
        </w:tc>
        <w:tc>
          <w:tcPr>
            <w:tcW w:w="1560"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查设计资料、现场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530" w:type="dxa"/>
          </w:tcPr>
          <w:p>
            <w:pPr>
              <w:jc w:val="center"/>
              <w:rPr>
                <w:rFonts w:ascii="Times New Roman" w:hAnsi="Times New Roman" w:eastAsia="宋体" w:cs="Times New Roman"/>
                <w:color w:val="auto"/>
                <w:szCs w:val="21"/>
              </w:rPr>
            </w:pPr>
          </w:p>
        </w:tc>
        <w:tc>
          <w:tcPr>
            <w:tcW w:w="76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23</w:t>
            </w:r>
          </w:p>
        </w:tc>
        <w:tc>
          <w:tcPr>
            <w:tcW w:w="226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过氧化氢生产装置严禁使用碳钢或碳钢搪瓷管道、设备。</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基于生产工艺特点和安全风险分析</w:t>
            </w:r>
          </w:p>
        </w:tc>
        <w:tc>
          <w:tcPr>
            <w:tcW w:w="1560"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查设计资料、现场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530" w:type="dxa"/>
          </w:tcPr>
          <w:p>
            <w:pPr>
              <w:jc w:val="center"/>
              <w:rPr>
                <w:rFonts w:ascii="Times New Roman" w:hAnsi="Times New Roman" w:eastAsia="宋体" w:cs="Times New Roman"/>
                <w:color w:val="auto"/>
                <w:szCs w:val="21"/>
              </w:rPr>
            </w:pPr>
          </w:p>
        </w:tc>
        <w:tc>
          <w:tcPr>
            <w:tcW w:w="76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24</w:t>
            </w:r>
          </w:p>
        </w:tc>
        <w:tc>
          <w:tcPr>
            <w:tcW w:w="226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同一套过氧化氢生产装置或单个罐区内同一时间现场操作人员总数不得超过3人。</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基于生产工艺特点和安全风险分析</w:t>
            </w:r>
          </w:p>
        </w:tc>
        <w:tc>
          <w:tcPr>
            <w:tcW w:w="1560"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查制度、现场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530" w:type="dxa"/>
          </w:tcPr>
          <w:p>
            <w:pPr>
              <w:jc w:val="center"/>
              <w:rPr>
                <w:rFonts w:ascii="Times New Roman" w:hAnsi="Times New Roman" w:eastAsia="宋体" w:cs="Times New Roman"/>
                <w:color w:val="auto"/>
                <w:szCs w:val="21"/>
              </w:rPr>
            </w:pPr>
          </w:p>
        </w:tc>
        <w:tc>
          <w:tcPr>
            <w:tcW w:w="76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25</w:t>
            </w:r>
          </w:p>
        </w:tc>
        <w:tc>
          <w:tcPr>
            <w:tcW w:w="226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1.纯化单元应设置温度、压力监测报警;树脂床上中下部应分别设置远传温度计及高报警。</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2.树脂床上部应设置紧急泄压设施，并实现安全排放。</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基于安全风险</w:t>
            </w:r>
          </w:p>
        </w:tc>
        <w:tc>
          <w:tcPr>
            <w:tcW w:w="1560"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查设计资料、操作规程、现场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530" w:type="dxa"/>
          </w:tcPr>
          <w:p>
            <w:pPr>
              <w:jc w:val="center"/>
              <w:rPr>
                <w:rFonts w:ascii="Times New Roman" w:hAnsi="Times New Roman" w:eastAsia="宋体" w:cs="Times New Roman"/>
                <w:color w:val="auto"/>
                <w:szCs w:val="21"/>
              </w:rPr>
            </w:pPr>
          </w:p>
        </w:tc>
        <w:tc>
          <w:tcPr>
            <w:tcW w:w="76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26</w:t>
            </w:r>
          </w:p>
        </w:tc>
        <w:tc>
          <w:tcPr>
            <w:tcW w:w="226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1.纯化塔在停车或再生操作时必须用纯水进行系统置换。</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2.严禁仅通过氮气压料的方式进行双氧水退料。树脂塔内的双氧水退料完成后，应立即从树脂塔底部注入纯水，置换出树脂床内残留的双氧水，在树脂塔重新投入使用前，应始终保持纯水浸没树脂床。</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基于安全风险</w:t>
            </w:r>
          </w:p>
        </w:tc>
        <w:tc>
          <w:tcPr>
            <w:tcW w:w="1560"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查设计资料、操作规程、现场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530" w:type="dxa"/>
          </w:tcPr>
          <w:p>
            <w:pPr>
              <w:jc w:val="center"/>
              <w:rPr>
                <w:rFonts w:ascii="Times New Roman" w:hAnsi="Times New Roman" w:eastAsia="宋体" w:cs="Times New Roman"/>
                <w:color w:val="auto"/>
                <w:szCs w:val="21"/>
              </w:rPr>
            </w:pPr>
          </w:p>
        </w:tc>
        <w:tc>
          <w:tcPr>
            <w:tcW w:w="76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27</w:t>
            </w:r>
          </w:p>
        </w:tc>
        <w:tc>
          <w:tcPr>
            <w:tcW w:w="226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1.树脂床中过氧化氢应保持流动状态，严禁滞留。</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2.应设置树脂床切断过氧化氢进料后，紧急从树脂床底部氮气压料、注入除盐水的联锁或顺控。</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基于安全风险</w:t>
            </w:r>
          </w:p>
        </w:tc>
        <w:tc>
          <w:tcPr>
            <w:tcW w:w="1560"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查设计资料、操作规程、现场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530" w:type="dxa"/>
          </w:tcPr>
          <w:p>
            <w:pPr>
              <w:jc w:val="center"/>
              <w:rPr>
                <w:rFonts w:ascii="Times New Roman" w:hAnsi="Times New Roman" w:eastAsia="宋体" w:cs="Times New Roman"/>
                <w:color w:val="auto"/>
                <w:szCs w:val="21"/>
              </w:rPr>
            </w:pPr>
          </w:p>
        </w:tc>
        <w:tc>
          <w:tcPr>
            <w:tcW w:w="76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28</w:t>
            </w:r>
          </w:p>
        </w:tc>
        <w:tc>
          <w:tcPr>
            <w:tcW w:w="226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1.再生树脂洗涤水中双氧水和甲醇含量应符合要求。</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2.严禁过氧化氢与甲醇排入同一设备或者污水系统。</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基于安全风险</w:t>
            </w:r>
          </w:p>
        </w:tc>
        <w:tc>
          <w:tcPr>
            <w:tcW w:w="1560"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查设计资料、操作规程、现场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530" w:type="dxa"/>
          </w:tcPr>
          <w:p>
            <w:pPr>
              <w:jc w:val="center"/>
              <w:rPr>
                <w:rFonts w:ascii="Times New Roman" w:hAnsi="Times New Roman" w:eastAsia="宋体" w:cs="Times New Roman"/>
                <w:color w:val="auto"/>
                <w:szCs w:val="21"/>
              </w:rPr>
            </w:pPr>
          </w:p>
        </w:tc>
        <w:tc>
          <w:tcPr>
            <w:tcW w:w="763" w:type="dxa"/>
          </w:tcPr>
          <w:p>
            <w:pPr>
              <w:jc w:val="center"/>
              <w:rPr>
                <w:rFonts w:ascii="Times New Roman" w:hAnsi="Times New Roman" w:eastAsia="宋体" w:cs="Times New Roman"/>
                <w:color w:val="auto"/>
                <w:szCs w:val="21"/>
              </w:rPr>
            </w:pPr>
          </w:p>
        </w:tc>
      </w:tr>
      <w:bookmarkEnd w:id="116"/>
      <w:bookmarkEnd w:id="117"/>
    </w:tbl>
    <w:p>
      <w:pPr>
        <w:jc w:val="left"/>
        <w:rPr>
          <w:rFonts w:hint="eastAsia" w:ascii="宋体" w:hAnsi="宋体" w:eastAsia="宋体"/>
          <w:b/>
          <w:bCs/>
          <w:color w:val="auto"/>
          <w:sz w:val="30"/>
          <w:szCs w:val="30"/>
        </w:rPr>
      </w:pPr>
    </w:p>
    <w:p>
      <w:pPr>
        <w:widowControl/>
        <w:jc w:val="left"/>
        <w:rPr>
          <w:rFonts w:hint="eastAsia" w:ascii="宋体" w:hAnsi="宋体" w:eastAsia="宋体"/>
          <w:b/>
          <w:bCs/>
          <w:color w:val="auto"/>
          <w:sz w:val="30"/>
          <w:szCs w:val="30"/>
        </w:rPr>
      </w:pPr>
      <w:r>
        <w:rPr>
          <w:rFonts w:ascii="宋体" w:hAnsi="宋体" w:eastAsia="宋体"/>
          <w:b/>
          <w:bCs/>
          <w:color w:val="auto"/>
          <w:sz w:val="30"/>
          <w:szCs w:val="30"/>
        </w:rPr>
        <w:br w:type="page"/>
      </w:r>
    </w:p>
    <w:p>
      <w:pPr>
        <w:jc w:val="left"/>
        <w:outlineLvl w:val="1"/>
        <w:rPr>
          <w:rFonts w:hint="eastAsia" w:ascii="宋体" w:hAnsi="宋体" w:eastAsia="宋体"/>
          <w:b/>
          <w:bCs/>
          <w:color w:val="auto"/>
          <w:sz w:val="30"/>
          <w:szCs w:val="30"/>
        </w:rPr>
      </w:pPr>
      <w:bookmarkStart w:id="118" w:name="_Toc237556466"/>
      <w:bookmarkStart w:id="119" w:name="OLE_LINK60"/>
      <w:bookmarkStart w:id="120" w:name="OLE_LINK59"/>
      <w:r>
        <w:rPr>
          <w:rFonts w:hint="eastAsia" w:ascii="宋体" w:hAnsi="宋体" w:eastAsia="宋体"/>
          <w:b/>
          <w:bCs/>
          <w:color w:val="auto"/>
          <w:sz w:val="30"/>
          <w:szCs w:val="30"/>
        </w:rPr>
        <w:t>附件5-5</w:t>
      </w:r>
      <w:r>
        <w:rPr>
          <w:rFonts w:ascii="宋体" w:hAnsi="宋体" w:eastAsia="宋体"/>
          <w:b/>
          <w:bCs/>
          <w:color w:val="auto"/>
          <w:sz w:val="30"/>
          <w:szCs w:val="30"/>
        </w:rPr>
        <w:t>：</w:t>
      </w:r>
      <w:r>
        <w:rPr>
          <w:rFonts w:hint="eastAsia" w:ascii="宋体" w:hAnsi="宋体" w:eastAsia="宋体"/>
          <w:b/>
          <w:bCs/>
          <w:color w:val="auto"/>
          <w:sz w:val="30"/>
          <w:szCs w:val="30"/>
        </w:rPr>
        <w:t>多晶硅</w:t>
      </w:r>
      <w:r>
        <w:rPr>
          <w:rFonts w:ascii="宋体" w:hAnsi="宋体" w:eastAsia="宋体"/>
          <w:b/>
          <w:bCs/>
          <w:color w:val="auto"/>
          <w:sz w:val="30"/>
          <w:szCs w:val="30"/>
        </w:rPr>
        <w:t>企业检查表</w:t>
      </w:r>
      <w:bookmarkEnd w:id="118"/>
    </w:p>
    <w:bookmarkEnd w:id="119"/>
    <w:bookmarkEnd w:id="120"/>
    <w:tbl>
      <w:tblPr>
        <w:tblStyle w:val="5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4"/>
        <w:gridCol w:w="2268"/>
        <w:gridCol w:w="2409"/>
        <w:gridCol w:w="1560"/>
        <w:gridCol w:w="1984"/>
        <w:gridCol w:w="1843"/>
        <w:gridCol w:w="2530"/>
        <w:gridCol w:w="7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序号</w:t>
            </w:r>
          </w:p>
        </w:tc>
        <w:tc>
          <w:tcPr>
            <w:tcW w:w="2268"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检查内容</w:t>
            </w:r>
          </w:p>
        </w:tc>
        <w:tc>
          <w:tcPr>
            <w:tcW w:w="2409"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检查依据</w:t>
            </w:r>
          </w:p>
        </w:tc>
        <w:tc>
          <w:tcPr>
            <w:tcW w:w="1560"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检查方式</w:t>
            </w:r>
          </w:p>
        </w:tc>
        <w:tc>
          <w:tcPr>
            <w:tcW w:w="1984"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检查情况</w:t>
            </w:r>
          </w:p>
        </w:tc>
        <w:tc>
          <w:tcPr>
            <w:tcW w:w="1843"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检查问题</w:t>
            </w:r>
          </w:p>
        </w:tc>
        <w:tc>
          <w:tcPr>
            <w:tcW w:w="2530"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整改建议</w:t>
            </w:r>
          </w:p>
        </w:tc>
        <w:tc>
          <w:tcPr>
            <w:tcW w:w="763"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重大</w:t>
            </w:r>
          </w:p>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隐患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w:t>
            </w:r>
          </w:p>
        </w:tc>
        <w:tc>
          <w:tcPr>
            <w:tcW w:w="226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1. 硅粉上料采用气力管输方式时，应采用氮气作气源；硅粉加料缓冲罐应充入氮气保护，并采取防止高压窜入低压的措施</w:t>
            </w:r>
            <w:r>
              <w:rPr>
                <w:rFonts w:hint="eastAsia" w:ascii="Times New Roman" w:hAnsi="Times New Roman" w:eastAsia="宋体" w:cs="Times New Roman"/>
                <w:color w:val="auto"/>
                <w:szCs w:val="21"/>
              </w:rPr>
              <w:t>；</w:t>
            </w:r>
          </w:p>
          <w:p>
            <w:pPr>
              <w:rPr>
                <w:rFonts w:ascii="Times New Roman" w:hAnsi="Times New Roman" w:eastAsia="宋体" w:cs="Times New Roman"/>
                <w:color w:val="auto"/>
                <w:szCs w:val="21"/>
              </w:rPr>
            </w:pPr>
            <w:r>
              <w:rPr>
                <w:rFonts w:ascii="Times New Roman" w:hAnsi="Times New Roman" w:eastAsia="宋体" w:cs="Times New Roman"/>
                <w:color w:val="auto"/>
                <w:szCs w:val="21"/>
              </w:rPr>
              <w:t>2.三氯氢硅合成硅粉受料罐压力、料位监测及联锁；</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3.三氯氢硅合成炉温度、压力监测和高报警，温度高高联锁、压力高高联锁；</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4.三氯氢硅合成炉冷却系统温度、压力监测和高报警，压力高高联锁；</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5.三氯氢硅合成洗涤塔温度、压力、液位监测，温度、压力高报警和液位高、低报警；</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6.设置三氯氢硅合成炉紧急停车按钮，并能在控制室实现远程操作。</w:t>
            </w:r>
          </w:p>
        </w:tc>
        <w:tc>
          <w:tcPr>
            <w:tcW w:w="2409"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《多晶硅安全生产规范》  （AQ3065-2025）</w:t>
            </w:r>
          </w:p>
          <w:p>
            <w:pPr>
              <w:rPr>
                <w:rFonts w:ascii="Times New Roman" w:hAnsi="Times New Roman" w:eastAsia="宋体" w:cs="Times New Roman"/>
                <w:color w:val="auto"/>
                <w:szCs w:val="21"/>
              </w:rPr>
            </w:pPr>
            <w:r>
              <w:rPr>
                <w:rFonts w:ascii="Times New Roman" w:hAnsi="Times New Roman" w:eastAsia="宋体" w:cs="Times New Roman"/>
                <w:color w:val="auto"/>
                <w:szCs w:val="21"/>
              </w:rPr>
              <w:t>第5.1.2.1、5.1.2.2、5.1.2.3 条</w:t>
            </w:r>
          </w:p>
        </w:tc>
        <w:tc>
          <w:tcPr>
            <w:tcW w:w="1560"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查阅安全设施设计报告、竣工验收报告、现状评价报告，现场核查。</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530" w:type="dxa"/>
          </w:tcPr>
          <w:p>
            <w:pPr>
              <w:jc w:val="center"/>
              <w:rPr>
                <w:rFonts w:ascii="Times New Roman" w:hAnsi="Times New Roman" w:eastAsia="宋体" w:cs="Times New Roman"/>
                <w:color w:val="auto"/>
                <w:szCs w:val="21"/>
              </w:rPr>
            </w:pPr>
          </w:p>
        </w:tc>
        <w:tc>
          <w:tcPr>
            <w:tcW w:w="76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w:t>
            </w:r>
          </w:p>
        </w:tc>
        <w:tc>
          <w:tcPr>
            <w:tcW w:w="226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1.应对树脂催化剂作用下的二氯二氢硅反歧化过程开展安全风险评估，树脂催化剂不应含有受热易分解基团。</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2.反应器内的树脂催化剂使用前应进行充分干燥，水含量应不大于 0.2%(质量分数) ，催化剂的 装填系数应不大于0.85。</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3.干燥树脂催化剂时，干燥温度不应高于 100℃, 氧含量和露点应符合4.2.6的规定。</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4.树脂催化剂正式使用前应先用低温液相四氯化硅活化，按照温度不高于60℃ 、温升不大于20 ℃ /h速率浸泡并保持24h以上；温度或温升超限时，应通过氮气或冷物料循环等方式强制降温 。</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5.反应器进料温度应不高于70 ℃, 反应温度应不高于90℃。</w:t>
            </w:r>
          </w:p>
        </w:tc>
        <w:tc>
          <w:tcPr>
            <w:tcW w:w="2409"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《多晶硅安全生产规范 》  （AQ3065-2025） 第5.4.1、5.4.2、5.4.3、5.4.4、5.4.5 条</w:t>
            </w:r>
          </w:p>
        </w:tc>
        <w:tc>
          <w:tcPr>
            <w:tcW w:w="1560"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查阅安全设施设计报告、竣工验收报告、现状评价报告，现场核查。</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530" w:type="dxa"/>
          </w:tcPr>
          <w:p>
            <w:pPr>
              <w:jc w:val="center"/>
              <w:rPr>
                <w:rFonts w:ascii="Times New Roman" w:hAnsi="Times New Roman" w:eastAsia="宋体" w:cs="Times New Roman"/>
                <w:color w:val="auto"/>
                <w:szCs w:val="21"/>
              </w:rPr>
            </w:pPr>
          </w:p>
        </w:tc>
        <w:tc>
          <w:tcPr>
            <w:tcW w:w="76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3</w:t>
            </w:r>
          </w:p>
        </w:tc>
        <w:tc>
          <w:tcPr>
            <w:tcW w:w="2268" w:type="dxa"/>
          </w:tcPr>
          <w:p>
            <w:pPr>
              <w:rPr>
                <w:rFonts w:ascii="Times New Roman" w:hAnsi="Times New Roman" w:eastAsia="宋体" w:cs="Times New Roman"/>
                <w:color w:val="auto"/>
                <w:szCs w:val="21"/>
              </w:rPr>
            </w:pPr>
            <w:r>
              <w:rPr>
                <w:rFonts w:ascii="Times New Roman" w:hAnsi="Times New Roman" w:eastAsia="宋体" w:cs="Times New Roman"/>
                <w:color w:val="auto"/>
                <w:szCs w:val="21"/>
              </w:rPr>
              <w:t>1.流化床反应器应采取以下控制措施：                                   1）温度、压力监测和高报警，温度、压力高高联锁；</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2）设置紧急停车按钮，并能在控制室实现远程操作。</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2.流化床反应器出口尾气管道应设置分离设施，去除夹带的硅粉。</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3.流化床反应器内应设置应急氮气充入设施，应急氮气充入设施应能实现远程控制。</w:t>
            </w:r>
          </w:p>
        </w:tc>
        <w:tc>
          <w:tcPr>
            <w:tcW w:w="2409" w:type="dxa"/>
          </w:tcPr>
          <w:p>
            <w:pPr>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《多晶硅安全生产规范》 （AQ3065-2025） </w:t>
            </w:r>
          </w:p>
          <w:p>
            <w:pPr>
              <w:rPr>
                <w:rFonts w:ascii="Times New Roman" w:hAnsi="Times New Roman" w:eastAsia="宋体" w:cs="Times New Roman"/>
                <w:color w:val="auto"/>
                <w:szCs w:val="21"/>
              </w:rPr>
            </w:pPr>
            <w:r>
              <w:rPr>
                <w:rFonts w:ascii="Times New Roman" w:hAnsi="Times New Roman" w:eastAsia="宋体" w:cs="Times New Roman"/>
                <w:color w:val="auto"/>
                <w:szCs w:val="21"/>
              </w:rPr>
              <w:t>第 5.6.1、5.6.2、5.6.3 条</w:t>
            </w:r>
          </w:p>
        </w:tc>
        <w:tc>
          <w:tcPr>
            <w:tcW w:w="1560" w:type="dxa"/>
            <w:vAlign w:val="center"/>
          </w:tcPr>
          <w:p>
            <w:pPr>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查DCS系统、查现场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530" w:type="dxa"/>
          </w:tcPr>
          <w:p>
            <w:pPr>
              <w:jc w:val="center"/>
              <w:rPr>
                <w:rFonts w:ascii="Times New Roman" w:hAnsi="Times New Roman" w:eastAsia="宋体" w:cs="Times New Roman"/>
                <w:color w:val="auto"/>
                <w:szCs w:val="21"/>
              </w:rPr>
            </w:pPr>
          </w:p>
        </w:tc>
        <w:tc>
          <w:tcPr>
            <w:tcW w:w="76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4</w:t>
            </w:r>
          </w:p>
        </w:tc>
        <w:tc>
          <w:tcPr>
            <w:tcW w:w="226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1.应根据GB 36894和 GB/T 37243的规定核算硅烷储罐(包括中间罐、缓冲罐等)存储量。</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2.硅烷储罐储存系数应不大于0.8。</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3.硅烷储罐顶部应设置应急喷淋系统和带有冷凝回收功能的不凝气排放系统，系统应具备远程紧 急泄压排放功能。</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4.硅烷储罐泄放操作时，泄放量应不大于硅烷淋洗处理系统的能力。</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5.露天硅烷储罐区应设置火焰探测系统。</w:t>
            </w:r>
          </w:p>
        </w:tc>
        <w:tc>
          <w:tcPr>
            <w:tcW w:w="2409"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《多晶硅安全生产规范》 （AQ3065-2025）第 6.2 条</w:t>
            </w:r>
          </w:p>
        </w:tc>
        <w:tc>
          <w:tcPr>
            <w:tcW w:w="1560"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查阅安全设施设计报告、竣工验收报告、现状评价报告，现场核查。</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530" w:type="dxa"/>
          </w:tcPr>
          <w:p>
            <w:pPr>
              <w:jc w:val="center"/>
              <w:rPr>
                <w:rFonts w:ascii="Times New Roman" w:hAnsi="Times New Roman" w:eastAsia="宋体" w:cs="Times New Roman"/>
                <w:color w:val="auto"/>
                <w:szCs w:val="21"/>
              </w:rPr>
            </w:pPr>
          </w:p>
        </w:tc>
        <w:tc>
          <w:tcPr>
            <w:tcW w:w="76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5</w:t>
            </w:r>
          </w:p>
        </w:tc>
        <w:tc>
          <w:tcPr>
            <w:tcW w:w="226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应采用万向管道充装系统装卸氯硅烷，万向管道充装系统应采用具备锁定、防脱落和脱落自封 闭功能的充装接头。</w:t>
            </w:r>
          </w:p>
        </w:tc>
        <w:tc>
          <w:tcPr>
            <w:tcW w:w="2409"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《多晶硅安全生产规范》 （AQ3065-2025）第4.1.13 条</w:t>
            </w:r>
          </w:p>
        </w:tc>
        <w:tc>
          <w:tcPr>
            <w:tcW w:w="1560" w:type="dxa"/>
            <w:vAlign w:val="center"/>
          </w:tcPr>
          <w:p>
            <w:pPr>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现场查看</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530" w:type="dxa"/>
          </w:tcPr>
          <w:p>
            <w:pPr>
              <w:jc w:val="center"/>
              <w:rPr>
                <w:rFonts w:ascii="Times New Roman" w:hAnsi="Times New Roman" w:eastAsia="宋体" w:cs="Times New Roman"/>
                <w:color w:val="auto"/>
                <w:szCs w:val="21"/>
              </w:rPr>
            </w:pPr>
          </w:p>
        </w:tc>
        <w:tc>
          <w:tcPr>
            <w:tcW w:w="76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6</w:t>
            </w:r>
          </w:p>
        </w:tc>
        <w:tc>
          <w:tcPr>
            <w:tcW w:w="2268" w:type="dxa"/>
            <w:vAlign w:val="center"/>
          </w:tcPr>
          <w:p>
            <w:pPr>
              <w:rPr>
                <w:rFonts w:ascii="Calibri" w:hAnsi="Calibri" w:eastAsia="宋体" w:cs="Times New Roman"/>
                <w:color w:val="auto"/>
                <w:szCs w:val="21"/>
              </w:rPr>
            </w:pPr>
            <w:r>
              <w:rPr>
                <w:rFonts w:hint="eastAsia" w:ascii="Calibri" w:hAnsi="Calibri" w:eastAsia="宋体" w:cs="Times New Roman"/>
                <w:color w:val="auto"/>
                <w:szCs w:val="21"/>
              </w:rPr>
              <w:t xml:space="preserve">1.涉及氯化氢、氢气的场所应按标准要求设置相应气体检测报警 装置。 </w:t>
            </w:r>
          </w:p>
          <w:p>
            <w:pPr>
              <w:rPr>
                <w:rFonts w:ascii="Times New Roman" w:hAnsi="Times New Roman" w:eastAsia="宋体" w:cs="Times New Roman"/>
                <w:color w:val="auto"/>
                <w:szCs w:val="21"/>
              </w:rPr>
            </w:pPr>
            <w:r>
              <w:rPr>
                <w:rFonts w:hint="eastAsia" w:ascii="Calibri" w:hAnsi="Calibri" w:eastAsia="宋体" w:cs="Times New Roman"/>
                <w:color w:val="auto"/>
                <w:szCs w:val="21"/>
              </w:rPr>
              <w:t>2.涉及氯气等有毒气体的应按标准要求设置有毒气体检测报警装置。</w:t>
            </w:r>
          </w:p>
        </w:tc>
        <w:tc>
          <w:tcPr>
            <w:tcW w:w="2409" w:type="dxa"/>
            <w:vAlign w:val="center"/>
          </w:tcPr>
          <w:p>
            <w:pPr>
              <w:jc w:val="center"/>
              <w:rPr>
                <w:rFonts w:ascii="Times New Roman" w:hAnsi="Times New Roman" w:eastAsia="宋体" w:cs="Times New Roman"/>
                <w:color w:val="auto"/>
                <w:szCs w:val="21"/>
              </w:rPr>
            </w:pPr>
          </w:p>
        </w:tc>
        <w:tc>
          <w:tcPr>
            <w:tcW w:w="1560" w:type="dxa"/>
            <w:vAlign w:val="center"/>
          </w:tcPr>
          <w:p>
            <w:pPr>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现场查看</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530" w:type="dxa"/>
          </w:tcPr>
          <w:p>
            <w:pPr>
              <w:jc w:val="center"/>
              <w:rPr>
                <w:rFonts w:ascii="Times New Roman" w:hAnsi="Times New Roman" w:eastAsia="宋体" w:cs="Times New Roman"/>
                <w:color w:val="auto"/>
                <w:szCs w:val="21"/>
              </w:rPr>
            </w:pPr>
          </w:p>
        </w:tc>
        <w:tc>
          <w:tcPr>
            <w:tcW w:w="76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7</w:t>
            </w:r>
          </w:p>
        </w:tc>
        <w:tc>
          <w:tcPr>
            <w:tcW w:w="2268" w:type="dxa"/>
            <w:vAlign w:val="center"/>
          </w:tcPr>
          <w:p>
            <w:pPr>
              <w:rPr>
                <w:rFonts w:ascii="Times New Roman" w:hAnsi="Times New Roman" w:eastAsia="宋体" w:cs="Times New Roman"/>
                <w:color w:val="auto"/>
                <w:szCs w:val="21"/>
              </w:rPr>
            </w:pPr>
            <w:r>
              <w:rPr>
                <w:rFonts w:hint="eastAsia" w:ascii="Calibri" w:hAnsi="Calibri" w:eastAsia="宋体" w:cs="Times New Roman"/>
                <w:color w:val="auto"/>
                <w:szCs w:val="21"/>
              </w:rPr>
              <w:t>冷氢化硅粉输送管道、储罐应设置氮气保护和静电接地系统。 （冷氢化炉的硅粉进料管采用氢气输送）</w:t>
            </w:r>
          </w:p>
        </w:tc>
        <w:tc>
          <w:tcPr>
            <w:tcW w:w="2409" w:type="dxa"/>
            <w:vAlign w:val="center"/>
          </w:tcPr>
          <w:p>
            <w:pPr>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《粉尘防爆安全规程》（GB 15577-2018）</w:t>
            </w:r>
          </w:p>
          <w:p>
            <w:pPr>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第 6.3.2 条</w:t>
            </w:r>
          </w:p>
        </w:tc>
        <w:tc>
          <w:tcPr>
            <w:tcW w:w="1560" w:type="dxa"/>
            <w:vAlign w:val="center"/>
          </w:tcPr>
          <w:p>
            <w:pPr>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现场查看</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530" w:type="dxa"/>
          </w:tcPr>
          <w:p>
            <w:pPr>
              <w:jc w:val="center"/>
              <w:rPr>
                <w:rFonts w:ascii="Times New Roman" w:hAnsi="Times New Roman" w:eastAsia="宋体" w:cs="Times New Roman"/>
                <w:color w:val="auto"/>
                <w:szCs w:val="21"/>
              </w:rPr>
            </w:pPr>
          </w:p>
        </w:tc>
        <w:tc>
          <w:tcPr>
            <w:tcW w:w="76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8</w:t>
            </w:r>
          </w:p>
        </w:tc>
        <w:tc>
          <w:tcPr>
            <w:tcW w:w="2268" w:type="dxa"/>
            <w:vAlign w:val="center"/>
          </w:tcPr>
          <w:p>
            <w:pPr>
              <w:rPr>
                <w:rFonts w:ascii="Times New Roman" w:hAnsi="Times New Roman" w:eastAsia="宋体" w:cs="Times New Roman"/>
                <w:color w:val="auto"/>
                <w:szCs w:val="21"/>
              </w:rPr>
            </w:pPr>
            <w:r>
              <w:rPr>
                <w:rFonts w:hint="eastAsia" w:ascii="Calibri" w:hAnsi="Calibri" w:eastAsia="宋体" w:cs="Times New Roman"/>
                <w:color w:val="auto"/>
                <w:szCs w:val="21"/>
              </w:rPr>
              <w:t>应对换热器中氯硅烷泄漏异常情况进行检测。</w:t>
            </w:r>
          </w:p>
        </w:tc>
        <w:tc>
          <w:tcPr>
            <w:tcW w:w="2409" w:type="dxa"/>
            <w:vAlign w:val="center"/>
          </w:tcPr>
          <w:p>
            <w:pPr>
              <w:jc w:val="center"/>
              <w:rPr>
                <w:rFonts w:ascii="Times New Roman" w:hAnsi="Times New Roman" w:eastAsia="宋体" w:cs="Times New Roman"/>
                <w:color w:val="auto"/>
                <w:szCs w:val="21"/>
              </w:rPr>
            </w:pPr>
          </w:p>
        </w:tc>
        <w:tc>
          <w:tcPr>
            <w:tcW w:w="1560"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查现场、查记录</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530" w:type="dxa"/>
          </w:tcPr>
          <w:p>
            <w:pPr>
              <w:jc w:val="center"/>
              <w:rPr>
                <w:rFonts w:ascii="Times New Roman" w:hAnsi="Times New Roman" w:eastAsia="宋体" w:cs="Times New Roman"/>
                <w:color w:val="auto"/>
                <w:szCs w:val="21"/>
              </w:rPr>
            </w:pPr>
          </w:p>
        </w:tc>
        <w:tc>
          <w:tcPr>
            <w:tcW w:w="76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9</w:t>
            </w:r>
          </w:p>
        </w:tc>
        <w:tc>
          <w:tcPr>
            <w:tcW w:w="2268" w:type="dxa"/>
            <w:vAlign w:val="center"/>
          </w:tcPr>
          <w:p>
            <w:pPr>
              <w:rPr>
                <w:rFonts w:ascii="Times New Roman" w:hAnsi="Times New Roman" w:eastAsia="宋体" w:cs="Times New Roman"/>
                <w:color w:val="auto"/>
                <w:szCs w:val="21"/>
              </w:rPr>
            </w:pPr>
            <w:r>
              <w:rPr>
                <w:rFonts w:hint="eastAsia" w:ascii="Calibri" w:hAnsi="Calibri" w:eastAsia="宋体" w:cs="Times New Roman"/>
                <w:color w:val="auto"/>
                <w:szCs w:val="21"/>
              </w:rPr>
              <w:t>氯硅烷涉及树脂使用的工艺系统，树脂更换前应制定专项施工方 案，辨识作业过程风险，系统置换合格并落实安全措施。</w:t>
            </w:r>
          </w:p>
        </w:tc>
        <w:tc>
          <w:tcPr>
            <w:tcW w:w="2409" w:type="dxa"/>
            <w:vAlign w:val="center"/>
          </w:tcPr>
          <w:p>
            <w:pPr>
              <w:jc w:val="center"/>
              <w:rPr>
                <w:rFonts w:ascii="Times New Roman" w:hAnsi="Times New Roman" w:eastAsia="宋体" w:cs="Times New Roman"/>
                <w:color w:val="auto"/>
                <w:szCs w:val="21"/>
              </w:rPr>
            </w:pPr>
          </w:p>
        </w:tc>
        <w:tc>
          <w:tcPr>
            <w:tcW w:w="1560"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查检修方案、查现场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530" w:type="dxa"/>
          </w:tcPr>
          <w:p>
            <w:pPr>
              <w:jc w:val="center"/>
              <w:rPr>
                <w:rFonts w:ascii="Times New Roman" w:hAnsi="Times New Roman" w:eastAsia="宋体" w:cs="Times New Roman"/>
                <w:color w:val="auto"/>
                <w:szCs w:val="21"/>
              </w:rPr>
            </w:pPr>
          </w:p>
        </w:tc>
        <w:tc>
          <w:tcPr>
            <w:tcW w:w="763" w:type="dxa"/>
          </w:tcPr>
          <w:p>
            <w:pPr>
              <w:jc w:val="center"/>
              <w:rPr>
                <w:rFonts w:ascii="Times New Roman" w:hAnsi="Times New Roman" w:eastAsia="宋体" w:cs="Times New Roman"/>
                <w:color w:val="auto"/>
                <w:szCs w:val="21"/>
              </w:rPr>
            </w:pPr>
          </w:p>
        </w:tc>
      </w:tr>
    </w:tbl>
    <w:p>
      <w:pPr>
        <w:jc w:val="left"/>
        <w:rPr>
          <w:rFonts w:hint="eastAsia" w:ascii="宋体" w:hAnsi="宋体" w:eastAsia="宋体"/>
          <w:b/>
          <w:bCs/>
          <w:color w:val="auto"/>
          <w:sz w:val="30"/>
          <w:szCs w:val="30"/>
        </w:rPr>
      </w:pPr>
    </w:p>
    <w:p>
      <w:pPr>
        <w:widowControl/>
        <w:jc w:val="left"/>
        <w:rPr>
          <w:rFonts w:hint="eastAsia" w:ascii="宋体" w:hAnsi="宋体" w:eastAsia="宋体"/>
          <w:b/>
          <w:bCs/>
          <w:color w:val="auto"/>
          <w:sz w:val="30"/>
          <w:szCs w:val="30"/>
        </w:rPr>
      </w:pPr>
      <w:r>
        <w:rPr>
          <w:rFonts w:ascii="宋体" w:hAnsi="宋体" w:eastAsia="宋体"/>
          <w:b/>
          <w:bCs/>
          <w:color w:val="auto"/>
          <w:sz w:val="30"/>
          <w:szCs w:val="30"/>
        </w:rPr>
        <w:br w:type="page"/>
      </w:r>
    </w:p>
    <w:p>
      <w:pPr>
        <w:jc w:val="left"/>
        <w:outlineLvl w:val="1"/>
        <w:rPr>
          <w:rFonts w:hint="eastAsia" w:ascii="宋体" w:hAnsi="宋体" w:eastAsia="宋体"/>
          <w:b/>
          <w:bCs/>
          <w:color w:val="auto"/>
          <w:sz w:val="30"/>
          <w:szCs w:val="30"/>
        </w:rPr>
      </w:pPr>
      <w:bookmarkStart w:id="121" w:name="_Toc237556467"/>
      <w:bookmarkStart w:id="122" w:name="OLE_LINK63"/>
      <w:bookmarkStart w:id="123" w:name="OLE_LINK64"/>
      <w:r>
        <w:rPr>
          <w:rFonts w:hint="eastAsia" w:ascii="宋体" w:hAnsi="宋体" w:eastAsia="宋体"/>
          <w:b/>
          <w:bCs/>
          <w:color w:val="auto"/>
          <w:sz w:val="30"/>
          <w:szCs w:val="30"/>
        </w:rPr>
        <w:t>附件5-6</w:t>
      </w:r>
      <w:r>
        <w:rPr>
          <w:rFonts w:ascii="宋体" w:hAnsi="宋体" w:eastAsia="宋体"/>
          <w:b/>
          <w:bCs/>
          <w:color w:val="auto"/>
          <w:sz w:val="30"/>
          <w:szCs w:val="30"/>
        </w:rPr>
        <w:t>：</w:t>
      </w:r>
      <w:r>
        <w:rPr>
          <w:rFonts w:hint="eastAsia" w:ascii="宋体" w:hAnsi="宋体" w:eastAsia="宋体"/>
          <w:b/>
          <w:bCs/>
          <w:color w:val="auto"/>
          <w:sz w:val="30"/>
          <w:szCs w:val="30"/>
        </w:rPr>
        <w:t>有机硅</w:t>
      </w:r>
      <w:r>
        <w:rPr>
          <w:rFonts w:ascii="宋体" w:hAnsi="宋体" w:eastAsia="宋体"/>
          <w:b/>
          <w:bCs/>
          <w:color w:val="auto"/>
          <w:sz w:val="30"/>
          <w:szCs w:val="30"/>
        </w:rPr>
        <w:t>企业检查表</w:t>
      </w:r>
      <w:bookmarkEnd w:id="121"/>
    </w:p>
    <w:bookmarkEnd w:id="122"/>
    <w:bookmarkEnd w:id="123"/>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4"/>
        <w:gridCol w:w="2268"/>
        <w:gridCol w:w="2409"/>
        <w:gridCol w:w="1560"/>
        <w:gridCol w:w="1984"/>
        <w:gridCol w:w="1843"/>
        <w:gridCol w:w="2530"/>
        <w:gridCol w:w="7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序号</w:t>
            </w:r>
          </w:p>
        </w:tc>
        <w:tc>
          <w:tcPr>
            <w:tcW w:w="2268"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检查内容</w:t>
            </w:r>
          </w:p>
        </w:tc>
        <w:tc>
          <w:tcPr>
            <w:tcW w:w="2409"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检查依据</w:t>
            </w:r>
          </w:p>
        </w:tc>
        <w:tc>
          <w:tcPr>
            <w:tcW w:w="1560"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检查方式</w:t>
            </w:r>
          </w:p>
        </w:tc>
        <w:tc>
          <w:tcPr>
            <w:tcW w:w="1984"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检查情况</w:t>
            </w:r>
          </w:p>
        </w:tc>
        <w:tc>
          <w:tcPr>
            <w:tcW w:w="1843"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检查问题</w:t>
            </w:r>
          </w:p>
        </w:tc>
        <w:tc>
          <w:tcPr>
            <w:tcW w:w="2530"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整改建议</w:t>
            </w:r>
          </w:p>
        </w:tc>
        <w:tc>
          <w:tcPr>
            <w:tcW w:w="763"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重大</w:t>
            </w:r>
          </w:p>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隐患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w:t>
            </w:r>
          </w:p>
        </w:tc>
        <w:tc>
          <w:tcPr>
            <w:tcW w:w="226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1.企业应根据化学品的危害信息，在生产、使用、储存、装卸、废弃处置等全环节完善风险防控措施和应急处置措施。（重点管控废硅胶回收、下游功能性硅烷、特种单体研发等领域涉及的液化烃、乙炔、硫化氢、双氧水、液氨、四甲基二硅氧烷（含氢双封头，HMM 封头剂）等危险化学品）。</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2.含氢硅油系统应采取防止脱氢措施，如避免碱性环节、设置氢气气体报警器。</w:t>
            </w:r>
          </w:p>
        </w:tc>
        <w:tc>
          <w:tcPr>
            <w:tcW w:w="2409"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《化学品物理危险性鉴定与分类管理办法》（国家安全生产监督管理总局令第60 号）</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《危险化学品生产企业安全生产许可证实施办法》（国家安全生产监督管理总局令第41 号）</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《首批重点监管的危险化学品安全措施和应急处置原则》（安监总厅管三〔2011〕142 号）</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《化工企业可燃液体常压储罐区安全管理规范》（AQ 3063-2025）</w:t>
            </w:r>
          </w:p>
        </w:tc>
        <w:tc>
          <w:tcPr>
            <w:tcW w:w="1560"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查阅安全设施设计报告、竣工验收报告、现状评价报告，现场核查。</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530" w:type="dxa"/>
          </w:tcPr>
          <w:p>
            <w:pPr>
              <w:jc w:val="center"/>
              <w:rPr>
                <w:rFonts w:ascii="Times New Roman" w:hAnsi="Times New Roman" w:eastAsia="宋体" w:cs="Times New Roman"/>
                <w:color w:val="auto"/>
                <w:szCs w:val="21"/>
              </w:rPr>
            </w:pPr>
          </w:p>
        </w:tc>
        <w:tc>
          <w:tcPr>
            <w:tcW w:w="76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w:t>
            </w:r>
          </w:p>
        </w:tc>
        <w:tc>
          <w:tcPr>
            <w:tcW w:w="226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有机硅单体、硅氧烷、高沸物、低沸物等可燃液体的灌装、储存和运输，应采用不易产生或积累静电的材料包装并符合国家有关规范和标准，严禁使用非金属或静电非导体容器盛装、储存可燃绝缘性液体。</w:t>
            </w:r>
          </w:p>
        </w:tc>
        <w:tc>
          <w:tcPr>
            <w:tcW w:w="2409"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《防止静电事故通用要求》（GB12158-2024）</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《有机硅单体安全生产规范》（T/CCSAS 017-2022）</w:t>
            </w:r>
          </w:p>
        </w:tc>
        <w:tc>
          <w:tcPr>
            <w:tcW w:w="1560" w:type="dxa"/>
            <w:vAlign w:val="center"/>
          </w:tcPr>
          <w:p>
            <w:pPr>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现场查看</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530" w:type="dxa"/>
          </w:tcPr>
          <w:p>
            <w:pPr>
              <w:jc w:val="center"/>
              <w:rPr>
                <w:rFonts w:ascii="Times New Roman" w:hAnsi="Times New Roman" w:eastAsia="宋体" w:cs="Times New Roman"/>
                <w:color w:val="auto"/>
                <w:szCs w:val="21"/>
              </w:rPr>
            </w:pPr>
          </w:p>
        </w:tc>
        <w:tc>
          <w:tcPr>
            <w:tcW w:w="76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3</w:t>
            </w:r>
          </w:p>
        </w:tc>
        <w:tc>
          <w:tcPr>
            <w:tcW w:w="226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严禁使用有机硅浆渣人工扒渣、敞开水解等淘汰落后工艺。</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渣浆和废触体应在密闭条件下处置；废触体在密闭环境下储存、钝化或水解；经钝化或水解后仍有反应活性的浆渣和废触体，应在失活后再进一步处理。</w:t>
            </w:r>
          </w:p>
        </w:tc>
        <w:tc>
          <w:tcPr>
            <w:tcW w:w="2409"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《淘汰落后安全技术装备目录(2015年第一批)》（安监总科技〔2015〕75 号）</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《淘汰落后危险化学品安全生产工艺技术设备目录（第二批）》（应急厅〔2024〕86号）</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《有机硅单体安全生产规范》</w:t>
            </w:r>
          </w:p>
          <w:p>
            <w:pPr>
              <w:rPr>
                <w:rFonts w:ascii="Times New Roman" w:hAnsi="Times New Roman" w:eastAsia="宋体" w:cs="Times New Roman"/>
                <w:color w:val="auto"/>
                <w:szCs w:val="21"/>
              </w:rPr>
            </w:pPr>
            <w:r>
              <w:rPr>
                <w:rFonts w:ascii="Times New Roman" w:hAnsi="Times New Roman" w:eastAsia="宋体" w:cs="Times New Roman"/>
                <w:color w:val="auto"/>
                <w:szCs w:val="21"/>
              </w:rPr>
              <w:t>（T/CCSAS 017-2022）</w:t>
            </w:r>
          </w:p>
        </w:tc>
        <w:tc>
          <w:tcPr>
            <w:tcW w:w="1560"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查阅安全设施设计报告、竣工验收报告、现状评价报告，现场核查。</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530" w:type="dxa"/>
          </w:tcPr>
          <w:p>
            <w:pPr>
              <w:jc w:val="center"/>
              <w:rPr>
                <w:rFonts w:ascii="Times New Roman" w:hAnsi="Times New Roman" w:eastAsia="宋体" w:cs="Times New Roman"/>
                <w:color w:val="auto"/>
                <w:szCs w:val="21"/>
              </w:rPr>
            </w:pPr>
          </w:p>
        </w:tc>
        <w:tc>
          <w:tcPr>
            <w:tcW w:w="76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4</w:t>
            </w:r>
          </w:p>
        </w:tc>
        <w:tc>
          <w:tcPr>
            <w:tcW w:w="226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有机硅单体、中间体等可燃液体的灌装应在通风良好或设有局部排气系统的区域进行，灌装前检查容器，确保清洁、干燥，无残存酸、碱或清洗剂；灌装前用氮气等惰性气体充分置换；灌装时将灌装口延伸至容器底部附近，控制灌装物料温度在闪点以下，灌装时应对容器及金属漏斗（若有）跨接并接地，应控制液体处于安全流速范围内。灌装系统的过滤器、 自动灌装机等设施应设置静电接地，并定期检查。</w:t>
            </w:r>
          </w:p>
        </w:tc>
        <w:tc>
          <w:tcPr>
            <w:tcW w:w="2409"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《防止静电事故通用要求》（GB12158-2024）</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《有机硅单体安全生产规范》</w:t>
            </w:r>
          </w:p>
          <w:p>
            <w:pPr>
              <w:rPr>
                <w:rFonts w:ascii="Times New Roman" w:hAnsi="Times New Roman" w:eastAsia="宋体" w:cs="Times New Roman"/>
                <w:color w:val="auto"/>
                <w:szCs w:val="21"/>
              </w:rPr>
            </w:pPr>
            <w:r>
              <w:rPr>
                <w:rFonts w:ascii="Times New Roman" w:hAnsi="Times New Roman" w:eastAsia="宋体" w:cs="Times New Roman"/>
                <w:color w:val="auto"/>
                <w:szCs w:val="21"/>
              </w:rPr>
              <w:t>（T/CCSAS 017-2022）</w:t>
            </w:r>
          </w:p>
        </w:tc>
        <w:tc>
          <w:tcPr>
            <w:tcW w:w="1560" w:type="dxa"/>
            <w:vAlign w:val="center"/>
          </w:tcPr>
          <w:p>
            <w:pPr>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现场查看</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530" w:type="dxa"/>
          </w:tcPr>
          <w:p>
            <w:pPr>
              <w:jc w:val="center"/>
              <w:rPr>
                <w:rFonts w:ascii="Times New Roman" w:hAnsi="Times New Roman" w:eastAsia="宋体" w:cs="Times New Roman"/>
                <w:color w:val="auto"/>
                <w:szCs w:val="21"/>
              </w:rPr>
            </w:pPr>
          </w:p>
        </w:tc>
        <w:tc>
          <w:tcPr>
            <w:tcW w:w="76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5</w:t>
            </w:r>
          </w:p>
        </w:tc>
        <w:tc>
          <w:tcPr>
            <w:tcW w:w="226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易燃物料储存单元（含堆场）、氯硅烷单体类库区及其装卸设施的布置应符合标准要求，采取火灾后防止“流淌火 ”的措施；建（构）筑物、设备间的防火间距应满足规范，现场实际情况应与设计一致。根据高沸物、低沸物、浆渣等副产物的危险特性及风险辨识评估结果，明确安全储存要求，实行分类、分区储存，设置泄漏检测报警、通风、应急处置等安全措施；渣浆、高沸物、含硅氢结构副产物、高沸裂解釜底物、低沸歧化釜底物等桶装副产物严禁露天储存，应存放于符合规范要求的专用库房或堆场（配备防晒、防水、通风及消防设施）；严禁堆放在道路或在建、已建成但未验收合格的建筑内。</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《有机硅单体安全生产规范》</w:t>
            </w:r>
          </w:p>
          <w:p>
            <w:pPr>
              <w:rPr>
                <w:rFonts w:ascii="Times New Roman" w:hAnsi="Times New Roman" w:eastAsia="宋体" w:cs="Times New Roman"/>
                <w:color w:val="auto"/>
                <w:szCs w:val="21"/>
              </w:rPr>
            </w:pPr>
            <w:r>
              <w:rPr>
                <w:rFonts w:ascii="Times New Roman" w:hAnsi="Times New Roman" w:eastAsia="宋体" w:cs="Times New Roman"/>
                <w:color w:val="auto"/>
                <w:szCs w:val="21"/>
              </w:rPr>
              <w:t>（T/CCSAS 017-2022）</w:t>
            </w:r>
          </w:p>
        </w:tc>
        <w:tc>
          <w:tcPr>
            <w:tcW w:w="1560"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查阅安全设施设计报告、竣工验收报告、现状评价报告，现场核查。</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530" w:type="dxa"/>
          </w:tcPr>
          <w:p>
            <w:pPr>
              <w:jc w:val="center"/>
              <w:rPr>
                <w:rFonts w:ascii="Times New Roman" w:hAnsi="Times New Roman" w:eastAsia="宋体" w:cs="Times New Roman"/>
                <w:color w:val="auto"/>
                <w:szCs w:val="21"/>
              </w:rPr>
            </w:pPr>
          </w:p>
        </w:tc>
        <w:tc>
          <w:tcPr>
            <w:tcW w:w="76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6</w:t>
            </w:r>
          </w:p>
        </w:tc>
        <w:tc>
          <w:tcPr>
            <w:tcW w:w="226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涉硅粉、废触体检修维修前，应充分辨识粉尘自燃和爆炸风险，落实能量隔离、工艺处置等措施。单体合成废触体系统在停车阶段应泡水或使用氮气置换等有效措施进行失活处理，并使用盲板或截断阀与其他系统断开。</w:t>
            </w:r>
          </w:p>
        </w:tc>
        <w:tc>
          <w:tcPr>
            <w:tcW w:w="2409"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《粉尘防爆安全规程》</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(GB15577-2018)</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《可燃粉尘工艺系统防爆技术规范》（GB 46031-2025）</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《粉尘爆炸危险场所用收尘器防爆导则》（GB/T 17919-2008）</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《有机硅单体安全生产规范》（T/CCSAS 017-2022）</w:t>
            </w:r>
          </w:p>
        </w:tc>
        <w:tc>
          <w:tcPr>
            <w:tcW w:w="1560" w:type="dxa"/>
            <w:vAlign w:val="center"/>
          </w:tcPr>
          <w:p>
            <w:pPr>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rPr>
              <w:t>查检修方案、停车方案</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530" w:type="dxa"/>
          </w:tcPr>
          <w:p>
            <w:pPr>
              <w:jc w:val="center"/>
              <w:rPr>
                <w:rFonts w:ascii="Times New Roman" w:hAnsi="Times New Roman" w:eastAsia="宋体" w:cs="Times New Roman"/>
                <w:color w:val="auto"/>
                <w:szCs w:val="21"/>
              </w:rPr>
            </w:pPr>
          </w:p>
        </w:tc>
        <w:tc>
          <w:tcPr>
            <w:tcW w:w="76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7</w:t>
            </w:r>
          </w:p>
        </w:tc>
        <w:tc>
          <w:tcPr>
            <w:tcW w:w="226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存在爆炸性气体的真空系统应采取真空度、氧含量报警、联锁等措施，防止空气进入系统；应采用氮气等惰性气体破真空；真空系统缓冲罐、真空管道、残液排放管道等应按照标准设置防静电跨接和静电接地设施。</w:t>
            </w:r>
          </w:p>
        </w:tc>
        <w:tc>
          <w:tcPr>
            <w:tcW w:w="2409"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《石油化工液环真空泵和压缩机工程技术规范》（SH/T 3162-2011）</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《精细化工企业工程设计防火标准》（GB 51283-2020）</w:t>
            </w:r>
          </w:p>
        </w:tc>
        <w:tc>
          <w:tcPr>
            <w:tcW w:w="1560"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查阅安全设施设计报告、竣工验收报告、现状评价报告，现场核查。</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530" w:type="dxa"/>
          </w:tcPr>
          <w:p>
            <w:pPr>
              <w:jc w:val="center"/>
              <w:rPr>
                <w:rFonts w:ascii="Times New Roman" w:hAnsi="Times New Roman" w:eastAsia="宋体" w:cs="Times New Roman"/>
                <w:color w:val="auto"/>
                <w:szCs w:val="21"/>
              </w:rPr>
            </w:pPr>
          </w:p>
        </w:tc>
        <w:tc>
          <w:tcPr>
            <w:tcW w:w="763"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8</w:t>
            </w:r>
          </w:p>
        </w:tc>
        <w:tc>
          <w:tcPr>
            <w:tcW w:w="2268"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涉及氯甲烷的事故紧急排放设施应排放至安全地点。尾气中若含有氯甲烷等难溶于水的易燃、有毒成分，严禁排入水洗系统；确需排入的，必须采取专项安全措施。吸收氯硅烷的水洗系统应明确定期补水、换水周期，采取防止吸收液过酸的措施。涉及可燃的尾气水洗吸收系统，在吸收池设置气体报警器监测可燃气体。</w:t>
            </w:r>
          </w:p>
        </w:tc>
        <w:tc>
          <w:tcPr>
            <w:tcW w:w="2409"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《石油化工企业设计防火规范（2018版）》（GB 50160-2008）</w:t>
            </w:r>
            <w:r>
              <w:rPr>
                <w:rFonts w:ascii="Times New Roman" w:hAnsi="Times New Roman" w:eastAsia="宋体" w:cs="Times New Roman"/>
                <w:color w:val="auto"/>
                <w:szCs w:val="21"/>
              </w:rPr>
              <w:br w:type="textWrapping"/>
            </w:r>
            <w:r>
              <w:rPr>
                <w:rFonts w:ascii="Times New Roman" w:hAnsi="Times New Roman" w:eastAsia="宋体" w:cs="Times New Roman"/>
                <w:color w:val="auto"/>
                <w:szCs w:val="21"/>
              </w:rPr>
              <w:t>《有机硅单体安全生产规范》（T/CCSAS 017-2022）</w:t>
            </w:r>
          </w:p>
        </w:tc>
        <w:tc>
          <w:tcPr>
            <w:tcW w:w="1560"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查阅安全设施设计报告、竣工验收报告、现状评价报告，现场核查。</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530" w:type="dxa"/>
          </w:tcPr>
          <w:p>
            <w:pPr>
              <w:jc w:val="center"/>
              <w:rPr>
                <w:rFonts w:ascii="Times New Roman" w:hAnsi="Times New Roman" w:eastAsia="宋体" w:cs="Times New Roman"/>
                <w:color w:val="auto"/>
                <w:szCs w:val="21"/>
              </w:rPr>
            </w:pPr>
          </w:p>
        </w:tc>
        <w:tc>
          <w:tcPr>
            <w:tcW w:w="763" w:type="dxa"/>
          </w:tcPr>
          <w:p>
            <w:pPr>
              <w:jc w:val="center"/>
              <w:rPr>
                <w:rFonts w:ascii="Times New Roman" w:hAnsi="Times New Roman" w:eastAsia="宋体" w:cs="Times New Roman"/>
                <w:color w:val="auto"/>
                <w:szCs w:val="21"/>
              </w:rPr>
            </w:pPr>
          </w:p>
        </w:tc>
      </w:tr>
    </w:tbl>
    <w:p>
      <w:pPr>
        <w:jc w:val="left"/>
        <w:rPr>
          <w:rFonts w:hint="eastAsia" w:ascii="宋体" w:hAnsi="宋体" w:eastAsia="宋体"/>
          <w:b/>
          <w:bCs/>
          <w:color w:val="auto"/>
          <w:sz w:val="30"/>
          <w:szCs w:val="30"/>
        </w:rPr>
      </w:pPr>
    </w:p>
    <w:p>
      <w:pPr>
        <w:widowControl/>
        <w:jc w:val="left"/>
        <w:rPr>
          <w:rFonts w:hint="eastAsia" w:ascii="宋体" w:hAnsi="宋体" w:eastAsia="宋体"/>
          <w:b/>
          <w:bCs/>
          <w:color w:val="auto"/>
          <w:sz w:val="30"/>
          <w:szCs w:val="30"/>
        </w:rPr>
      </w:pPr>
      <w:r>
        <w:rPr>
          <w:rFonts w:ascii="宋体" w:hAnsi="宋体" w:eastAsia="宋体"/>
          <w:b/>
          <w:bCs/>
          <w:color w:val="auto"/>
          <w:sz w:val="30"/>
          <w:szCs w:val="30"/>
        </w:rPr>
        <w:br w:type="page"/>
      </w:r>
    </w:p>
    <w:p>
      <w:pPr>
        <w:jc w:val="left"/>
        <w:outlineLvl w:val="1"/>
        <w:rPr>
          <w:rFonts w:hint="eastAsia" w:ascii="宋体" w:hAnsi="宋体" w:eastAsia="宋体"/>
          <w:b/>
          <w:bCs/>
          <w:color w:val="auto"/>
          <w:sz w:val="30"/>
          <w:szCs w:val="30"/>
        </w:rPr>
      </w:pPr>
      <w:bookmarkStart w:id="124" w:name="_Toc237556468"/>
      <w:bookmarkStart w:id="125" w:name="OLE_LINK76"/>
      <w:bookmarkStart w:id="126" w:name="OLE_LINK77"/>
      <w:r>
        <w:rPr>
          <w:rFonts w:hint="eastAsia" w:ascii="宋体" w:hAnsi="宋体" w:eastAsia="宋体"/>
          <w:b/>
          <w:bCs/>
          <w:color w:val="auto"/>
          <w:sz w:val="30"/>
          <w:szCs w:val="30"/>
        </w:rPr>
        <w:t>附件5-7</w:t>
      </w:r>
      <w:r>
        <w:rPr>
          <w:rFonts w:ascii="宋体" w:hAnsi="宋体" w:eastAsia="宋体"/>
          <w:b/>
          <w:bCs/>
          <w:color w:val="auto"/>
          <w:sz w:val="30"/>
          <w:szCs w:val="30"/>
        </w:rPr>
        <w:t>：</w:t>
      </w:r>
      <w:r>
        <w:rPr>
          <w:rFonts w:hint="eastAsia" w:ascii="宋体" w:hAnsi="宋体" w:eastAsia="宋体"/>
          <w:b/>
          <w:bCs/>
          <w:color w:val="auto"/>
          <w:sz w:val="30"/>
          <w:szCs w:val="30"/>
        </w:rPr>
        <w:t>氟化工</w:t>
      </w:r>
      <w:r>
        <w:rPr>
          <w:rFonts w:ascii="宋体" w:hAnsi="宋体" w:eastAsia="宋体"/>
          <w:b/>
          <w:bCs/>
          <w:color w:val="auto"/>
          <w:sz w:val="30"/>
          <w:szCs w:val="30"/>
        </w:rPr>
        <w:t>企业检查表</w:t>
      </w:r>
      <w:bookmarkEnd w:id="124"/>
    </w:p>
    <w:tbl>
      <w:tblPr>
        <w:tblStyle w:val="6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4"/>
        <w:gridCol w:w="2268"/>
        <w:gridCol w:w="2409"/>
        <w:gridCol w:w="1560"/>
        <w:gridCol w:w="1984"/>
        <w:gridCol w:w="1843"/>
        <w:gridCol w:w="2785"/>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
                <w:color w:val="auto"/>
                <w:szCs w:val="21"/>
              </w:rPr>
            </w:pPr>
            <w:bookmarkStart w:id="127" w:name="OLE_LINK61"/>
            <w:bookmarkStart w:id="128" w:name="OLE_LINK62"/>
            <w:r>
              <w:rPr>
                <w:rFonts w:ascii="Times New Roman" w:hAnsi="Times New Roman" w:eastAsia="宋体" w:cs="Times New Roman"/>
                <w:b/>
                <w:color w:val="auto"/>
                <w:szCs w:val="21"/>
              </w:rPr>
              <w:t>序号</w:t>
            </w:r>
          </w:p>
        </w:tc>
        <w:tc>
          <w:tcPr>
            <w:tcW w:w="2268"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检擦内容</w:t>
            </w:r>
          </w:p>
        </w:tc>
        <w:tc>
          <w:tcPr>
            <w:tcW w:w="2409"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检查依据</w:t>
            </w:r>
          </w:p>
        </w:tc>
        <w:tc>
          <w:tcPr>
            <w:tcW w:w="1560"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检查方式</w:t>
            </w:r>
          </w:p>
        </w:tc>
        <w:tc>
          <w:tcPr>
            <w:tcW w:w="1984"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检查情况</w:t>
            </w:r>
          </w:p>
        </w:tc>
        <w:tc>
          <w:tcPr>
            <w:tcW w:w="1843"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检查问题</w:t>
            </w:r>
          </w:p>
        </w:tc>
        <w:tc>
          <w:tcPr>
            <w:tcW w:w="2785"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整改建议</w:t>
            </w:r>
          </w:p>
        </w:tc>
        <w:tc>
          <w:tcPr>
            <w:tcW w:w="737"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重大</w:t>
            </w:r>
          </w:p>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隐患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w:t>
            </w:r>
          </w:p>
        </w:tc>
        <w:tc>
          <w:tcPr>
            <w:tcW w:w="2268" w:type="dxa"/>
          </w:tcPr>
          <w:p>
            <w:pPr>
              <w:widowControl/>
              <w:kinsoku w:val="0"/>
              <w:autoSpaceDE w:val="0"/>
              <w:autoSpaceDN w:val="0"/>
              <w:adjustRightInd w:val="0"/>
              <w:snapToGrid w:val="0"/>
              <w:spacing w:before="58" w:line="274" w:lineRule="auto"/>
              <w:ind w:left="114" w:right="103" w:hanging="3"/>
              <w:jc w:val="left"/>
              <w:textAlignment w:val="baseline"/>
              <w:rPr>
                <w:rFonts w:hint="eastAsia" w:ascii="宋体" w:hAnsi="宋体" w:eastAsia="宋体" w:cs="宋体"/>
                <w:snapToGrid w:val="0"/>
                <w:color w:val="auto"/>
                <w:kern w:val="0"/>
                <w:szCs w:val="21"/>
              </w:rPr>
            </w:pPr>
            <w:r>
              <w:rPr>
                <w:rFonts w:ascii="宋体" w:hAnsi="宋体" w:eastAsia="宋体" w:cs="宋体"/>
                <w:snapToGrid w:val="0"/>
                <w:color w:val="auto"/>
                <w:spacing w:val="-1"/>
                <w:kern w:val="0"/>
                <w:szCs w:val="21"/>
              </w:rPr>
              <w:t>应按照重点监管危险工艺安全控制要求（结合</w:t>
            </w:r>
            <w:r>
              <w:rPr>
                <w:rFonts w:ascii="宋体" w:hAnsi="宋体" w:eastAsia="宋体" w:cs="宋体"/>
                <w:snapToGrid w:val="0"/>
                <w:color w:val="auto"/>
                <w:spacing w:val="-40"/>
                <w:kern w:val="0"/>
                <w:szCs w:val="21"/>
              </w:rPr>
              <w:t xml:space="preserve"> </w:t>
            </w:r>
            <w:r>
              <w:rPr>
                <w:rFonts w:ascii="宋体" w:hAnsi="宋体" w:eastAsia="宋体" w:cs="宋体"/>
                <w:snapToGrid w:val="0"/>
                <w:color w:val="auto"/>
                <w:spacing w:val="-1"/>
                <w:kern w:val="0"/>
                <w:szCs w:val="21"/>
              </w:rPr>
              <w:t>HAZOP</w:t>
            </w:r>
            <w:r>
              <w:rPr>
                <w:rFonts w:ascii="宋体" w:hAnsi="宋体" w:eastAsia="宋体" w:cs="宋体"/>
                <w:snapToGrid w:val="0"/>
                <w:color w:val="auto"/>
                <w:spacing w:val="-42"/>
                <w:kern w:val="0"/>
                <w:szCs w:val="21"/>
              </w:rPr>
              <w:t xml:space="preserve"> </w:t>
            </w:r>
            <w:r>
              <w:rPr>
                <w:rFonts w:ascii="宋体" w:hAnsi="宋体" w:eastAsia="宋体" w:cs="宋体"/>
                <w:snapToGrid w:val="0"/>
                <w:color w:val="auto"/>
                <w:spacing w:val="-1"/>
                <w:kern w:val="0"/>
                <w:szCs w:val="21"/>
              </w:rPr>
              <w:t>分析结果进</w:t>
            </w:r>
            <w:r>
              <w:rPr>
                <w:rFonts w:ascii="宋体" w:hAnsi="宋体" w:eastAsia="宋体" w:cs="宋体"/>
                <w:snapToGrid w:val="0"/>
                <w:color w:val="auto"/>
                <w:spacing w:val="-3"/>
                <w:kern w:val="0"/>
                <w:szCs w:val="21"/>
              </w:rPr>
              <w:t>行核查</w:t>
            </w:r>
            <w:r>
              <w:rPr>
                <w:rFonts w:ascii="宋体" w:hAnsi="宋体" w:eastAsia="宋体" w:cs="宋体"/>
                <w:snapToGrid w:val="0"/>
                <w:color w:val="auto"/>
                <w:spacing w:val="-13"/>
                <w:kern w:val="0"/>
                <w:szCs w:val="21"/>
              </w:rPr>
              <w:t>）：</w:t>
            </w:r>
          </w:p>
          <w:p>
            <w:pPr>
              <w:widowControl/>
              <w:kinsoku w:val="0"/>
              <w:autoSpaceDE w:val="0"/>
              <w:autoSpaceDN w:val="0"/>
              <w:adjustRightInd w:val="0"/>
              <w:snapToGrid w:val="0"/>
              <w:spacing w:line="274" w:lineRule="auto"/>
              <w:ind w:left="110" w:right="100" w:firstLine="16"/>
              <w:jc w:val="left"/>
              <w:textAlignment w:val="baseline"/>
              <w:rPr>
                <w:rFonts w:hint="eastAsia" w:ascii="宋体" w:hAnsi="宋体" w:eastAsia="宋体" w:cs="宋体"/>
                <w:snapToGrid w:val="0"/>
                <w:color w:val="auto"/>
                <w:kern w:val="0"/>
                <w:szCs w:val="21"/>
              </w:rPr>
            </w:pPr>
            <w:r>
              <w:rPr>
                <w:rFonts w:ascii="宋体" w:hAnsi="宋体" w:eastAsia="宋体" w:cs="宋体"/>
                <w:snapToGrid w:val="0"/>
                <w:color w:val="auto"/>
                <w:spacing w:val="-1"/>
                <w:kern w:val="0"/>
                <w:szCs w:val="21"/>
              </w:rPr>
              <w:t>1.氟化反应操作中，要严格控制氟化物浓度、投料配比、进料速度、反应温度等，设置自动化控制系统和报警联锁装置。</w:t>
            </w:r>
          </w:p>
          <w:p>
            <w:pPr>
              <w:widowControl/>
              <w:kinsoku w:val="0"/>
              <w:autoSpaceDE w:val="0"/>
              <w:autoSpaceDN w:val="0"/>
              <w:adjustRightInd w:val="0"/>
              <w:snapToGrid w:val="0"/>
              <w:spacing w:before="54" w:line="274" w:lineRule="auto"/>
              <w:ind w:left="111" w:right="100"/>
              <w:textAlignment w:val="baseline"/>
              <w:rPr>
                <w:rFonts w:hint="eastAsia" w:ascii="宋体" w:hAnsi="宋体" w:eastAsia="宋体" w:cs="宋体"/>
                <w:snapToGrid w:val="0"/>
                <w:color w:val="auto"/>
                <w:kern w:val="0"/>
                <w:szCs w:val="21"/>
              </w:rPr>
            </w:pPr>
            <w:r>
              <w:rPr>
                <w:rFonts w:ascii="宋体" w:hAnsi="宋体" w:eastAsia="宋体" w:cs="宋体"/>
                <w:snapToGrid w:val="0"/>
                <w:color w:val="auto"/>
                <w:kern w:val="0"/>
                <w:szCs w:val="21"/>
              </w:rPr>
              <w:t>2.氟化反应应设置温度、压力与釜内搅拌、氟化物流</w:t>
            </w:r>
            <w:r>
              <w:rPr>
                <w:rFonts w:ascii="宋体" w:hAnsi="宋体" w:eastAsia="宋体" w:cs="宋体"/>
                <w:snapToGrid w:val="0"/>
                <w:color w:val="auto"/>
                <w:spacing w:val="-1"/>
                <w:kern w:val="0"/>
                <w:szCs w:val="21"/>
              </w:rPr>
              <w:t>量、氟化反</w:t>
            </w:r>
            <w:r>
              <w:rPr>
                <w:rFonts w:ascii="宋体" w:hAnsi="宋体" w:eastAsia="宋体" w:cs="宋体"/>
                <w:snapToGrid w:val="0"/>
                <w:color w:val="auto"/>
                <w:kern w:val="0"/>
                <w:szCs w:val="21"/>
              </w:rPr>
              <w:t>应釜夹套冷却水进水阀形成联锁控制的措施。（对于带</w:t>
            </w:r>
            <w:r>
              <w:rPr>
                <w:rFonts w:ascii="宋体" w:hAnsi="宋体" w:eastAsia="宋体" w:cs="宋体"/>
                <w:snapToGrid w:val="0"/>
                <w:color w:val="auto"/>
                <w:spacing w:val="-1"/>
                <w:kern w:val="0"/>
                <w:szCs w:val="21"/>
              </w:rPr>
              <w:t>搅拌的釜</w:t>
            </w:r>
            <w:r>
              <w:rPr>
                <w:rFonts w:ascii="宋体" w:hAnsi="宋体" w:eastAsia="宋体" w:cs="宋体"/>
                <w:snapToGrid w:val="0"/>
                <w:color w:val="auto"/>
                <w:kern w:val="0"/>
                <w:szCs w:val="21"/>
              </w:rPr>
              <w:t>式反应器，应设搅拌器电流远传指示，实现搅拌器运</w:t>
            </w:r>
            <w:r>
              <w:rPr>
                <w:rFonts w:ascii="宋体" w:hAnsi="宋体" w:eastAsia="宋体" w:cs="宋体"/>
                <w:snapToGrid w:val="0"/>
                <w:color w:val="auto"/>
                <w:spacing w:val="-1"/>
                <w:kern w:val="0"/>
                <w:szCs w:val="21"/>
              </w:rPr>
              <w:t>行状况的监</w:t>
            </w:r>
            <w:r>
              <w:rPr>
                <w:rFonts w:ascii="宋体" w:hAnsi="宋体" w:eastAsia="宋体" w:cs="宋体"/>
                <w:snapToGrid w:val="0"/>
                <w:color w:val="auto"/>
                <w:kern w:val="0"/>
                <w:szCs w:val="21"/>
              </w:rPr>
              <w:t>测和联锁，搅拌系统故障停机时应联锁切断进料并采</w:t>
            </w:r>
            <w:r>
              <w:rPr>
                <w:rFonts w:ascii="宋体" w:hAnsi="宋体" w:eastAsia="宋体" w:cs="宋体"/>
                <w:snapToGrid w:val="0"/>
                <w:color w:val="auto"/>
                <w:spacing w:val="-1"/>
                <w:kern w:val="0"/>
                <w:szCs w:val="21"/>
              </w:rPr>
              <w:t>取必要的冷</w:t>
            </w:r>
          </w:p>
          <w:p>
            <w:pPr>
              <w:widowControl/>
              <w:kinsoku w:val="0"/>
              <w:autoSpaceDE w:val="0"/>
              <w:autoSpaceDN w:val="0"/>
              <w:adjustRightInd w:val="0"/>
              <w:snapToGrid w:val="0"/>
              <w:spacing w:line="220" w:lineRule="auto"/>
              <w:ind w:left="116"/>
              <w:jc w:val="left"/>
              <w:textAlignment w:val="baseline"/>
              <w:rPr>
                <w:rFonts w:hint="eastAsia" w:ascii="宋体" w:hAnsi="宋体" w:eastAsia="宋体" w:cs="宋体"/>
                <w:snapToGrid w:val="0"/>
                <w:color w:val="auto"/>
                <w:kern w:val="0"/>
                <w:szCs w:val="21"/>
              </w:rPr>
            </w:pPr>
            <w:r>
              <w:rPr>
                <w:rFonts w:ascii="宋体" w:hAnsi="宋体" w:eastAsia="宋体" w:cs="宋体"/>
                <w:snapToGrid w:val="0"/>
                <w:color w:val="auto"/>
                <w:spacing w:val="-4"/>
                <w:kern w:val="0"/>
                <w:szCs w:val="21"/>
              </w:rPr>
              <w:t>却等措施）</w:t>
            </w:r>
          </w:p>
          <w:p>
            <w:pPr>
              <w:widowControl/>
              <w:kinsoku w:val="0"/>
              <w:autoSpaceDE w:val="0"/>
              <w:autoSpaceDN w:val="0"/>
              <w:adjustRightInd w:val="0"/>
              <w:snapToGrid w:val="0"/>
              <w:spacing w:line="220" w:lineRule="auto"/>
              <w:ind w:left="114"/>
              <w:jc w:val="left"/>
              <w:textAlignment w:val="baseline"/>
              <w:rPr>
                <w:rFonts w:hint="eastAsia" w:ascii="宋体" w:hAnsi="宋体" w:eastAsia="宋体" w:cs="宋体"/>
                <w:snapToGrid w:val="0"/>
                <w:color w:val="auto"/>
                <w:kern w:val="0"/>
                <w:szCs w:val="21"/>
              </w:rPr>
            </w:pPr>
            <w:r>
              <w:rPr>
                <w:rFonts w:ascii="宋体" w:hAnsi="宋体" w:eastAsia="宋体" w:cs="宋体"/>
                <w:snapToGrid w:val="0"/>
                <w:color w:val="auto"/>
                <w:spacing w:val="-1"/>
                <w:kern w:val="0"/>
                <w:szCs w:val="21"/>
              </w:rPr>
              <w:t>3.氟化反应应设置紧急停车系统。</w:t>
            </w:r>
          </w:p>
        </w:tc>
        <w:tc>
          <w:tcPr>
            <w:tcW w:w="2409" w:type="dxa"/>
          </w:tcPr>
          <w:p>
            <w:pPr>
              <w:spacing w:line="298" w:lineRule="auto"/>
              <w:rPr>
                <w:rFonts w:ascii="Calibri" w:hAnsi="Calibri" w:eastAsia="宋体" w:cs="Times New Roman"/>
                <w:color w:val="auto"/>
              </w:rPr>
            </w:pPr>
          </w:p>
          <w:p>
            <w:pPr>
              <w:widowControl/>
              <w:kinsoku w:val="0"/>
              <w:autoSpaceDE w:val="0"/>
              <w:autoSpaceDN w:val="0"/>
              <w:adjustRightInd w:val="0"/>
              <w:snapToGrid w:val="0"/>
              <w:spacing w:before="68" w:line="276" w:lineRule="auto"/>
              <w:ind w:left="113" w:right="153" w:firstLine="1"/>
              <w:textAlignment w:val="baseline"/>
              <w:rPr>
                <w:rFonts w:hint="eastAsia" w:ascii="宋体" w:hAnsi="宋体" w:eastAsia="宋体" w:cs="宋体"/>
                <w:snapToGrid w:val="0"/>
                <w:color w:val="auto"/>
                <w:kern w:val="0"/>
                <w:szCs w:val="21"/>
              </w:rPr>
            </w:pPr>
            <w:r>
              <w:rPr>
                <w:rFonts w:ascii="宋体" w:hAnsi="宋体" w:eastAsia="宋体" w:cs="宋体"/>
                <w:snapToGrid w:val="0"/>
                <w:color w:val="auto"/>
                <w:spacing w:val="-1"/>
                <w:kern w:val="0"/>
                <w:szCs w:val="21"/>
              </w:rPr>
              <w:t>《关于公布首批重点监管的危险化工工艺目录的通知》（安监总管三〔2009〕116</w:t>
            </w:r>
            <w:r>
              <w:rPr>
                <w:rFonts w:ascii="宋体" w:hAnsi="宋体" w:eastAsia="宋体" w:cs="宋体"/>
                <w:snapToGrid w:val="0"/>
                <w:color w:val="auto"/>
                <w:spacing w:val="-34"/>
                <w:kern w:val="0"/>
                <w:szCs w:val="21"/>
              </w:rPr>
              <w:t xml:space="preserve"> </w:t>
            </w:r>
            <w:r>
              <w:rPr>
                <w:rFonts w:ascii="宋体" w:hAnsi="宋体" w:eastAsia="宋体" w:cs="宋体"/>
                <w:snapToGrid w:val="0"/>
                <w:color w:val="auto"/>
                <w:spacing w:val="-1"/>
                <w:kern w:val="0"/>
                <w:szCs w:val="21"/>
              </w:rPr>
              <w:t>号）、《氟化氢</w:t>
            </w:r>
            <w:r>
              <w:rPr>
                <w:rFonts w:ascii="宋体" w:hAnsi="宋体" w:eastAsia="宋体" w:cs="宋体"/>
                <w:snapToGrid w:val="0"/>
                <w:color w:val="auto"/>
                <w:kern w:val="0"/>
                <w:szCs w:val="21"/>
              </w:rPr>
              <w:t>生产安全技术规范》（HG/T 3003</w:t>
            </w:r>
            <w:r>
              <w:rPr>
                <w:rFonts w:ascii="宋体" w:hAnsi="宋体" w:eastAsia="宋体" w:cs="宋体"/>
                <w:snapToGrid w:val="0"/>
                <w:color w:val="auto"/>
                <w:spacing w:val="-1"/>
                <w:kern w:val="0"/>
                <w:szCs w:val="21"/>
              </w:rPr>
              <w:t>3-2017）</w:t>
            </w:r>
          </w:p>
        </w:tc>
        <w:tc>
          <w:tcPr>
            <w:tcW w:w="1560" w:type="dxa"/>
          </w:tcPr>
          <w:p>
            <w:pPr>
              <w:spacing w:line="301" w:lineRule="auto"/>
              <w:rPr>
                <w:rFonts w:ascii="Calibri" w:hAnsi="Calibri" w:eastAsia="宋体" w:cs="Times New Roman"/>
                <w:color w:val="auto"/>
              </w:rPr>
            </w:pPr>
          </w:p>
          <w:p>
            <w:pPr>
              <w:widowControl/>
              <w:kinsoku w:val="0"/>
              <w:autoSpaceDE w:val="0"/>
              <w:autoSpaceDN w:val="0"/>
              <w:adjustRightInd w:val="0"/>
              <w:snapToGrid w:val="0"/>
              <w:spacing w:before="68" w:line="275" w:lineRule="auto"/>
              <w:ind w:left="114" w:right="186"/>
              <w:textAlignment w:val="baseline"/>
              <w:rPr>
                <w:rFonts w:hint="eastAsia" w:ascii="宋体" w:hAnsi="宋体" w:eastAsia="宋体" w:cs="宋体"/>
                <w:snapToGrid w:val="0"/>
                <w:color w:val="auto"/>
                <w:kern w:val="0"/>
                <w:szCs w:val="21"/>
              </w:rPr>
            </w:pPr>
            <w:r>
              <w:rPr>
                <w:rFonts w:ascii="宋体" w:hAnsi="宋体" w:eastAsia="宋体" w:cs="宋体"/>
                <w:snapToGrid w:val="0"/>
                <w:color w:val="auto"/>
                <w:spacing w:val="-1"/>
                <w:kern w:val="0"/>
                <w:szCs w:val="21"/>
              </w:rPr>
              <w:t>查资料、现场；计算是否配备足够冷量的</w:t>
            </w:r>
            <w:r>
              <w:rPr>
                <w:rFonts w:ascii="宋体" w:hAnsi="宋体" w:eastAsia="宋体" w:cs="宋体"/>
                <w:snapToGrid w:val="0"/>
                <w:color w:val="auto"/>
                <w:spacing w:val="-2"/>
                <w:kern w:val="0"/>
                <w:szCs w:val="21"/>
              </w:rPr>
              <w:t>冷却介质</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85" w:type="dxa"/>
          </w:tcPr>
          <w:p>
            <w:pPr>
              <w:jc w:val="center"/>
              <w:rPr>
                <w:rFonts w:ascii="Times New Roman" w:hAnsi="Times New Roman" w:eastAsia="宋体" w:cs="Times New Roman"/>
                <w:color w:val="auto"/>
                <w:szCs w:val="21"/>
              </w:rPr>
            </w:pPr>
          </w:p>
        </w:tc>
        <w:tc>
          <w:tcPr>
            <w:tcW w:w="737"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w:t>
            </w:r>
          </w:p>
        </w:tc>
        <w:tc>
          <w:tcPr>
            <w:tcW w:w="2268" w:type="dxa"/>
          </w:tcPr>
          <w:p>
            <w:pPr>
              <w:widowControl/>
              <w:kinsoku w:val="0"/>
              <w:autoSpaceDE w:val="0"/>
              <w:autoSpaceDN w:val="0"/>
              <w:adjustRightInd w:val="0"/>
              <w:snapToGrid w:val="0"/>
              <w:spacing w:before="69" w:line="276" w:lineRule="auto"/>
              <w:ind w:left="113" w:right="131"/>
              <w:jc w:val="left"/>
              <w:textAlignment w:val="baseline"/>
              <w:rPr>
                <w:rFonts w:hint="eastAsia" w:ascii="宋体" w:hAnsi="宋体" w:eastAsia="宋体" w:cs="宋体"/>
                <w:snapToGrid w:val="0"/>
                <w:color w:val="auto"/>
                <w:kern w:val="0"/>
                <w:szCs w:val="21"/>
              </w:rPr>
            </w:pPr>
            <w:r>
              <w:rPr>
                <w:rFonts w:ascii="宋体" w:hAnsi="宋体" w:eastAsia="宋体" w:cs="宋体"/>
                <w:snapToGrid w:val="0"/>
                <w:color w:val="auto"/>
                <w:spacing w:val="-2"/>
                <w:kern w:val="0"/>
                <w:szCs w:val="21"/>
              </w:rPr>
              <w:t>蒸馏塔应具备超压排放或泄漏应急处置设施，设置塔系统压力、</w:t>
            </w:r>
            <w:r>
              <w:rPr>
                <w:rFonts w:ascii="宋体" w:hAnsi="宋体" w:eastAsia="宋体" w:cs="宋体"/>
                <w:snapToGrid w:val="0"/>
                <w:color w:val="auto"/>
                <w:spacing w:val="-1"/>
                <w:kern w:val="0"/>
                <w:szCs w:val="21"/>
              </w:rPr>
              <w:t>温度报警联锁，具备切断塔釜热媒及物料紧急切断功能。</w:t>
            </w:r>
          </w:p>
        </w:tc>
        <w:tc>
          <w:tcPr>
            <w:tcW w:w="2409" w:type="dxa"/>
          </w:tcPr>
          <w:p>
            <w:pPr>
              <w:widowControl/>
              <w:kinsoku w:val="0"/>
              <w:autoSpaceDE w:val="0"/>
              <w:autoSpaceDN w:val="0"/>
              <w:adjustRightInd w:val="0"/>
              <w:snapToGrid w:val="0"/>
              <w:spacing w:before="58" w:line="220" w:lineRule="auto"/>
              <w:ind w:left="220"/>
              <w:jc w:val="left"/>
              <w:textAlignment w:val="baseline"/>
              <w:rPr>
                <w:rFonts w:hint="eastAsia" w:ascii="宋体" w:hAnsi="宋体" w:eastAsia="宋体" w:cs="宋体"/>
                <w:snapToGrid w:val="0"/>
                <w:color w:val="auto"/>
                <w:kern w:val="0"/>
                <w:szCs w:val="21"/>
              </w:rPr>
            </w:pPr>
            <w:r>
              <w:rPr>
                <w:rFonts w:ascii="宋体" w:hAnsi="宋体" w:eastAsia="宋体" w:cs="宋体"/>
                <w:snapToGrid w:val="0"/>
                <w:color w:val="auto"/>
                <w:spacing w:val="-1"/>
                <w:kern w:val="0"/>
                <w:szCs w:val="21"/>
              </w:rPr>
              <w:t>《精细化工企业工程设计防火标准》（GB</w:t>
            </w:r>
          </w:p>
          <w:p>
            <w:pPr>
              <w:widowControl/>
              <w:kinsoku w:val="0"/>
              <w:autoSpaceDE w:val="0"/>
              <w:autoSpaceDN w:val="0"/>
              <w:adjustRightInd w:val="0"/>
              <w:snapToGrid w:val="0"/>
              <w:spacing w:before="61" w:line="221" w:lineRule="auto"/>
              <w:ind w:left="118"/>
              <w:jc w:val="left"/>
              <w:textAlignment w:val="baseline"/>
              <w:rPr>
                <w:rFonts w:hint="eastAsia" w:ascii="宋体" w:hAnsi="宋体" w:eastAsia="宋体" w:cs="宋体"/>
                <w:snapToGrid w:val="0"/>
                <w:color w:val="auto"/>
                <w:kern w:val="0"/>
                <w:szCs w:val="21"/>
              </w:rPr>
            </w:pPr>
            <w:r>
              <w:rPr>
                <w:rFonts w:ascii="宋体" w:hAnsi="宋体" w:eastAsia="宋体" w:cs="宋体"/>
                <w:snapToGrid w:val="0"/>
                <w:color w:val="auto"/>
                <w:spacing w:val="-1"/>
                <w:kern w:val="0"/>
                <w:szCs w:val="21"/>
              </w:rPr>
              <w:t>51283-2020）、《石油化工企业设计防火标准（2018</w:t>
            </w:r>
            <w:r>
              <w:rPr>
                <w:rFonts w:ascii="宋体" w:hAnsi="宋体" w:eastAsia="宋体" w:cs="宋体"/>
                <w:snapToGrid w:val="0"/>
                <w:color w:val="auto"/>
                <w:spacing w:val="-43"/>
                <w:kern w:val="0"/>
                <w:szCs w:val="21"/>
              </w:rPr>
              <w:t xml:space="preserve"> </w:t>
            </w:r>
            <w:r>
              <w:rPr>
                <w:rFonts w:ascii="宋体" w:hAnsi="宋体" w:eastAsia="宋体" w:cs="宋体"/>
                <w:snapToGrid w:val="0"/>
                <w:color w:val="auto"/>
                <w:spacing w:val="-1"/>
                <w:kern w:val="0"/>
                <w:szCs w:val="21"/>
              </w:rPr>
              <w:t>年版）》（GB 50160-2008）</w:t>
            </w:r>
          </w:p>
        </w:tc>
        <w:tc>
          <w:tcPr>
            <w:tcW w:w="1560" w:type="dxa"/>
          </w:tcPr>
          <w:p>
            <w:pPr>
              <w:spacing w:line="455" w:lineRule="auto"/>
              <w:rPr>
                <w:rFonts w:ascii="Calibri" w:hAnsi="Calibri" w:eastAsia="宋体" w:cs="Times New Roman"/>
                <w:color w:val="auto"/>
              </w:rPr>
            </w:pPr>
          </w:p>
          <w:p>
            <w:pPr>
              <w:widowControl/>
              <w:kinsoku w:val="0"/>
              <w:autoSpaceDE w:val="0"/>
              <w:autoSpaceDN w:val="0"/>
              <w:adjustRightInd w:val="0"/>
              <w:snapToGrid w:val="0"/>
              <w:spacing w:before="68" w:line="221" w:lineRule="auto"/>
              <w:ind w:left="115"/>
              <w:jc w:val="left"/>
              <w:textAlignment w:val="baseline"/>
              <w:rPr>
                <w:rFonts w:hint="eastAsia" w:ascii="宋体" w:hAnsi="宋体" w:eastAsia="宋体" w:cs="宋体"/>
                <w:snapToGrid w:val="0"/>
                <w:color w:val="auto"/>
                <w:kern w:val="0"/>
                <w:szCs w:val="21"/>
                <w:lang w:eastAsia="en-US"/>
              </w:rPr>
            </w:pPr>
            <w:r>
              <w:rPr>
                <w:rFonts w:ascii="宋体" w:hAnsi="宋体" w:eastAsia="宋体" w:cs="宋体"/>
                <w:snapToGrid w:val="0"/>
                <w:color w:val="auto"/>
                <w:spacing w:val="-2"/>
                <w:kern w:val="0"/>
                <w:szCs w:val="21"/>
                <w:lang w:eastAsia="en-US"/>
              </w:rPr>
              <w:t>查资料、现场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85" w:type="dxa"/>
          </w:tcPr>
          <w:p>
            <w:pPr>
              <w:jc w:val="center"/>
              <w:rPr>
                <w:rFonts w:ascii="Times New Roman" w:hAnsi="Times New Roman" w:eastAsia="宋体" w:cs="Times New Roman"/>
                <w:color w:val="auto"/>
                <w:szCs w:val="21"/>
              </w:rPr>
            </w:pPr>
          </w:p>
        </w:tc>
        <w:tc>
          <w:tcPr>
            <w:tcW w:w="737"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3</w:t>
            </w:r>
          </w:p>
        </w:tc>
        <w:tc>
          <w:tcPr>
            <w:tcW w:w="2268" w:type="dxa"/>
          </w:tcPr>
          <w:p>
            <w:pPr>
              <w:widowControl/>
              <w:kinsoku w:val="0"/>
              <w:autoSpaceDE w:val="0"/>
              <w:autoSpaceDN w:val="0"/>
              <w:adjustRightInd w:val="0"/>
              <w:snapToGrid w:val="0"/>
              <w:spacing w:before="53" w:line="248" w:lineRule="auto"/>
              <w:ind w:left="112" w:right="259" w:hanging="1"/>
              <w:jc w:val="left"/>
              <w:textAlignment w:val="baseline"/>
              <w:rPr>
                <w:rFonts w:hint="eastAsia" w:ascii="宋体" w:hAnsi="宋体" w:eastAsia="宋体" w:cs="宋体"/>
                <w:snapToGrid w:val="0"/>
                <w:color w:val="auto"/>
                <w:kern w:val="0"/>
                <w:szCs w:val="21"/>
              </w:rPr>
            </w:pPr>
            <w:r>
              <w:rPr>
                <w:rFonts w:ascii="宋体" w:hAnsi="宋体" w:eastAsia="宋体" w:cs="宋体"/>
                <w:snapToGrid w:val="0"/>
                <w:color w:val="auto"/>
                <w:spacing w:val="-1"/>
                <w:kern w:val="0"/>
                <w:szCs w:val="21"/>
              </w:rPr>
              <w:t>应在线检测换热设备管道中冷却或加热介质的氟离子含量或</w:t>
            </w:r>
            <w:r>
              <w:rPr>
                <w:rFonts w:ascii="宋体" w:hAnsi="宋体" w:eastAsia="宋体" w:cs="宋体"/>
                <w:snapToGrid w:val="0"/>
                <w:color w:val="auto"/>
                <w:spacing w:val="-30"/>
                <w:kern w:val="0"/>
                <w:szCs w:val="21"/>
              </w:rPr>
              <w:t xml:space="preserve"> </w:t>
            </w:r>
            <w:r>
              <w:rPr>
                <w:rFonts w:ascii="宋体" w:hAnsi="宋体" w:eastAsia="宋体" w:cs="宋体"/>
                <w:snapToGrid w:val="0"/>
                <w:color w:val="auto"/>
                <w:spacing w:val="-1"/>
                <w:kern w:val="0"/>
                <w:szCs w:val="21"/>
              </w:rPr>
              <w:t>pH</w:t>
            </w:r>
            <w:r>
              <w:rPr>
                <w:rFonts w:ascii="宋体" w:hAnsi="宋体" w:eastAsia="宋体" w:cs="宋体"/>
                <w:snapToGrid w:val="0"/>
                <w:color w:val="auto"/>
                <w:spacing w:val="-10"/>
                <w:kern w:val="0"/>
                <w:szCs w:val="21"/>
              </w:rPr>
              <w:t>等。</w:t>
            </w:r>
          </w:p>
        </w:tc>
        <w:tc>
          <w:tcPr>
            <w:tcW w:w="2409" w:type="dxa"/>
          </w:tcPr>
          <w:p>
            <w:pPr>
              <w:widowControl/>
              <w:kinsoku w:val="0"/>
              <w:autoSpaceDE w:val="0"/>
              <w:autoSpaceDN w:val="0"/>
              <w:adjustRightInd w:val="0"/>
              <w:snapToGrid w:val="0"/>
              <w:spacing w:before="53" w:line="248" w:lineRule="auto"/>
              <w:ind w:left="116" w:right="624" w:hanging="1"/>
              <w:jc w:val="left"/>
              <w:textAlignment w:val="baseline"/>
              <w:rPr>
                <w:rFonts w:hint="eastAsia" w:ascii="宋体" w:hAnsi="宋体" w:eastAsia="宋体" w:cs="宋体"/>
                <w:snapToGrid w:val="0"/>
                <w:color w:val="auto"/>
                <w:kern w:val="0"/>
                <w:szCs w:val="21"/>
              </w:rPr>
            </w:pPr>
            <w:r>
              <w:rPr>
                <w:rFonts w:ascii="宋体" w:hAnsi="宋体" w:eastAsia="宋体" w:cs="宋体"/>
                <w:snapToGrid w:val="0"/>
                <w:color w:val="auto"/>
                <w:kern w:val="0"/>
                <w:szCs w:val="21"/>
              </w:rPr>
              <w:t xml:space="preserve">《氟化氢生产安全技术规范》（HG/T </w:t>
            </w:r>
            <w:r>
              <w:rPr>
                <w:rFonts w:ascii="宋体" w:hAnsi="宋体" w:eastAsia="宋体" w:cs="宋体"/>
                <w:snapToGrid w:val="0"/>
                <w:color w:val="auto"/>
                <w:spacing w:val="-1"/>
                <w:kern w:val="0"/>
                <w:szCs w:val="21"/>
              </w:rPr>
              <w:t>30033-</w:t>
            </w:r>
            <w:r>
              <w:rPr>
                <w:rFonts w:ascii="宋体" w:hAnsi="宋体" w:eastAsia="宋体" w:cs="宋体"/>
                <w:snapToGrid w:val="0"/>
                <w:color w:val="auto"/>
                <w:kern w:val="0"/>
                <w:szCs w:val="21"/>
              </w:rPr>
              <w:t xml:space="preserve"> </w:t>
            </w:r>
            <w:r>
              <w:rPr>
                <w:rFonts w:ascii="宋体" w:hAnsi="宋体" w:eastAsia="宋体" w:cs="宋体"/>
                <w:snapToGrid w:val="0"/>
                <w:color w:val="auto"/>
                <w:spacing w:val="-2"/>
                <w:kern w:val="0"/>
                <w:szCs w:val="21"/>
              </w:rPr>
              <w:t>2017）</w:t>
            </w:r>
          </w:p>
        </w:tc>
        <w:tc>
          <w:tcPr>
            <w:tcW w:w="1560" w:type="dxa"/>
          </w:tcPr>
          <w:p>
            <w:pPr>
              <w:widowControl/>
              <w:kinsoku w:val="0"/>
              <w:autoSpaceDE w:val="0"/>
              <w:autoSpaceDN w:val="0"/>
              <w:adjustRightInd w:val="0"/>
              <w:snapToGrid w:val="0"/>
              <w:spacing w:before="210" w:line="221" w:lineRule="auto"/>
              <w:ind w:left="115"/>
              <w:jc w:val="left"/>
              <w:textAlignment w:val="baseline"/>
              <w:rPr>
                <w:rFonts w:hint="eastAsia" w:ascii="宋体" w:hAnsi="宋体" w:eastAsia="宋体" w:cs="宋体"/>
                <w:snapToGrid w:val="0"/>
                <w:color w:val="auto"/>
                <w:kern w:val="0"/>
                <w:szCs w:val="21"/>
                <w:lang w:eastAsia="en-US"/>
              </w:rPr>
            </w:pPr>
            <w:r>
              <w:rPr>
                <w:rFonts w:ascii="宋体" w:hAnsi="宋体" w:eastAsia="宋体" w:cs="宋体"/>
                <w:snapToGrid w:val="0"/>
                <w:color w:val="auto"/>
                <w:spacing w:val="-2"/>
                <w:kern w:val="0"/>
                <w:szCs w:val="21"/>
                <w:lang w:eastAsia="en-US"/>
              </w:rPr>
              <w:t>查现场、资料</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85" w:type="dxa"/>
          </w:tcPr>
          <w:p>
            <w:pPr>
              <w:jc w:val="center"/>
              <w:rPr>
                <w:rFonts w:ascii="Times New Roman" w:hAnsi="Times New Roman" w:eastAsia="宋体" w:cs="Times New Roman"/>
                <w:color w:val="auto"/>
                <w:szCs w:val="21"/>
              </w:rPr>
            </w:pPr>
          </w:p>
        </w:tc>
        <w:tc>
          <w:tcPr>
            <w:tcW w:w="737"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4</w:t>
            </w:r>
          </w:p>
        </w:tc>
        <w:tc>
          <w:tcPr>
            <w:tcW w:w="2268" w:type="dxa"/>
          </w:tcPr>
          <w:p>
            <w:pPr>
              <w:widowControl/>
              <w:kinsoku w:val="0"/>
              <w:autoSpaceDE w:val="0"/>
              <w:autoSpaceDN w:val="0"/>
              <w:adjustRightInd w:val="0"/>
              <w:snapToGrid w:val="0"/>
              <w:spacing w:before="53" w:line="248" w:lineRule="auto"/>
              <w:ind w:left="111" w:right="100" w:firstLine="1"/>
              <w:jc w:val="left"/>
              <w:textAlignment w:val="baseline"/>
              <w:rPr>
                <w:rFonts w:hint="eastAsia" w:ascii="宋体" w:hAnsi="宋体" w:eastAsia="宋体" w:cs="宋体"/>
                <w:snapToGrid w:val="0"/>
                <w:color w:val="auto"/>
                <w:kern w:val="0"/>
                <w:szCs w:val="21"/>
              </w:rPr>
            </w:pPr>
            <w:r>
              <w:rPr>
                <w:rFonts w:ascii="宋体" w:hAnsi="宋体" w:eastAsia="宋体" w:cs="宋体"/>
                <w:snapToGrid w:val="0"/>
                <w:color w:val="auto"/>
                <w:kern w:val="0"/>
                <w:szCs w:val="21"/>
              </w:rPr>
              <w:t>涉及易燃易爆、有毒、腐蚀性物料不应使用玻璃管</w:t>
            </w:r>
            <w:r>
              <w:rPr>
                <w:rFonts w:ascii="宋体" w:hAnsi="宋体" w:eastAsia="宋体" w:cs="宋体"/>
                <w:snapToGrid w:val="0"/>
                <w:color w:val="auto"/>
                <w:spacing w:val="-1"/>
                <w:kern w:val="0"/>
                <w:szCs w:val="21"/>
              </w:rPr>
              <w:t>液位计，液位</w:t>
            </w:r>
            <w:r>
              <w:rPr>
                <w:rFonts w:ascii="宋体" w:hAnsi="宋体" w:eastAsia="宋体" w:cs="宋体"/>
                <w:snapToGrid w:val="0"/>
                <w:color w:val="auto"/>
                <w:spacing w:val="-2"/>
                <w:kern w:val="0"/>
                <w:szCs w:val="21"/>
              </w:rPr>
              <w:t>计应标有最高安全液位。</w:t>
            </w:r>
          </w:p>
        </w:tc>
        <w:tc>
          <w:tcPr>
            <w:tcW w:w="2409" w:type="dxa"/>
          </w:tcPr>
          <w:p>
            <w:pPr>
              <w:widowControl/>
              <w:kinsoku w:val="0"/>
              <w:autoSpaceDE w:val="0"/>
              <w:autoSpaceDN w:val="0"/>
              <w:adjustRightInd w:val="0"/>
              <w:snapToGrid w:val="0"/>
              <w:spacing w:before="53" w:line="248" w:lineRule="auto"/>
              <w:ind w:left="116" w:right="624" w:hanging="1"/>
              <w:jc w:val="left"/>
              <w:textAlignment w:val="baseline"/>
              <w:rPr>
                <w:rFonts w:hint="eastAsia" w:ascii="宋体" w:hAnsi="宋体" w:eastAsia="宋体" w:cs="宋体"/>
                <w:snapToGrid w:val="0"/>
                <w:color w:val="auto"/>
                <w:kern w:val="0"/>
                <w:szCs w:val="21"/>
              </w:rPr>
            </w:pPr>
            <w:r>
              <w:rPr>
                <w:rFonts w:ascii="宋体" w:hAnsi="宋体" w:eastAsia="宋体" w:cs="宋体"/>
                <w:snapToGrid w:val="0"/>
                <w:color w:val="auto"/>
                <w:kern w:val="0"/>
                <w:szCs w:val="21"/>
              </w:rPr>
              <w:t xml:space="preserve">《氟化氢生产安全技术规范》（HG/T </w:t>
            </w:r>
            <w:r>
              <w:rPr>
                <w:rFonts w:ascii="宋体" w:hAnsi="宋体" w:eastAsia="宋体" w:cs="宋体"/>
                <w:snapToGrid w:val="0"/>
                <w:color w:val="auto"/>
                <w:spacing w:val="-1"/>
                <w:kern w:val="0"/>
                <w:szCs w:val="21"/>
              </w:rPr>
              <w:t>30033-</w:t>
            </w:r>
            <w:r>
              <w:rPr>
                <w:rFonts w:ascii="宋体" w:hAnsi="宋体" w:eastAsia="宋体" w:cs="宋体"/>
                <w:snapToGrid w:val="0"/>
                <w:color w:val="auto"/>
                <w:kern w:val="0"/>
                <w:szCs w:val="21"/>
              </w:rPr>
              <w:t xml:space="preserve"> </w:t>
            </w:r>
            <w:r>
              <w:rPr>
                <w:rFonts w:ascii="宋体" w:hAnsi="宋体" w:eastAsia="宋体" w:cs="宋体"/>
                <w:snapToGrid w:val="0"/>
                <w:color w:val="auto"/>
                <w:spacing w:val="-2"/>
                <w:kern w:val="0"/>
                <w:szCs w:val="21"/>
              </w:rPr>
              <w:t>2017）</w:t>
            </w:r>
          </w:p>
        </w:tc>
        <w:tc>
          <w:tcPr>
            <w:tcW w:w="1560" w:type="dxa"/>
          </w:tcPr>
          <w:p>
            <w:pPr>
              <w:widowControl/>
              <w:kinsoku w:val="0"/>
              <w:autoSpaceDE w:val="0"/>
              <w:autoSpaceDN w:val="0"/>
              <w:adjustRightInd w:val="0"/>
              <w:snapToGrid w:val="0"/>
              <w:spacing w:before="210" w:line="221" w:lineRule="auto"/>
              <w:ind w:left="115"/>
              <w:jc w:val="left"/>
              <w:textAlignment w:val="baseline"/>
              <w:rPr>
                <w:rFonts w:hint="eastAsia" w:ascii="宋体" w:hAnsi="宋体" w:eastAsia="宋体" w:cs="宋体"/>
                <w:snapToGrid w:val="0"/>
                <w:color w:val="auto"/>
                <w:kern w:val="0"/>
                <w:szCs w:val="21"/>
                <w:lang w:eastAsia="en-US"/>
              </w:rPr>
            </w:pPr>
            <w:r>
              <w:rPr>
                <w:rFonts w:ascii="宋体" w:hAnsi="宋体" w:eastAsia="宋体" w:cs="宋体"/>
                <w:snapToGrid w:val="0"/>
                <w:color w:val="auto"/>
                <w:spacing w:val="-2"/>
                <w:kern w:val="0"/>
                <w:szCs w:val="21"/>
                <w:lang w:eastAsia="en-US"/>
              </w:rPr>
              <w:t>查现场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85" w:type="dxa"/>
          </w:tcPr>
          <w:p>
            <w:pPr>
              <w:jc w:val="center"/>
              <w:rPr>
                <w:rFonts w:ascii="Times New Roman" w:hAnsi="Times New Roman" w:eastAsia="宋体" w:cs="Times New Roman"/>
                <w:color w:val="auto"/>
                <w:szCs w:val="21"/>
              </w:rPr>
            </w:pPr>
          </w:p>
        </w:tc>
        <w:tc>
          <w:tcPr>
            <w:tcW w:w="737"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5</w:t>
            </w:r>
          </w:p>
        </w:tc>
        <w:tc>
          <w:tcPr>
            <w:tcW w:w="2268" w:type="dxa"/>
          </w:tcPr>
          <w:p>
            <w:pPr>
              <w:widowControl/>
              <w:kinsoku w:val="0"/>
              <w:autoSpaceDE w:val="0"/>
              <w:autoSpaceDN w:val="0"/>
              <w:adjustRightInd w:val="0"/>
              <w:snapToGrid w:val="0"/>
              <w:spacing w:before="56" w:line="274" w:lineRule="auto"/>
              <w:ind w:left="112" w:right="160" w:firstLine="14"/>
              <w:jc w:val="left"/>
              <w:textAlignment w:val="baseline"/>
              <w:rPr>
                <w:rFonts w:hint="eastAsia" w:ascii="宋体" w:hAnsi="宋体" w:eastAsia="宋体" w:cs="宋体"/>
                <w:snapToGrid w:val="0"/>
                <w:color w:val="auto"/>
                <w:kern w:val="0"/>
                <w:szCs w:val="21"/>
              </w:rPr>
            </w:pPr>
            <w:r>
              <w:rPr>
                <w:rFonts w:ascii="宋体" w:hAnsi="宋体" w:eastAsia="宋体" w:cs="宋体"/>
                <w:snapToGrid w:val="0"/>
                <w:color w:val="auto"/>
                <w:spacing w:val="1"/>
                <w:kern w:val="0"/>
                <w:szCs w:val="21"/>
              </w:rPr>
              <w:t>1.氟化氢储罐（槽）液位不高于储存量的80%，每个</w:t>
            </w:r>
            <w:r>
              <w:rPr>
                <w:rFonts w:ascii="宋体" w:hAnsi="宋体" w:eastAsia="宋体" w:cs="宋体"/>
                <w:snapToGrid w:val="0"/>
                <w:color w:val="auto"/>
                <w:kern w:val="0"/>
                <w:szCs w:val="21"/>
              </w:rPr>
              <w:t>储槽应配置</w:t>
            </w:r>
            <w:r>
              <w:rPr>
                <w:rFonts w:ascii="宋体" w:hAnsi="宋体" w:eastAsia="宋体" w:cs="宋体"/>
                <w:snapToGrid w:val="0"/>
                <w:color w:val="auto"/>
                <w:spacing w:val="-3"/>
                <w:kern w:val="0"/>
                <w:szCs w:val="21"/>
              </w:rPr>
              <w:t>两种计量方式。</w:t>
            </w:r>
          </w:p>
          <w:p>
            <w:pPr>
              <w:widowControl/>
              <w:kinsoku w:val="0"/>
              <w:autoSpaceDE w:val="0"/>
              <w:autoSpaceDN w:val="0"/>
              <w:adjustRightInd w:val="0"/>
              <w:snapToGrid w:val="0"/>
              <w:spacing w:before="1" w:line="274" w:lineRule="auto"/>
              <w:ind w:left="111" w:right="100" w:firstLine="2"/>
              <w:jc w:val="left"/>
              <w:textAlignment w:val="baseline"/>
              <w:rPr>
                <w:rFonts w:hint="eastAsia" w:ascii="宋体" w:hAnsi="宋体" w:eastAsia="宋体" w:cs="宋体"/>
                <w:snapToGrid w:val="0"/>
                <w:color w:val="auto"/>
                <w:kern w:val="0"/>
                <w:szCs w:val="21"/>
              </w:rPr>
            </w:pPr>
            <w:r>
              <w:rPr>
                <w:rFonts w:ascii="宋体" w:hAnsi="宋体" w:eastAsia="宋体" w:cs="宋体"/>
                <w:snapToGrid w:val="0"/>
                <w:color w:val="auto"/>
                <w:kern w:val="0"/>
                <w:szCs w:val="21"/>
              </w:rPr>
              <w:t>2.氟化氢储罐（槽）必须设置备用槽。储罐（槽</w:t>
            </w:r>
            <w:r>
              <w:rPr>
                <w:rFonts w:ascii="宋体" w:hAnsi="宋体" w:eastAsia="宋体" w:cs="宋体"/>
                <w:snapToGrid w:val="0"/>
                <w:color w:val="auto"/>
                <w:spacing w:val="-1"/>
                <w:kern w:val="0"/>
                <w:szCs w:val="21"/>
              </w:rPr>
              <w:t>）应设置紧急泄</w:t>
            </w:r>
            <w:r>
              <w:rPr>
                <w:rFonts w:ascii="宋体" w:hAnsi="宋体" w:eastAsia="宋体" w:cs="宋体"/>
                <w:snapToGrid w:val="0"/>
                <w:color w:val="auto"/>
                <w:spacing w:val="-2"/>
                <w:kern w:val="0"/>
                <w:szCs w:val="21"/>
              </w:rPr>
              <w:t>放设施。</w:t>
            </w:r>
          </w:p>
          <w:p>
            <w:pPr>
              <w:widowControl/>
              <w:kinsoku w:val="0"/>
              <w:autoSpaceDE w:val="0"/>
              <w:autoSpaceDN w:val="0"/>
              <w:adjustRightInd w:val="0"/>
              <w:snapToGrid w:val="0"/>
              <w:spacing w:line="219" w:lineRule="auto"/>
              <w:ind w:left="116"/>
              <w:jc w:val="left"/>
              <w:textAlignment w:val="baseline"/>
              <w:rPr>
                <w:rFonts w:hint="eastAsia" w:ascii="宋体" w:hAnsi="宋体" w:eastAsia="宋体" w:cs="宋体"/>
                <w:snapToGrid w:val="0"/>
                <w:color w:val="auto"/>
                <w:kern w:val="0"/>
                <w:szCs w:val="21"/>
              </w:rPr>
            </w:pPr>
            <w:r>
              <w:rPr>
                <w:rFonts w:ascii="宋体" w:hAnsi="宋体" w:eastAsia="宋体" w:cs="宋体"/>
                <w:snapToGrid w:val="0"/>
                <w:color w:val="auto"/>
                <w:kern w:val="0"/>
                <w:szCs w:val="21"/>
              </w:rPr>
              <w:t>3.储罐（槽）区周边应安装喷淋水幕，具备</w:t>
            </w:r>
            <w:r>
              <w:rPr>
                <w:rFonts w:ascii="宋体" w:hAnsi="宋体" w:eastAsia="宋体" w:cs="宋体"/>
                <w:snapToGrid w:val="0"/>
                <w:color w:val="auto"/>
                <w:spacing w:val="-1"/>
                <w:kern w:val="0"/>
                <w:szCs w:val="21"/>
              </w:rPr>
              <w:t>远程控制功能。</w:t>
            </w:r>
          </w:p>
        </w:tc>
        <w:tc>
          <w:tcPr>
            <w:tcW w:w="2409" w:type="dxa"/>
          </w:tcPr>
          <w:p>
            <w:pPr>
              <w:spacing w:line="453" w:lineRule="auto"/>
              <w:rPr>
                <w:rFonts w:ascii="Calibri" w:hAnsi="Calibri" w:eastAsia="宋体" w:cs="Times New Roman"/>
                <w:color w:val="auto"/>
              </w:rPr>
            </w:pPr>
          </w:p>
          <w:p>
            <w:pPr>
              <w:widowControl/>
              <w:kinsoku w:val="0"/>
              <w:autoSpaceDE w:val="0"/>
              <w:autoSpaceDN w:val="0"/>
              <w:adjustRightInd w:val="0"/>
              <w:snapToGrid w:val="0"/>
              <w:spacing w:before="68" w:line="282" w:lineRule="auto"/>
              <w:ind w:left="116" w:right="624" w:hanging="1"/>
              <w:jc w:val="left"/>
              <w:textAlignment w:val="baseline"/>
              <w:rPr>
                <w:rFonts w:hint="eastAsia" w:ascii="宋体" w:hAnsi="宋体" w:eastAsia="宋体" w:cs="宋体"/>
                <w:snapToGrid w:val="0"/>
                <w:color w:val="auto"/>
                <w:kern w:val="0"/>
                <w:szCs w:val="21"/>
              </w:rPr>
            </w:pPr>
            <w:r>
              <w:rPr>
                <w:rFonts w:ascii="宋体" w:hAnsi="宋体" w:eastAsia="宋体" w:cs="宋体"/>
                <w:snapToGrid w:val="0"/>
                <w:color w:val="auto"/>
                <w:kern w:val="0"/>
                <w:szCs w:val="21"/>
              </w:rPr>
              <w:t xml:space="preserve">《氟化氢生产安全技术规范》（HG/T </w:t>
            </w:r>
            <w:r>
              <w:rPr>
                <w:rFonts w:ascii="宋体" w:hAnsi="宋体" w:eastAsia="宋体" w:cs="宋体"/>
                <w:snapToGrid w:val="0"/>
                <w:color w:val="auto"/>
                <w:spacing w:val="-1"/>
                <w:kern w:val="0"/>
                <w:szCs w:val="21"/>
              </w:rPr>
              <w:t>30033-</w:t>
            </w:r>
            <w:r>
              <w:rPr>
                <w:rFonts w:ascii="宋体" w:hAnsi="宋体" w:eastAsia="宋体" w:cs="宋体"/>
                <w:snapToGrid w:val="0"/>
                <w:color w:val="auto"/>
                <w:kern w:val="0"/>
                <w:szCs w:val="21"/>
              </w:rPr>
              <w:t xml:space="preserve"> </w:t>
            </w:r>
            <w:r>
              <w:rPr>
                <w:rFonts w:ascii="宋体" w:hAnsi="宋体" w:eastAsia="宋体" w:cs="宋体"/>
                <w:snapToGrid w:val="0"/>
                <w:color w:val="auto"/>
                <w:spacing w:val="-2"/>
                <w:kern w:val="0"/>
                <w:szCs w:val="21"/>
              </w:rPr>
              <w:t>2017）</w:t>
            </w:r>
          </w:p>
        </w:tc>
        <w:tc>
          <w:tcPr>
            <w:tcW w:w="1560" w:type="dxa"/>
          </w:tcPr>
          <w:p>
            <w:pPr>
              <w:spacing w:line="304" w:lineRule="auto"/>
              <w:rPr>
                <w:rFonts w:ascii="Calibri" w:hAnsi="Calibri" w:eastAsia="宋体" w:cs="Times New Roman"/>
                <w:color w:val="auto"/>
              </w:rPr>
            </w:pPr>
          </w:p>
          <w:p>
            <w:pPr>
              <w:spacing w:line="304" w:lineRule="auto"/>
              <w:rPr>
                <w:rFonts w:ascii="Calibri" w:hAnsi="Calibri" w:eastAsia="宋体" w:cs="Times New Roman"/>
                <w:color w:val="auto"/>
              </w:rPr>
            </w:pPr>
          </w:p>
          <w:p>
            <w:pPr>
              <w:widowControl/>
              <w:kinsoku w:val="0"/>
              <w:autoSpaceDE w:val="0"/>
              <w:autoSpaceDN w:val="0"/>
              <w:adjustRightInd w:val="0"/>
              <w:snapToGrid w:val="0"/>
              <w:spacing w:before="68" w:line="221" w:lineRule="auto"/>
              <w:ind w:left="115"/>
              <w:jc w:val="left"/>
              <w:textAlignment w:val="baseline"/>
              <w:rPr>
                <w:rFonts w:hint="eastAsia" w:ascii="宋体" w:hAnsi="宋体" w:eastAsia="宋体" w:cs="宋体"/>
                <w:snapToGrid w:val="0"/>
                <w:color w:val="auto"/>
                <w:kern w:val="0"/>
                <w:szCs w:val="21"/>
                <w:lang w:eastAsia="en-US"/>
              </w:rPr>
            </w:pPr>
            <w:r>
              <w:rPr>
                <w:rFonts w:ascii="宋体" w:hAnsi="宋体" w:eastAsia="宋体" w:cs="宋体"/>
                <w:snapToGrid w:val="0"/>
                <w:color w:val="auto"/>
                <w:spacing w:val="-2"/>
                <w:kern w:val="0"/>
                <w:szCs w:val="21"/>
                <w:lang w:eastAsia="en-US"/>
              </w:rPr>
              <w:t>查现场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85" w:type="dxa"/>
          </w:tcPr>
          <w:p>
            <w:pPr>
              <w:jc w:val="center"/>
              <w:rPr>
                <w:rFonts w:ascii="Times New Roman" w:hAnsi="Times New Roman" w:eastAsia="宋体" w:cs="Times New Roman"/>
                <w:color w:val="auto"/>
                <w:szCs w:val="21"/>
              </w:rPr>
            </w:pPr>
          </w:p>
        </w:tc>
        <w:tc>
          <w:tcPr>
            <w:tcW w:w="737"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6</w:t>
            </w:r>
          </w:p>
        </w:tc>
        <w:tc>
          <w:tcPr>
            <w:tcW w:w="2268" w:type="dxa"/>
          </w:tcPr>
          <w:p>
            <w:pPr>
              <w:widowControl/>
              <w:kinsoku w:val="0"/>
              <w:autoSpaceDE w:val="0"/>
              <w:autoSpaceDN w:val="0"/>
              <w:adjustRightInd w:val="0"/>
              <w:snapToGrid w:val="0"/>
              <w:spacing w:before="57" w:line="274" w:lineRule="auto"/>
              <w:ind w:left="113" w:right="100" w:firstLine="13"/>
              <w:jc w:val="left"/>
              <w:textAlignment w:val="baseline"/>
              <w:rPr>
                <w:rFonts w:hint="eastAsia" w:ascii="宋体" w:hAnsi="宋体" w:eastAsia="宋体" w:cs="宋体"/>
                <w:snapToGrid w:val="0"/>
                <w:color w:val="auto"/>
                <w:kern w:val="0"/>
                <w:szCs w:val="21"/>
              </w:rPr>
            </w:pPr>
            <w:r>
              <w:rPr>
                <w:rFonts w:ascii="宋体" w:hAnsi="宋体" w:eastAsia="宋体" w:cs="宋体"/>
                <w:snapToGrid w:val="0"/>
                <w:color w:val="auto"/>
                <w:spacing w:val="-1"/>
                <w:kern w:val="0"/>
                <w:szCs w:val="21"/>
              </w:rPr>
              <w:t>1.槽车、钢瓶充装作业间应配备自动切断、自动喷淋、抽风吸收</w:t>
            </w:r>
            <w:r>
              <w:rPr>
                <w:rFonts w:ascii="宋体" w:hAnsi="宋体" w:eastAsia="宋体" w:cs="宋体"/>
                <w:snapToGrid w:val="0"/>
                <w:color w:val="auto"/>
                <w:spacing w:val="-2"/>
                <w:kern w:val="0"/>
                <w:szCs w:val="21"/>
              </w:rPr>
              <w:t>等应急装置。</w:t>
            </w:r>
          </w:p>
          <w:p>
            <w:pPr>
              <w:widowControl/>
              <w:kinsoku w:val="0"/>
              <w:autoSpaceDE w:val="0"/>
              <w:autoSpaceDN w:val="0"/>
              <w:adjustRightInd w:val="0"/>
              <w:snapToGrid w:val="0"/>
              <w:spacing w:line="274" w:lineRule="auto"/>
              <w:ind w:left="111" w:right="100" w:firstLine="2"/>
              <w:jc w:val="left"/>
              <w:textAlignment w:val="baseline"/>
              <w:rPr>
                <w:rFonts w:hint="eastAsia" w:ascii="宋体" w:hAnsi="宋体" w:eastAsia="宋体" w:cs="宋体"/>
                <w:snapToGrid w:val="0"/>
                <w:color w:val="auto"/>
                <w:kern w:val="0"/>
                <w:szCs w:val="21"/>
              </w:rPr>
            </w:pPr>
            <w:r>
              <w:rPr>
                <w:rFonts w:ascii="宋体" w:hAnsi="宋体" w:eastAsia="宋体" w:cs="宋体"/>
                <w:snapToGrid w:val="0"/>
                <w:color w:val="auto"/>
                <w:kern w:val="0"/>
                <w:szCs w:val="21"/>
              </w:rPr>
              <w:t>2.氟化氢包装、卸料和储存系统应安装故障检修</w:t>
            </w:r>
            <w:r>
              <w:rPr>
                <w:rFonts w:ascii="宋体" w:hAnsi="宋体" w:eastAsia="宋体" w:cs="宋体"/>
                <w:snapToGrid w:val="0"/>
                <w:color w:val="auto"/>
                <w:spacing w:val="-1"/>
                <w:kern w:val="0"/>
                <w:szCs w:val="21"/>
              </w:rPr>
              <w:t>所需的负压吸收装置。（槽车出料切断阀不建议使用球阀）</w:t>
            </w:r>
          </w:p>
          <w:p>
            <w:pPr>
              <w:widowControl/>
              <w:kinsoku w:val="0"/>
              <w:autoSpaceDE w:val="0"/>
              <w:autoSpaceDN w:val="0"/>
              <w:adjustRightInd w:val="0"/>
              <w:snapToGrid w:val="0"/>
              <w:spacing w:line="219" w:lineRule="auto"/>
              <w:ind w:left="116"/>
              <w:jc w:val="left"/>
              <w:textAlignment w:val="baseline"/>
              <w:rPr>
                <w:rFonts w:hint="eastAsia" w:ascii="宋体" w:hAnsi="宋体" w:eastAsia="宋体" w:cs="宋体"/>
                <w:snapToGrid w:val="0"/>
                <w:color w:val="auto"/>
                <w:kern w:val="0"/>
                <w:szCs w:val="21"/>
              </w:rPr>
            </w:pPr>
            <w:r>
              <w:rPr>
                <w:rFonts w:ascii="宋体" w:hAnsi="宋体" w:eastAsia="宋体" w:cs="宋体"/>
                <w:snapToGrid w:val="0"/>
                <w:color w:val="auto"/>
                <w:spacing w:val="-1"/>
                <w:kern w:val="0"/>
                <w:szCs w:val="21"/>
              </w:rPr>
              <w:t>3.应就近配备淋浴洗眼设施、急救药品等。</w:t>
            </w:r>
          </w:p>
        </w:tc>
        <w:tc>
          <w:tcPr>
            <w:tcW w:w="2409" w:type="dxa"/>
          </w:tcPr>
          <w:p>
            <w:pPr>
              <w:spacing w:line="454" w:lineRule="auto"/>
              <w:rPr>
                <w:rFonts w:ascii="Calibri" w:hAnsi="Calibri" w:eastAsia="宋体" w:cs="Times New Roman"/>
                <w:color w:val="auto"/>
              </w:rPr>
            </w:pPr>
          </w:p>
          <w:p>
            <w:pPr>
              <w:widowControl/>
              <w:kinsoku w:val="0"/>
              <w:autoSpaceDE w:val="0"/>
              <w:autoSpaceDN w:val="0"/>
              <w:adjustRightInd w:val="0"/>
              <w:snapToGrid w:val="0"/>
              <w:spacing w:before="68" w:line="282" w:lineRule="auto"/>
              <w:ind w:left="116" w:right="624" w:hanging="1"/>
              <w:jc w:val="left"/>
              <w:textAlignment w:val="baseline"/>
              <w:rPr>
                <w:rFonts w:hint="eastAsia" w:ascii="宋体" w:hAnsi="宋体" w:eastAsia="宋体" w:cs="宋体"/>
                <w:snapToGrid w:val="0"/>
                <w:color w:val="auto"/>
                <w:kern w:val="0"/>
                <w:szCs w:val="21"/>
              </w:rPr>
            </w:pPr>
            <w:r>
              <w:rPr>
                <w:rFonts w:ascii="宋体" w:hAnsi="宋体" w:eastAsia="宋体" w:cs="宋体"/>
                <w:snapToGrid w:val="0"/>
                <w:color w:val="auto"/>
                <w:kern w:val="0"/>
                <w:szCs w:val="21"/>
              </w:rPr>
              <w:t xml:space="preserve">《氟化氢生产安全技术规范》（HG/T </w:t>
            </w:r>
            <w:r>
              <w:rPr>
                <w:rFonts w:ascii="宋体" w:hAnsi="宋体" w:eastAsia="宋体" w:cs="宋体"/>
                <w:snapToGrid w:val="0"/>
                <w:color w:val="auto"/>
                <w:spacing w:val="-1"/>
                <w:kern w:val="0"/>
                <w:szCs w:val="21"/>
              </w:rPr>
              <w:t>30033-</w:t>
            </w:r>
            <w:r>
              <w:rPr>
                <w:rFonts w:ascii="宋体" w:hAnsi="宋体" w:eastAsia="宋体" w:cs="宋体"/>
                <w:snapToGrid w:val="0"/>
                <w:color w:val="auto"/>
                <w:kern w:val="0"/>
                <w:szCs w:val="21"/>
              </w:rPr>
              <w:t xml:space="preserve"> </w:t>
            </w:r>
            <w:r>
              <w:rPr>
                <w:rFonts w:ascii="宋体" w:hAnsi="宋体" w:eastAsia="宋体" w:cs="宋体"/>
                <w:snapToGrid w:val="0"/>
                <w:color w:val="auto"/>
                <w:spacing w:val="-2"/>
                <w:kern w:val="0"/>
                <w:szCs w:val="21"/>
              </w:rPr>
              <w:t>2017）</w:t>
            </w:r>
          </w:p>
        </w:tc>
        <w:tc>
          <w:tcPr>
            <w:tcW w:w="1560" w:type="dxa"/>
          </w:tcPr>
          <w:p>
            <w:pPr>
              <w:spacing w:line="304" w:lineRule="auto"/>
              <w:rPr>
                <w:rFonts w:ascii="Calibri" w:hAnsi="Calibri" w:eastAsia="宋体" w:cs="Times New Roman"/>
                <w:color w:val="auto"/>
              </w:rPr>
            </w:pPr>
          </w:p>
          <w:p>
            <w:pPr>
              <w:spacing w:line="305" w:lineRule="auto"/>
              <w:rPr>
                <w:rFonts w:ascii="Calibri" w:hAnsi="Calibri" w:eastAsia="宋体" w:cs="Times New Roman"/>
                <w:color w:val="auto"/>
              </w:rPr>
            </w:pPr>
          </w:p>
          <w:p>
            <w:pPr>
              <w:widowControl/>
              <w:kinsoku w:val="0"/>
              <w:autoSpaceDE w:val="0"/>
              <w:autoSpaceDN w:val="0"/>
              <w:adjustRightInd w:val="0"/>
              <w:snapToGrid w:val="0"/>
              <w:spacing w:before="68" w:line="221" w:lineRule="auto"/>
              <w:ind w:left="115"/>
              <w:jc w:val="left"/>
              <w:textAlignment w:val="baseline"/>
              <w:rPr>
                <w:rFonts w:hint="eastAsia" w:ascii="宋体" w:hAnsi="宋体" w:eastAsia="宋体" w:cs="宋体"/>
                <w:snapToGrid w:val="0"/>
                <w:color w:val="auto"/>
                <w:kern w:val="0"/>
                <w:szCs w:val="21"/>
                <w:lang w:eastAsia="en-US"/>
              </w:rPr>
            </w:pPr>
            <w:r>
              <w:rPr>
                <w:rFonts w:ascii="宋体" w:hAnsi="宋体" w:eastAsia="宋体" w:cs="宋体"/>
                <w:snapToGrid w:val="0"/>
                <w:color w:val="auto"/>
                <w:spacing w:val="-2"/>
                <w:kern w:val="0"/>
                <w:szCs w:val="21"/>
                <w:lang w:eastAsia="en-US"/>
              </w:rPr>
              <w:t>查现场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85" w:type="dxa"/>
          </w:tcPr>
          <w:p>
            <w:pPr>
              <w:jc w:val="center"/>
              <w:rPr>
                <w:rFonts w:ascii="Times New Roman" w:hAnsi="Times New Roman" w:eastAsia="宋体" w:cs="Times New Roman"/>
                <w:color w:val="auto"/>
                <w:szCs w:val="21"/>
              </w:rPr>
            </w:pPr>
          </w:p>
        </w:tc>
        <w:tc>
          <w:tcPr>
            <w:tcW w:w="737"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4"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7</w:t>
            </w:r>
          </w:p>
        </w:tc>
        <w:tc>
          <w:tcPr>
            <w:tcW w:w="2268" w:type="dxa"/>
          </w:tcPr>
          <w:p>
            <w:pPr>
              <w:widowControl/>
              <w:kinsoku w:val="0"/>
              <w:autoSpaceDE w:val="0"/>
              <w:autoSpaceDN w:val="0"/>
              <w:adjustRightInd w:val="0"/>
              <w:snapToGrid w:val="0"/>
              <w:spacing w:before="58" w:line="246" w:lineRule="auto"/>
              <w:ind w:left="124" w:right="131" w:hanging="12"/>
              <w:jc w:val="left"/>
              <w:textAlignment w:val="baseline"/>
              <w:rPr>
                <w:rFonts w:hint="eastAsia" w:ascii="宋体" w:hAnsi="宋体" w:eastAsia="宋体" w:cs="宋体"/>
                <w:snapToGrid w:val="0"/>
                <w:color w:val="auto"/>
                <w:kern w:val="0"/>
                <w:szCs w:val="21"/>
              </w:rPr>
            </w:pPr>
            <w:r>
              <w:rPr>
                <w:rFonts w:ascii="宋体" w:hAnsi="宋体" w:eastAsia="宋体" w:cs="宋体"/>
                <w:snapToGrid w:val="0"/>
                <w:color w:val="auto"/>
                <w:spacing w:val="-1"/>
                <w:kern w:val="0"/>
                <w:szCs w:val="21"/>
              </w:rPr>
              <w:t>作业现场装卸、取样、开关阀门等操作人员应</w:t>
            </w:r>
            <w:r>
              <w:rPr>
                <w:rFonts w:ascii="宋体" w:hAnsi="宋体" w:eastAsia="宋体" w:cs="宋体"/>
                <w:snapToGrid w:val="0"/>
                <w:color w:val="auto"/>
                <w:spacing w:val="-2"/>
                <w:kern w:val="0"/>
                <w:szCs w:val="21"/>
              </w:rPr>
              <w:t>该佩戴防护面屏、</w:t>
            </w:r>
            <w:r>
              <w:rPr>
                <w:rFonts w:ascii="宋体" w:hAnsi="宋体" w:eastAsia="宋体" w:cs="宋体"/>
                <w:snapToGrid w:val="0"/>
                <w:color w:val="auto"/>
                <w:spacing w:val="-4"/>
                <w:kern w:val="0"/>
                <w:szCs w:val="21"/>
              </w:rPr>
              <w:t>防酸碱轻型防护服。</w:t>
            </w:r>
          </w:p>
        </w:tc>
        <w:tc>
          <w:tcPr>
            <w:tcW w:w="2409" w:type="dxa"/>
          </w:tcPr>
          <w:p>
            <w:pPr>
              <w:widowControl/>
              <w:kinsoku w:val="0"/>
              <w:autoSpaceDE w:val="0"/>
              <w:autoSpaceDN w:val="0"/>
              <w:adjustRightInd w:val="0"/>
              <w:snapToGrid w:val="0"/>
              <w:spacing w:before="58" w:line="246" w:lineRule="auto"/>
              <w:ind w:left="116" w:right="624" w:hanging="1"/>
              <w:jc w:val="left"/>
              <w:textAlignment w:val="baseline"/>
              <w:rPr>
                <w:rFonts w:hint="eastAsia" w:ascii="宋体" w:hAnsi="宋体" w:eastAsia="宋体" w:cs="宋体"/>
                <w:snapToGrid w:val="0"/>
                <w:color w:val="auto"/>
                <w:kern w:val="0"/>
                <w:szCs w:val="21"/>
              </w:rPr>
            </w:pPr>
            <w:r>
              <w:rPr>
                <w:rFonts w:ascii="宋体" w:hAnsi="宋体" w:eastAsia="宋体" w:cs="宋体"/>
                <w:snapToGrid w:val="0"/>
                <w:color w:val="auto"/>
                <w:kern w:val="0"/>
                <w:szCs w:val="21"/>
              </w:rPr>
              <w:t xml:space="preserve">《氟化氢生产安全技术规范》（HG/T </w:t>
            </w:r>
            <w:r>
              <w:rPr>
                <w:rFonts w:ascii="宋体" w:hAnsi="宋体" w:eastAsia="宋体" w:cs="宋体"/>
                <w:snapToGrid w:val="0"/>
                <w:color w:val="auto"/>
                <w:spacing w:val="-1"/>
                <w:kern w:val="0"/>
                <w:szCs w:val="21"/>
              </w:rPr>
              <w:t>30033-</w:t>
            </w:r>
            <w:r>
              <w:rPr>
                <w:rFonts w:ascii="宋体" w:hAnsi="宋体" w:eastAsia="宋体" w:cs="宋体"/>
                <w:snapToGrid w:val="0"/>
                <w:color w:val="auto"/>
                <w:kern w:val="0"/>
                <w:szCs w:val="21"/>
              </w:rPr>
              <w:t xml:space="preserve"> </w:t>
            </w:r>
            <w:r>
              <w:rPr>
                <w:rFonts w:ascii="宋体" w:hAnsi="宋体" w:eastAsia="宋体" w:cs="宋体"/>
                <w:snapToGrid w:val="0"/>
                <w:color w:val="auto"/>
                <w:spacing w:val="-2"/>
                <w:kern w:val="0"/>
                <w:szCs w:val="21"/>
              </w:rPr>
              <w:t>2017）</w:t>
            </w:r>
          </w:p>
        </w:tc>
        <w:tc>
          <w:tcPr>
            <w:tcW w:w="1560" w:type="dxa"/>
          </w:tcPr>
          <w:p>
            <w:pPr>
              <w:widowControl/>
              <w:kinsoku w:val="0"/>
              <w:autoSpaceDE w:val="0"/>
              <w:autoSpaceDN w:val="0"/>
              <w:adjustRightInd w:val="0"/>
              <w:snapToGrid w:val="0"/>
              <w:spacing w:before="213" w:line="221" w:lineRule="auto"/>
              <w:ind w:left="115"/>
              <w:jc w:val="left"/>
              <w:textAlignment w:val="baseline"/>
              <w:rPr>
                <w:rFonts w:hint="eastAsia" w:ascii="宋体" w:hAnsi="宋体" w:eastAsia="宋体" w:cs="宋体"/>
                <w:snapToGrid w:val="0"/>
                <w:color w:val="auto"/>
                <w:kern w:val="0"/>
                <w:szCs w:val="21"/>
                <w:lang w:eastAsia="en-US"/>
              </w:rPr>
            </w:pPr>
            <w:r>
              <w:rPr>
                <w:rFonts w:ascii="宋体" w:hAnsi="宋体" w:eastAsia="宋体" w:cs="宋体"/>
                <w:snapToGrid w:val="0"/>
                <w:color w:val="auto"/>
                <w:spacing w:val="-2"/>
                <w:kern w:val="0"/>
                <w:szCs w:val="21"/>
                <w:lang w:eastAsia="en-US"/>
              </w:rPr>
              <w:t>查现场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85" w:type="dxa"/>
          </w:tcPr>
          <w:p>
            <w:pPr>
              <w:jc w:val="center"/>
              <w:rPr>
                <w:rFonts w:ascii="Times New Roman" w:hAnsi="Times New Roman" w:eastAsia="宋体" w:cs="Times New Roman"/>
                <w:color w:val="auto"/>
                <w:szCs w:val="21"/>
              </w:rPr>
            </w:pPr>
          </w:p>
        </w:tc>
        <w:tc>
          <w:tcPr>
            <w:tcW w:w="737" w:type="dxa"/>
          </w:tcPr>
          <w:p>
            <w:pPr>
              <w:jc w:val="center"/>
              <w:rPr>
                <w:rFonts w:ascii="Times New Roman" w:hAnsi="Times New Roman" w:eastAsia="宋体" w:cs="Times New Roman"/>
                <w:color w:val="auto"/>
                <w:szCs w:val="21"/>
              </w:rPr>
            </w:pPr>
          </w:p>
        </w:tc>
      </w:tr>
      <w:bookmarkEnd w:id="127"/>
      <w:bookmarkEnd w:id="128"/>
    </w:tbl>
    <w:p>
      <w:pPr>
        <w:jc w:val="left"/>
        <w:rPr>
          <w:rFonts w:hint="eastAsia" w:ascii="宋体" w:hAnsi="宋体" w:eastAsia="宋体"/>
          <w:color w:val="auto"/>
          <w:sz w:val="28"/>
          <w:szCs w:val="28"/>
        </w:rPr>
      </w:pPr>
    </w:p>
    <w:bookmarkEnd w:id="125"/>
    <w:bookmarkEnd w:id="126"/>
    <w:p>
      <w:pPr>
        <w:jc w:val="left"/>
        <w:outlineLvl w:val="1"/>
        <w:rPr>
          <w:rFonts w:hint="eastAsia" w:ascii="宋体" w:hAnsi="宋体" w:eastAsia="宋体"/>
          <w:b/>
          <w:bCs/>
          <w:color w:val="auto"/>
          <w:sz w:val="30"/>
          <w:szCs w:val="30"/>
        </w:rPr>
      </w:pPr>
      <w:r>
        <w:rPr>
          <w:rFonts w:ascii="宋体" w:hAnsi="宋体" w:eastAsia="宋体"/>
          <w:color w:val="auto"/>
          <w:sz w:val="28"/>
          <w:szCs w:val="28"/>
        </w:rPr>
        <w:br w:type="page"/>
      </w:r>
      <w:bookmarkStart w:id="129" w:name="_Toc237556469"/>
      <w:r>
        <w:rPr>
          <w:rFonts w:hint="eastAsia" w:ascii="宋体" w:hAnsi="宋体" w:eastAsia="宋体"/>
          <w:b/>
          <w:bCs/>
          <w:color w:val="auto"/>
          <w:sz w:val="30"/>
          <w:szCs w:val="30"/>
        </w:rPr>
        <w:t>附件5-8</w:t>
      </w:r>
      <w:r>
        <w:rPr>
          <w:rFonts w:ascii="宋体" w:hAnsi="宋体" w:eastAsia="宋体"/>
          <w:b/>
          <w:bCs/>
          <w:color w:val="auto"/>
          <w:sz w:val="30"/>
          <w:szCs w:val="30"/>
        </w:rPr>
        <w:t>：</w:t>
      </w:r>
      <w:r>
        <w:rPr>
          <w:rFonts w:hint="eastAsia" w:ascii="宋体" w:hAnsi="宋体" w:eastAsia="宋体"/>
          <w:b/>
          <w:bCs/>
          <w:color w:val="auto"/>
          <w:sz w:val="30"/>
          <w:szCs w:val="30"/>
        </w:rPr>
        <w:t>焦化</w:t>
      </w:r>
      <w:r>
        <w:rPr>
          <w:rFonts w:ascii="宋体" w:hAnsi="宋体" w:eastAsia="宋体"/>
          <w:b/>
          <w:bCs/>
          <w:color w:val="auto"/>
          <w:sz w:val="30"/>
          <w:szCs w:val="30"/>
        </w:rPr>
        <w:t>企业检查表</w:t>
      </w:r>
      <w:bookmarkEnd w:id="129"/>
    </w:p>
    <w:tbl>
      <w:tblPr>
        <w:tblStyle w:val="5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7"/>
        <w:gridCol w:w="2430"/>
        <w:gridCol w:w="2409"/>
        <w:gridCol w:w="1560"/>
        <w:gridCol w:w="1984"/>
        <w:gridCol w:w="1843"/>
        <w:gridCol w:w="2785"/>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序号</w:t>
            </w:r>
          </w:p>
        </w:tc>
        <w:tc>
          <w:tcPr>
            <w:tcW w:w="2430"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检查内容</w:t>
            </w:r>
          </w:p>
        </w:tc>
        <w:tc>
          <w:tcPr>
            <w:tcW w:w="2409"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检查依据</w:t>
            </w:r>
          </w:p>
        </w:tc>
        <w:tc>
          <w:tcPr>
            <w:tcW w:w="1560"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检查方式</w:t>
            </w:r>
          </w:p>
        </w:tc>
        <w:tc>
          <w:tcPr>
            <w:tcW w:w="1984"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检查情况</w:t>
            </w:r>
          </w:p>
        </w:tc>
        <w:tc>
          <w:tcPr>
            <w:tcW w:w="1843"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检查问题</w:t>
            </w:r>
          </w:p>
        </w:tc>
        <w:tc>
          <w:tcPr>
            <w:tcW w:w="2785"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整改建议</w:t>
            </w:r>
          </w:p>
        </w:tc>
        <w:tc>
          <w:tcPr>
            <w:tcW w:w="737"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重大</w:t>
            </w:r>
          </w:p>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隐患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1</w:t>
            </w:r>
          </w:p>
        </w:tc>
        <w:tc>
          <w:tcPr>
            <w:tcW w:w="2430" w:type="dxa"/>
          </w:tcPr>
          <w:p>
            <w:pPr>
              <w:rPr>
                <w:rFonts w:hint="eastAsia" w:ascii="宋体" w:hAnsi="宋体" w:eastAsia="宋体" w:cs="宋体"/>
                <w:color w:val="auto"/>
                <w:szCs w:val="21"/>
              </w:rPr>
            </w:pPr>
            <w:r>
              <w:rPr>
                <w:rFonts w:ascii="宋体" w:hAnsi="宋体" w:eastAsia="宋体" w:cs="宋体"/>
                <w:color w:val="auto"/>
                <w:spacing w:val="-1"/>
                <w:szCs w:val="21"/>
              </w:rPr>
              <w:t>煤气净化区域应布置在焦炉的机侧或一端,其建(构)筑物最外边缘距焦炉炉体边缘不应小于40m</w:t>
            </w:r>
            <w:r>
              <w:rPr>
                <w:rFonts w:ascii="宋体" w:hAnsi="宋体" w:eastAsia="宋体" w:cs="宋体"/>
                <w:color w:val="auto"/>
                <w:szCs w:val="21"/>
              </w:rPr>
              <w:t>。粗苯加工区域不应布置在焦化企业的中心地带,所属建(构)筑物边缘与焦炉炉体之间的距离不</w:t>
            </w:r>
          </w:p>
          <w:p>
            <w:pPr>
              <w:jc w:val="center"/>
              <w:rPr>
                <w:rFonts w:ascii="Times New Roman" w:hAnsi="Times New Roman" w:eastAsia="宋体" w:cs="Times New Roman"/>
                <w:b/>
                <w:color w:val="auto"/>
                <w:szCs w:val="21"/>
              </w:rPr>
            </w:pPr>
            <w:r>
              <w:rPr>
                <w:rFonts w:ascii="宋体" w:hAnsi="宋体" w:eastAsia="宋体" w:cs="宋体"/>
                <w:color w:val="auto"/>
                <w:szCs w:val="21"/>
              </w:rPr>
              <w:t>应小于50m.</w:t>
            </w:r>
          </w:p>
        </w:tc>
        <w:tc>
          <w:tcPr>
            <w:tcW w:w="2409" w:type="dxa"/>
          </w:tcPr>
          <w:p>
            <w:pPr>
              <w:jc w:val="center"/>
              <w:rPr>
                <w:rFonts w:ascii="Times New Roman" w:hAnsi="Times New Roman" w:eastAsia="宋体" w:cs="Times New Roman"/>
                <w:b/>
                <w:color w:val="auto"/>
                <w:szCs w:val="21"/>
              </w:rPr>
            </w:pPr>
            <w:r>
              <w:rPr>
                <w:rFonts w:ascii="宋体" w:hAnsi="宋体" w:eastAsia="宋体" w:cs="宋体"/>
                <w:color w:val="auto"/>
                <w:spacing w:val="6"/>
                <w:szCs w:val="21"/>
              </w:rPr>
              <w:t>《焦化安</w:t>
            </w:r>
            <w:r>
              <w:rPr>
                <w:rFonts w:ascii="宋体" w:hAnsi="宋体" w:eastAsia="宋体" w:cs="宋体"/>
                <w:color w:val="auto"/>
                <w:spacing w:val="5"/>
                <w:szCs w:val="21"/>
              </w:rPr>
              <w:t>全</w:t>
            </w:r>
            <w:r>
              <w:rPr>
                <w:rFonts w:ascii="宋体" w:hAnsi="宋体" w:eastAsia="宋体" w:cs="宋体"/>
                <w:color w:val="auto"/>
                <w:spacing w:val="3"/>
                <w:szCs w:val="21"/>
              </w:rPr>
              <w:t>规程》(</w:t>
            </w:r>
            <w:r>
              <w:rPr>
                <w:rFonts w:ascii="宋体" w:hAnsi="宋体" w:eastAsia="宋体" w:cs="宋体"/>
                <w:color w:val="auto"/>
                <w:szCs w:val="21"/>
              </w:rPr>
              <w:t>GB</w:t>
            </w:r>
            <w:r>
              <w:rPr>
                <w:rFonts w:ascii="宋体" w:hAnsi="宋体" w:eastAsia="宋体" w:cs="宋体"/>
                <w:color w:val="auto"/>
                <w:spacing w:val="3"/>
                <w:szCs w:val="21"/>
              </w:rPr>
              <w:t>12710-2024) 5.2.2、5.2.4</w:t>
            </w:r>
          </w:p>
        </w:tc>
        <w:tc>
          <w:tcPr>
            <w:tcW w:w="1560" w:type="dxa"/>
          </w:tcPr>
          <w:p>
            <w:pPr>
              <w:jc w:val="center"/>
              <w:rPr>
                <w:rFonts w:ascii="Times New Roman" w:hAnsi="Times New Roman" w:eastAsia="宋体" w:cs="Times New Roman"/>
                <w:b/>
                <w:color w:val="auto"/>
                <w:szCs w:val="21"/>
              </w:rPr>
            </w:pPr>
            <w:r>
              <w:rPr>
                <w:rFonts w:ascii="宋体" w:hAnsi="宋体" w:eastAsia="宋体" w:cs="宋体"/>
                <w:color w:val="auto"/>
                <w:spacing w:val="-2"/>
                <w:szCs w:val="21"/>
              </w:rPr>
              <w:t>查现</w:t>
            </w:r>
            <w:r>
              <w:rPr>
                <w:rFonts w:ascii="宋体" w:hAnsi="宋体" w:eastAsia="宋体" w:cs="宋体"/>
                <w:color w:val="auto"/>
                <w:spacing w:val="-1"/>
                <w:szCs w:val="21"/>
              </w:rPr>
              <w:t>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2</w:t>
            </w:r>
          </w:p>
        </w:tc>
        <w:tc>
          <w:tcPr>
            <w:tcW w:w="2430" w:type="dxa"/>
          </w:tcPr>
          <w:p>
            <w:pPr>
              <w:rPr>
                <w:rFonts w:hint="eastAsia" w:ascii="宋体" w:hAnsi="宋体" w:eastAsia="宋体" w:cs="宋体"/>
                <w:color w:val="auto"/>
                <w:spacing w:val="-1"/>
                <w:szCs w:val="21"/>
              </w:rPr>
            </w:pPr>
            <w:r>
              <w:rPr>
                <w:rFonts w:ascii="宋体" w:hAnsi="宋体" w:eastAsia="宋体" w:cs="宋体"/>
                <w:color w:val="auto"/>
                <w:spacing w:val="-1"/>
                <w:szCs w:val="21"/>
              </w:rPr>
              <w:t>生产厂房、装置及库房的安全出口或疏散通道的设置应符合 GB50016、GB50160的规定。布置在装置区内控制室、机柜间、配电室等,面向火灾危险性设备一侧的外墙,不应设门窗洞口,且应采用耐GB12710—2024火极限不低于3.00h的不燃材料实体墙。</w:t>
            </w:r>
          </w:p>
        </w:tc>
        <w:tc>
          <w:tcPr>
            <w:tcW w:w="2409" w:type="dxa"/>
          </w:tcPr>
          <w:p>
            <w:pPr>
              <w:jc w:val="center"/>
              <w:rPr>
                <w:rFonts w:hint="eastAsia" w:ascii="宋体" w:hAnsi="宋体" w:eastAsia="宋体" w:cs="宋体"/>
                <w:color w:val="auto"/>
                <w:spacing w:val="6"/>
                <w:szCs w:val="21"/>
              </w:rPr>
            </w:pPr>
            <w:r>
              <w:rPr>
                <w:rFonts w:ascii="宋体" w:hAnsi="宋体" w:eastAsia="宋体" w:cs="宋体"/>
                <w:color w:val="auto"/>
                <w:spacing w:val="6"/>
                <w:szCs w:val="21"/>
              </w:rPr>
              <w:t>《焦化安全</w:t>
            </w:r>
            <w:r>
              <w:rPr>
                <w:rFonts w:ascii="宋体" w:hAnsi="宋体" w:eastAsia="宋体" w:cs="宋体"/>
                <w:color w:val="auto"/>
                <w:spacing w:val="5"/>
                <w:szCs w:val="21"/>
              </w:rPr>
              <w:t>规</w:t>
            </w:r>
            <w:r>
              <w:rPr>
                <w:rFonts w:ascii="宋体" w:hAnsi="宋体" w:eastAsia="宋体" w:cs="宋体"/>
                <w:color w:val="auto"/>
                <w:spacing w:val="3"/>
                <w:szCs w:val="21"/>
              </w:rPr>
              <w:t>程》(</w:t>
            </w:r>
            <w:r>
              <w:rPr>
                <w:rFonts w:ascii="宋体" w:hAnsi="宋体" w:eastAsia="宋体" w:cs="宋体"/>
                <w:color w:val="auto"/>
                <w:szCs w:val="21"/>
              </w:rPr>
              <w:t>GB</w:t>
            </w:r>
            <w:r>
              <w:rPr>
                <w:rFonts w:ascii="宋体" w:hAnsi="宋体" w:eastAsia="宋体" w:cs="宋体"/>
                <w:color w:val="auto"/>
                <w:spacing w:val="3"/>
                <w:szCs w:val="21"/>
              </w:rPr>
              <w:t>12710-2024) 5.3.6</w:t>
            </w:r>
          </w:p>
        </w:tc>
        <w:tc>
          <w:tcPr>
            <w:tcW w:w="1560" w:type="dxa"/>
          </w:tcPr>
          <w:p>
            <w:pPr>
              <w:jc w:val="center"/>
              <w:rPr>
                <w:rFonts w:hint="eastAsia" w:ascii="宋体" w:hAnsi="宋体" w:eastAsia="宋体" w:cs="宋体"/>
                <w:color w:val="auto"/>
                <w:spacing w:val="-2"/>
                <w:szCs w:val="21"/>
              </w:rPr>
            </w:pPr>
            <w:r>
              <w:rPr>
                <w:rFonts w:ascii="宋体" w:hAnsi="宋体" w:eastAsia="宋体" w:cs="宋体"/>
                <w:color w:val="auto"/>
                <w:spacing w:val="-2"/>
                <w:szCs w:val="21"/>
              </w:rPr>
              <w:t>查</w:t>
            </w:r>
            <w:r>
              <w:rPr>
                <w:rFonts w:ascii="宋体" w:hAnsi="宋体" w:eastAsia="宋体" w:cs="宋体"/>
                <w:color w:val="auto"/>
                <w:spacing w:val="-1"/>
                <w:szCs w:val="21"/>
              </w:rPr>
              <w:t>设计、现场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97"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3</w:t>
            </w:r>
          </w:p>
        </w:tc>
        <w:tc>
          <w:tcPr>
            <w:tcW w:w="2430" w:type="dxa"/>
          </w:tcPr>
          <w:p>
            <w:pPr>
              <w:rPr>
                <w:rFonts w:hint="eastAsia" w:ascii="宋体" w:hAnsi="宋体" w:eastAsia="宋体" w:cs="宋体"/>
                <w:color w:val="auto"/>
                <w:spacing w:val="-1"/>
                <w:szCs w:val="21"/>
              </w:rPr>
            </w:pPr>
            <w:r>
              <w:rPr>
                <w:rFonts w:ascii="宋体" w:hAnsi="宋体" w:eastAsia="宋体" w:cs="宋体"/>
                <w:color w:val="auto"/>
                <w:spacing w:val="-1"/>
                <w:szCs w:val="21"/>
              </w:rPr>
              <w:t>焦化企业爆炸危险环境区域的划分,应符合 GB50058的规定。爆炸危险环境区域划分应根据释放源的种类和性质确定,其中主要室内、外爆炸危险环境区域划分见表3、表4。</w:t>
            </w:r>
          </w:p>
        </w:tc>
        <w:tc>
          <w:tcPr>
            <w:tcW w:w="2409" w:type="dxa"/>
          </w:tcPr>
          <w:p>
            <w:pPr>
              <w:jc w:val="center"/>
              <w:rPr>
                <w:rFonts w:hint="eastAsia" w:ascii="宋体" w:hAnsi="宋体" w:eastAsia="宋体" w:cs="宋体"/>
                <w:color w:val="auto"/>
                <w:spacing w:val="6"/>
                <w:szCs w:val="21"/>
              </w:rPr>
            </w:pPr>
            <w:r>
              <w:rPr>
                <w:rFonts w:ascii="宋体" w:hAnsi="宋体" w:eastAsia="宋体" w:cs="宋体"/>
                <w:color w:val="auto"/>
                <w:spacing w:val="6"/>
                <w:szCs w:val="21"/>
              </w:rPr>
              <w:t>《焦化安全规程》(GB12710-2024) 6.1.1</w:t>
            </w:r>
          </w:p>
        </w:tc>
        <w:tc>
          <w:tcPr>
            <w:tcW w:w="1560" w:type="dxa"/>
          </w:tcPr>
          <w:p>
            <w:pPr>
              <w:jc w:val="center"/>
              <w:rPr>
                <w:rFonts w:hint="eastAsia" w:ascii="宋体" w:hAnsi="宋体" w:eastAsia="宋体" w:cs="宋体"/>
                <w:color w:val="auto"/>
                <w:spacing w:val="-2"/>
                <w:szCs w:val="21"/>
              </w:rPr>
            </w:pPr>
            <w:r>
              <w:rPr>
                <w:rFonts w:ascii="宋体" w:hAnsi="宋体" w:eastAsia="宋体" w:cs="宋体"/>
                <w:color w:val="auto"/>
                <w:spacing w:val="-2"/>
                <w:szCs w:val="21"/>
              </w:rPr>
              <w:t>查设计、现场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4</w:t>
            </w:r>
          </w:p>
        </w:tc>
        <w:tc>
          <w:tcPr>
            <w:tcW w:w="2430" w:type="dxa"/>
          </w:tcPr>
          <w:p>
            <w:pPr>
              <w:rPr>
                <w:rFonts w:hint="eastAsia" w:ascii="宋体" w:hAnsi="宋体" w:eastAsia="宋体" w:cs="宋体"/>
                <w:color w:val="auto"/>
                <w:spacing w:val="-1"/>
                <w:szCs w:val="21"/>
              </w:rPr>
            </w:pPr>
            <w:r>
              <w:rPr>
                <w:rFonts w:ascii="宋体" w:hAnsi="宋体" w:eastAsia="宋体" w:cs="宋体"/>
                <w:color w:val="auto"/>
                <w:spacing w:val="-8"/>
                <w:szCs w:val="21"/>
              </w:rPr>
              <w:t>在爆炸危险环境内应采用铜芯电缆,电缆不应有铜芯裸露和接头。所有导线和电缆,应定期做绝缘试验;采用架空、桥架敷设电缆时,应采用阻燃电缆</w:t>
            </w:r>
            <w:r>
              <w:rPr>
                <w:rFonts w:ascii="宋体" w:hAnsi="宋体" w:eastAsia="宋体" w:cs="宋体"/>
                <w:color w:val="auto"/>
                <w:spacing w:val="-4"/>
                <w:szCs w:val="21"/>
              </w:rPr>
              <w:t>。</w:t>
            </w:r>
          </w:p>
        </w:tc>
        <w:tc>
          <w:tcPr>
            <w:tcW w:w="2409" w:type="dxa"/>
          </w:tcPr>
          <w:p>
            <w:pPr>
              <w:jc w:val="center"/>
              <w:rPr>
                <w:rFonts w:hint="eastAsia" w:ascii="宋体" w:hAnsi="宋体" w:eastAsia="宋体" w:cs="宋体"/>
                <w:color w:val="auto"/>
                <w:spacing w:val="6"/>
                <w:szCs w:val="21"/>
              </w:rPr>
            </w:pPr>
            <w:r>
              <w:rPr>
                <w:rFonts w:ascii="宋体" w:hAnsi="宋体" w:eastAsia="宋体" w:cs="宋体"/>
                <w:color w:val="auto"/>
                <w:spacing w:val="4"/>
                <w:szCs w:val="21"/>
              </w:rPr>
              <w:t>《焦化安全规程》(</w:t>
            </w:r>
            <w:r>
              <w:rPr>
                <w:rFonts w:ascii="宋体" w:hAnsi="宋体" w:eastAsia="宋体" w:cs="宋体"/>
                <w:color w:val="auto"/>
                <w:szCs w:val="21"/>
              </w:rPr>
              <w:t>GB</w:t>
            </w:r>
            <w:r>
              <w:rPr>
                <w:rFonts w:ascii="宋体" w:hAnsi="宋体" w:eastAsia="宋体" w:cs="宋体"/>
                <w:color w:val="auto"/>
                <w:spacing w:val="4"/>
                <w:szCs w:val="21"/>
              </w:rPr>
              <w:t>12710-2024) 6.1</w:t>
            </w:r>
            <w:r>
              <w:rPr>
                <w:rFonts w:ascii="宋体" w:hAnsi="宋体" w:eastAsia="宋体" w:cs="宋体"/>
                <w:color w:val="auto"/>
                <w:spacing w:val="2"/>
                <w:szCs w:val="21"/>
              </w:rPr>
              <w:t>.</w:t>
            </w:r>
            <w:r>
              <w:rPr>
                <w:rFonts w:ascii="宋体" w:hAnsi="宋体" w:eastAsia="宋体" w:cs="宋体"/>
                <w:color w:val="auto"/>
                <w:szCs w:val="21"/>
              </w:rPr>
              <w:t>12</w:t>
            </w:r>
          </w:p>
        </w:tc>
        <w:tc>
          <w:tcPr>
            <w:tcW w:w="1560" w:type="dxa"/>
          </w:tcPr>
          <w:p>
            <w:pPr>
              <w:jc w:val="center"/>
              <w:rPr>
                <w:rFonts w:hint="eastAsia" w:ascii="宋体" w:hAnsi="宋体" w:eastAsia="宋体" w:cs="宋体"/>
                <w:color w:val="auto"/>
                <w:spacing w:val="-2"/>
                <w:szCs w:val="21"/>
              </w:rPr>
            </w:pPr>
            <w:r>
              <w:rPr>
                <w:rFonts w:ascii="宋体" w:hAnsi="宋体" w:eastAsia="宋体" w:cs="宋体"/>
                <w:color w:val="auto"/>
                <w:spacing w:val="-2"/>
                <w:szCs w:val="21"/>
              </w:rPr>
              <w:t>查现</w:t>
            </w:r>
            <w:r>
              <w:rPr>
                <w:rFonts w:ascii="宋体" w:hAnsi="宋体" w:eastAsia="宋体" w:cs="宋体"/>
                <w:color w:val="auto"/>
                <w:spacing w:val="-1"/>
                <w:szCs w:val="21"/>
              </w:rPr>
              <w:t>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5</w:t>
            </w:r>
          </w:p>
        </w:tc>
        <w:tc>
          <w:tcPr>
            <w:tcW w:w="2430" w:type="dxa"/>
          </w:tcPr>
          <w:p>
            <w:pPr>
              <w:rPr>
                <w:rFonts w:hint="eastAsia" w:ascii="宋体" w:hAnsi="宋体" w:eastAsia="宋体" w:cs="宋体"/>
                <w:color w:val="auto"/>
                <w:spacing w:val="-8"/>
                <w:szCs w:val="21"/>
              </w:rPr>
            </w:pPr>
            <w:r>
              <w:rPr>
                <w:rFonts w:ascii="宋体" w:hAnsi="宋体" w:eastAsia="宋体" w:cs="宋体"/>
                <w:color w:val="auto"/>
                <w:spacing w:val="-1"/>
                <w:szCs w:val="21"/>
              </w:rPr>
              <w:t>焦炉机械车辆、液压交换机、煤气鼓风机、循环氨水泵、大中型焦化企业的消防水泵房设备等应按一级负荷供电。</w:t>
            </w:r>
          </w:p>
        </w:tc>
        <w:tc>
          <w:tcPr>
            <w:tcW w:w="2409" w:type="dxa"/>
          </w:tcPr>
          <w:p>
            <w:pPr>
              <w:jc w:val="center"/>
              <w:rPr>
                <w:rFonts w:hint="eastAsia" w:ascii="宋体" w:hAnsi="宋体" w:eastAsia="宋体" w:cs="宋体"/>
                <w:color w:val="auto"/>
                <w:spacing w:val="-1"/>
                <w:position w:val="7"/>
                <w:szCs w:val="21"/>
              </w:rPr>
            </w:pPr>
            <w:r>
              <w:rPr>
                <w:rFonts w:ascii="宋体" w:hAnsi="宋体" w:eastAsia="宋体" w:cs="宋体"/>
                <w:color w:val="auto"/>
                <w:spacing w:val="-1"/>
                <w:position w:val="7"/>
                <w:szCs w:val="21"/>
              </w:rPr>
              <w:t>《焦化安全规程》(GB12710-2024)</w:t>
            </w:r>
          </w:p>
          <w:p>
            <w:pPr>
              <w:jc w:val="center"/>
              <w:rPr>
                <w:rFonts w:hint="eastAsia" w:ascii="宋体" w:hAnsi="宋体" w:eastAsia="宋体" w:cs="宋体"/>
                <w:color w:val="auto"/>
                <w:spacing w:val="4"/>
                <w:szCs w:val="21"/>
              </w:rPr>
            </w:pPr>
            <w:r>
              <w:rPr>
                <w:rFonts w:ascii="宋体" w:hAnsi="宋体" w:eastAsia="宋体" w:cs="宋体"/>
                <w:color w:val="auto"/>
                <w:spacing w:val="-1"/>
                <w:position w:val="7"/>
                <w:szCs w:val="21"/>
              </w:rPr>
              <w:t xml:space="preserve"> 6.1.14</w:t>
            </w:r>
          </w:p>
        </w:tc>
        <w:tc>
          <w:tcPr>
            <w:tcW w:w="1560" w:type="dxa"/>
          </w:tcPr>
          <w:p>
            <w:pPr>
              <w:spacing w:line="451" w:lineRule="auto"/>
              <w:rPr>
                <w:rFonts w:ascii="Calibri" w:hAnsi="Calibri" w:eastAsia="宋体" w:cs="Times New Roman"/>
                <w:color w:val="auto"/>
              </w:rPr>
            </w:pPr>
          </w:p>
          <w:p>
            <w:pPr>
              <w:jc w:val="center"/>
              <w:rPr>
                <w:rFonts w:hint="eastAsia" w:ascii="宋体" w:hAnsi="宋体" w:eastAsia="宋体" w:cs="宋体"/>
                <w:color w:val="auto"/>
                <w:spacing w:val="-2"/>
                <w:szCs w:val="21"/>
              </w:rPr>
            </w:pPr>
            <w:r>
              <w:rPr>
                <w:rFonts w:ascii="宋体" w:hAnsi="宋体" w:eastAsia="宋体" w:cs="宋体"/>
                <w:color w:val="auto"/>
                <w:spacing w:val="-2"/>
                <w:szCs w:val="21"/>
              </w:rPr>
              <w:t>查现</w:t>
            </w:r>
            <w:r>
              <w:rPr>
                <w:rFonts w:ascii="宋体" w:hAnsi="宋体" w:eastAsia="宋体" w:cs="宋体"/>
                <w:color w:val="auto"/>
                <w:spacing w:val="-1"/>
                <w:szCs w:val="21"/>
              </w:rPr>
              <w:t>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6</w:t>
            </w:r>
          </w:p>
        </w:tc>
        <w:tc>
          <w:tcPr>
            <w:tcW w:w="2430" w:type="dxa"/>
          </w:tcPr>
          <w:p>
            <w:pPr>
              <w:rPr>
                <w:rFonts w:hint="eastAsia" w:ascii="宋体" w:hAnsi="宋体" w:eastAsia="宋体" w:cs="宋体"/>
                <w:color w:val="auto"/>
                <w:spacing w:val="-8"/>
                <w:szCs w:val="21"/>
              </w:rPr>
            </w:pPr>
            <w:r>
              <w:rPr>
                <w:rFonts w:ascii="宋体" w:hAnsi="宋体" w:eastAsia="宋体" w:cs="宋体"/>
                <w:color w:val="auto"/>
                <w:spacing w:val="-1"/>
                <w:szCs w:val="21"/>
              </w:rPr>
              <w:t>消防用电设备应采用专用的供电回路,其配电设备应有明显标志。</w:t>
            </w:r>
          </w:p>
        </w:tc>
        <w:tc>
          <w:tcPr>
            <w:tcW w:w="2409" w:type="dxa"/>
          </w:tcPr>
          <w:p>
            <w:pPr>
              <w:jc w:val="center"/>
              <w:rPr>
                <w:rFonts w:hint="eastAsia" w:ascii="宋体" w:hAnsi="宋体" w:eastAsia="宋体" w:cs="宋体"/>
                <w:color w:val="auto"/>
                <w:spacing w:val="4"/>
                <w:szCs w:val="21"/>
              </w:rPr>
            </w:pPr>
            <w:r>
              <w:rPr>
                <w:rFonts w:ascii="宋体" w:hAnsi="宋体" w:eastAsia="宋体" w:cs="宋体"/>
                <w:color w:val="auto"/>
                <w:spacing w:val="8"/>
                <w:szCs w:val="21"/>
              </w:rPr>
              <w:t>《焦化安全规程》(GB12710-2024) 6.1.15</w:t>
            </w:r>
          </w:p>
        </w:tc>
        <w:tc>
          <w:tcPr>
            <w:tcW w:w="1560" w:type="dxa"/>
          </w:tcPr>
          <w:p>
            <w:pPr>
              <w:jc w:val="center"/>
              <w:rPr>
                <w:rFonts w:hint="eastAsia" w:ascii="宋体" w:hAnsi="宋体" w:eastAsia="宋体" w:cs="宋体"/>
                <w:color w:val="auto"/>
                <w:spacing w:val="-2"/>
                <w:szCs w:val="21"/>
              </w:rPr>
            </w:pPr>
            <w:r>
              <w:rPr>
                <w:rFonts w:ascii="宋体" w:hAnsi="宋体" w:eastAsia="宋体" w:cs="宋体"/>
                <w:color w:val="auto"/>
                <w:spacing w:val="-2"/>
                <w:szCs w:val="21"/>
              </w:rPr>
              <w:t>查现</w:t>
            </w:r>
            <w:r>
              <w:rPr>
                <w:rFonts w:ascii="宋体" w:hAnsi="宋体" w:eastAsia="宋体" w:cs="宋体"/>
                <w:color w:val="auto"/>
                <w:spacing w:val="-1"/>
                <w:szCs w:val="21"/>
              </w:rPr>
              <w:t>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97"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7</w:t>
            </w:r>
          </w:p>
        </w:tc>
        <w:tc>
          <w:tcPr>
            <w:tcW w:w="2430" w:type="dxa"/>
          </w:tcPr>
          <w:p>
            <w:pPr>
              <w:rPr>
                <w:rFonts w:hint="eastAsia" w:ascii="宋体" w:hAnsi="宋体" w:eastAsia="宋体" w:cs="宋体"/>
                <w:color w:val="auto"/>
                <w:spacing w:val="-1"/>
                <w:szCs w:val="21"/>
              </w:rPr>
            </w:pPr>
            <w:r>
              <w:rPr>
                <w:rFonts w:ascii="宋体" w:hAnsi="宋体" w:eastAsia="宋体" w:cs="宋体"/>
                <w:color w:val="auto"/>
                <w:spacing w:val="-1"/>
                <w:szCs w:val="21"/>
              </w:rPr>
              <w:t>各塔器、容器和管线的放散管，应符合下列规定：</w:t>
            </w:r>
          </w:p>
          <w:p>
            <w:pPr>
              <w:rPr>
                <w:rFonts w:hint="eastAsia" w:ascii="宋体" w:hAnsi="宋体" w:eastAsia="宋体" w:cs="宋体"/>
                <w:color w:val="auto"/>
                <w:spacing w:val="-1"/>
                <w:szCs w:val="21"/>
              </w:rPr>
            </w:pPr>
            <w:r>
              <w:rPr>
                <w:rFonts w:ascii="宋体" w:hAnsi="宋体" w:eastAsia="宋体" w:cs="宋体"/>
                <w:color w:val="auto"/>
                <w:spacing w:val="-1"/>
                <w:szCs w:val="21"/>
              </w:rPr>
              <w:t>a)建(构)筑物内设备和管线的放散管,应引出建(构)筑物外,且不危及人员安全;</w:t>
            </w:r>
          </w:p>
          <w:p>
            <w:pPr>
              <w:rPr>
                <w:rFonts w:hint="eastAsia" w:ascii="宋体" w:hAnsi="宋体" w:eastAsia="宋体" w:cs="宋体"/>
                <w:color w:val="auto"/>
                <w:spacing w:val="-1"/>
                <w:szCs w:val="21"/>
              </w:rPr>
            </w:pPr>
            <w:r>
              <w:rPr>
                <w:rFonts w:ascii="宋体" w:hAnsi="宋体" w:eastAsia="宋体" w:cs="宋体"/>
                <w:color w:val="auto"/>
                <w:spacing w:val="-1"/>
                <w:szCs w:val="21"/>
              </w:rPr>
              <w:t>b)室外设备的放散管,应高出本设备2m 以上,且高出相邻有人操作的最高设备操作平台2m以上;</w:t>
            </w:r>
          </w:p>
          <w:p>
            <w:pPr>
              <w:rPr>
                <w:rFonts w:hint="eastAsia" w:ascii="宋体" w:hAnsi="宋体" w:eastAsia="宋体" w:cs="宋体"/>
                <w:color w:val="auto"/>
                <w:spacing w:val="-1"/>
                <w:szCs w:val="21"/>
              </w:rPr>
            </w:pPr>
            <w:r>
              <w:rPr>
                <w:rFonts w:ascii="宋体" w:hAnsi="宋体" w:eastAsia="宋体" w:cs="宋体"/>
                <w:color w:val="auto"/>
                <w:spacing w:val="-1"/>
                <w:szCs w:val="21"/>
              </w:rPr>
              <w:t>c)煤气放散管应符合 GB6222的规定;</w:t>
            </w:r>
          </w:p>
          <w:p>
            <w:pPr>
              <w:rPr>
                <w:rFonts w:hint="eastAsia" w:ascii="宋体" w:hAnsi="宋体" w:eastAsia="宋体" w:cs="宋体"/>
                <w:color w:val="auto"/>
                <w:spacing w:val="-1"/>
                <w:szCs w:val="21"/>
              </w:rPr>
            </w:pPr>
            <w:r>
              <w:rPr>
                <w:rFonts w:ascii="宋体" w:hAnsi="宋体" w:eastAsia="宋体" w:cs="宋体"/>
                <w:color w:val="auto"/>
                <w:spacing w:val="-1"/>
                <w:szCs w:val="21"/>
              </w:rPr>
              <w:t>d)操作放散管时,应站在上风侧;</w:t>
            </w:r>
          </w:p>
          <w:p>
            <w:pPr>
              <w:rPr>
                <w:rFonts w:hint="eastAsia" w:ascii="宋体" w:hAnsi="宋体" w:eastAsia="宋体" w:cs="宋体"/>
                <w:color w:val="auto"/>
                <w:spacing w:val="-1"/>
                <w:szCs w:val="21"/>
              </w:rPr>
            </w:pPr>
            <w:r>
              <w:rPr>
                <w:rFonts w:ascii="宋体" w:hAnsi="宋体" w:eastAsia="宋体" w:cs="宋体"/>
                <w:color w:val="auto"/>
                <w:spacing w:val="-1"/>
                <w:szCs w:val="21"/>
              </w:rPr>
              <w:t>e)塔器、容器通蒸汽清扫时,不应关闭放散管。</w:t>
            </w:r>
          </w:p>
        </w:tc>
        <w:tc>
          <w:tcPr>
            <w:tcW w:w="2409" w:type="dxa"/>
          </w:tcPr>
          <w:p>
            <w:pPr>
              <w:spacing w:line="268" w:lineRule="auto"/>
              <w:rPr>
                <w:rFonts w:ascii="Calibri" w:hAnsi="Calibri" w:eastAsia="宋体" w:cs="Times New Roman"/>
                <w:color w:val="auto"/>
              </w:rPr>
            </w:pPr>
          </w:p>
          <w:p>
            <w:pPr>
              <w:spacing w:line="268" w:lineRule="auto"/>
              <w:rPr>
                <w:rFonts w:ascii="Calibri" w:hAnsi="Calibri" w:eastAsia="宋体" w:cs="Times New Roman"/>
                <w:color w:val="auto"/>
              </w:rPr>
            </w:pPr>
          </w:p>
          <w:p>
            <w:pPr>
              <w:spacing w:line="268" w:lineRule="auto"/>
              <w:rPr>
                <w:rFonts w:ascii="Calibri" w:hAnsi="Calibri" w:eastAsia="宋体" w:cs="Times New Roman"/>
                <w:color w:val="auto"/>
              </w:rPr>
            </w:pPr>
          </w:p>
          <w:p>
            <w:pPr>
              <w:spacing w:line="269" w:lineRule="auto"/>
              <w:rPr>
                <w:rFonts w:ascii="Calibri" w:hAnsi="Calibri" w:eastAsia="宋体" w:cs="Times New Roman"/>
                <w:color w:val="auto"/>
              </w:rPr>
            </w:pPr>
          </w:p>
          <w:p>
            <w:pPr>
              <w:jc w:val="center"/>
              <w:rPr>
                <w:rFonts w:hint="eastAsia" w:ascii="宋体" w:hAnsi="宋体" w:eastAsia="宋体" w:cs="宋体"/>
                <w:color w:val="auto"/>
                <w:spacing w:val="8"/>
                <w:szCs w:val="21"/>
              </w:rPr>
            </w:pPr>
            <w:r>
              <w:rPr>
                <w:rFonts w:ascii="宋体" w:hAnsi="宋体" w:eastAsia="宋体" w:cs="宋体"/>
                <w:color w:val="auto"/>
                <w:spacing w:val="4"/>
                <w:szCs w:val="21"/>
              </w:rPr>
              <w:t>《焦化安全规程》(</w:t>
            </w:r>
            <w:r>
              <w:rPr>
                <w:rFonts w:ascii="宋体" w:hAnsi="宋体" w:eastAsia="宋体" w:cs="宋体"/>
                <w:color w:val="auto"/>
                <w:szCs w:val="21"/>
              </w:rPr>
              <w:t>GB</w:t>
            </w:r>
            <w:r>
              <w:rPr>
                <w:rFonts w:ascii="宋体" w:hAnsi="宋体" w:eastAsia="宋体" w:cs="宋体"/>
                <w:color w:val="auto"/>
                <w:spacing w:val="4"/>
                <w:szCs w:val="21"/>
              </w:rPr>
              <w:t>12710-2024) 7.1</w:t>
            </w:r>
            <w:r>
              <w:rPr>
                <w:rFonts w:ascii="宋体" w:hAnsi="宋体" w:eastAsia="宋体" w:cs="宋体"/>
                <w:color w:val="auto"/>
                <w:spacing w:val="2"/>
                <w:szCs w:val="21"/>
              </w:rPr>
              <w:t>.</w:t>
            </w:r>
            <w:r>
              <w:rPr>
                <w:rFonts w:ascii="宋体" w:hAnsi="宋体" w:eastAsia="宋体" w:cs="宋体"/>
                <w:color w:val="auto"/>
                <w:szCs w:val="21"/>
              </w:rPr>
              <w:t>5</w:t>
            </w:r>
          </w:p>
        </w:tc>
        <w:tc>
          <w:tcPr>
            <w:tcW w:w="1560" w:type="dxa"/>
          </w:tcPr>
          <w:p>
            <w:pPr>
              <w:spacing w:line="268" w:lineRule="auto"/>
              <w:rPr>
                <w:rFonts w:ascii="Calibri" w:hAnsi="Calibri" w:eastAsia="宋体" w:cs="Times New Roman"/>
                <w:color w:val="auto"/>
              </w:rPr>
            </w:pPr>
          </w:p>
          <w:p>
            <w:pPr>
              <w:spacing w:line="268" w:lineRule="auto"/>
              <w:rPr>
                <w:rFonts w:ascii="Calibri" w:hAnsi="Calibri" w:eastAsia="宋体" w:cs="Times New Roman"/>
                <w:color w:val="auto"/>
              </w:rPr>
            </w:pPr>
          </w:p>
          <w:p>
            <w:pPr>
              <w:spacing w:line="268" w:lineRule="auto"/>
              <w:rPr>
                <w:rFonts w:ascii="Calibri" w:hAnsi="Calibri" w:eastAsia="宋体" w:cs="Times New Roman"/>
                <w:color w:val="auto"/>
              </w:rPr>
            </w:pPr>
          </w:p>
          <w:p>
            <w:pPr>
              <w:spacing w:line="269" w:lineRule="auto"/>
              <w:rPr>
                <w:rFonts w:ascii="Calibri" w:hAnsi="Calibri" w:eastAsia="宋体" w:cs="Times New Roman"/>
                <w:color w:val="auto"/>
              </w:rPr>
            </w:pPr>
          </w:p>
          <w:p>
            <w:pPr>
              <w:jc w:val="center"/>
              <w:rPr>
                <w:rFonts w:hint="eastAsia" w:ascii="宋体" w:hAnsi="宋体" w:eastAsia="宋体" w:cs="宋体"/>
                <w:color w:val="auto"/>
                <w:spacing w:val="-2"/>
                <w:szCs w:val="21"/>
              </w:rPr>
            </w:pPr>
            <w:r>
              <w:rPr>
                <w:rFonts w:ascii="宋体" w:hAnsi="宋体" w:eastAsia="宋体" w:cs="宋体"/>
                <w:color w:val="auto"/>
                <w:spacing w:val="-2"/>
                <w:szCs w:val="21"/>
              </w:rPr>
              <w:t>查现</w:t>
            </w:r>
            <w:r>
              <w:rPr>
                <w:rFonts w:ascii="宋体" w:hAnsi="宋体" w:eastAsia="宋体" w:cs="宋体"/>
                <w:color w:val="auto"/>
                <w:spacing w:val="-1"/>
                <w:szCs w:val="21"/>
              </w:rPr>
              <w:t>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8</w:t>
            </w:r>
          </w:p>
        </w:tc>
        <w:tc>
          <w:tcPr>
            <w:tcW w:w="2430" w:type="dxa"/>
          </w:tcPr>
          <w:p>
            <w:pPr>
              <w:rPr>
                <w:rFonts w:hint="eastAsia" w:ascii="宋体" w:hAnsi="宋体" w:eastAsia="宋体" w:cs="宋体"/>
                <w:color w:val="auto"/>
                <w:spacing w:val="-1"/>
                <w:szCs w:val="21"/>
              </w:rPr>
            </w:pPr>
            <w:r>
              <w:rPr>
                <w:rFonts w:ascii="宋体" w:hAnsi="宋体" w:eastAsia="宋体" w:cs="宋体"/>
                <w:color w:val="auto"/>
                <w:spacing w:val="-1"/>
                <w:szCs w:val="21"/>
              </w:rPr>
              <w:t>煤气净化洗涤塔底部应设置液位报警及自动调节装置,保持安全的液封高度</w:t>
            </w:r>
            <w:r>
              <w:rPr>
                <w:rFonts w:ascii="宋体" w:hAnsi="宋体" w:eastAsia="宋体" w:cs="宋体"/>
                <w:color w:val="auto"/>
                <w:spacing w:val="-9"/>
                <w:szCs w:val="21"/>
              </w:rPr>
              <w:t>。</w:t>
            </w:r>
          </w:p>
        </w:tc>
        <w:tc>
          <w:tcPr>
            <w:tcW w:w="2409" w:type="dxa"/>
          </w:tcPr>
          <w:p>
            <w:pPr>
              <w:spacing w:line="268" w:lineRule="auto"/>
              <w:rPr>
                <w:rFonts w:ascii="Calibri" w:hAnsi="Calibri" w:eastAsia="宋体" w:cs="Times New Roman"/>
                <w:color w:val="auto"/>
              </w:rPr>
            </w:pPr>
            <w:r>
              <w:rPr>
                <w:rFonts w:ascii="宋体" w:hAnsi="宋体" w:eastAsia="宋体" w:cs="宋体"/>
                <w:color w:val="auto"/>
                <w:spacing w:val="6"/>
                <w:szCs w:val="21"/>
              </w:rPr>
              <w:t>《焦化安全</w:t>
            </w:r>
            <w:r>
              <w:rPr>
                <w:rFonts w:ascii="宋体" w:hAnsi="宋体" w:eastAsia="宋体" w:cs="宋体"/>
                <w:color w:val="auto"/>
                <w:spacing w:val="5"/>
                <w:szCs w:val="21"/>
              </w:rPr>
              <w:t>规</w:t>
            </w:r>
            <w:r>
              <w:rPr>
                <w:rFonts w:ascii="宋体" w:hAnsi="宋体" w:eastAsia="宋体" w:cs="宋体"/>
                <w:color w:val="auto"/>
                <w:spacing w:val="3"/>
                <w:szCs w:val="21"/>
              </w:rPr>
              <w:t>程》(</w:t>
            </w:r>
            <w:r>
              <w:rPr>
                <w:rFonts w:ascii="宋体" w:hAnsi="宋体" w:eastAsia="宋体" w:cs="宋体"/>
                <w:color w:val="auto"/>
                <w:szCs w:val="21"/>
              </w:rPr>
              <w:t>GB</w:t>
            </w:r>
            <w:r>
              <w:rPr>
                <w:rFonts w:ascii="宋体" w:hAnsi="宋体" w:eastAsia="宋体" w:cs="宋体"/>
                <w:color w:val="auto"/>
                <w:spacing w:val="3"/>
                <w:szCs w:val="21"/>
              </w:rPr>
              <w:t>12710-2024) 7.1.7</w:t>
            </w:r>
          </w:p>
        </w:tc>
        <w:tc>
          <w:tcPr>
            <w:tcW w:w="1560" w:type="dxa"/>
          </w:tcPr>
          <w:p>
            <w:pPr>
              <w:spacing w:line="268" w:lineRule="auto"/>
              <w:rPr>
                <w:rFonts w:ascii="Calibri" w:hAnsi="Calibri" w:eastAsia="宋体" w:cs="Times New Roman"/>
                <w:color w:val="auto"/>
              </w:rPr>
            </w:pPr>
            <w:r>
              <w:rPr>
                <w:rFonts w:ascii="宋体" w:hAnsi="宋体" w:eastAsia="宋体" w:cs="宋体"/>
                <w:color w:val="auto"/>
                <w:spacing w:val="-2"/>
                <w:szCs w:val="21"/>
              </w:rPr>
              <w:t>查现</w:t>
            </w:r>
            <w:r>
              <w:rPr>
                <w:rFonts w:ascii="宋体" w:hAnsi="宋体" w:eastAsia="宋体" w:cs="宋体"/>
                <w:color w:val="auto"/>
                <w:spacing w:val="-1"/>
                <w:szCs w:val="21"/>
              </w:rPr>
              <w:t>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9</w:t>
            </w:r>
          </w:p>
        </w:tc>
        <w:tc>
          <w:tcPr>
            <w:tcW w:w="2430" w:type="dxa"/>
            <w:vAlign w:val="center"/>
          </w:tcPr>
          <w:p>
            <w:pPr>
              <w:rPr>
                <w:rFonts w:hint="eastAsia" w:ascii="宋体" w:hAnsi="宋体" w:eastAsia="宋体" w:cs="宋体"/>
                <w:color w:val="auto"/>
                <w:spacing w:val="-1"/>
                <w:szCs w:val="21"/>
              </w:rPr>
            </w:pPr>
            <w:r>
              <w:rPr>
                <w:rFonts w:ascii="Times New Roman" w:hAnsi="Times New Roman" w:eastAsia="宋体" w:cs="Times New Roman"/>
                <w:color w:val="auto"/>
                <w:szCs w:val="21"/>
              </w:rPr>
              <w:t>管式炉、克劳斯炉、焚烧炉、热风炉等使用煤气的燃烧装置,应设煤气低压报警及紧急切断装置、火焰检测及熄火保护装置。强制送风时,在空气管道上应设泄爆装置。</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《焦化安全规程》(GB12710-2024) </w:t>
            </w:r>
          </w:p>
          <w:p>
            <w:pPr>
              <w:jc w:val="center"/>
              <w:rPr>
                <w:rFonts w:hint="eastAsia" w:ascii="宋体" w:hAnsi="宋体" w:eastAsia="宋体" w:cs="宋体"/>
                <w:color w:val="auto"/>
                <w:spacing w:val="8"/>
                <w:szCs w:val="21"/>
              </w:rPr>
            </w:pPr>
            <w:r>
              <w:rPr>
                <w:rFonts w:ascii="Times New Roman" w:hAnsi="Times New Roman" w:eastAsia="宋体" w:cs="Times New Roman"/>
                <w:color w:val="auto"/>
                <w:szCs w:val="21"/>
              </w:rPr>
              <w:t>7.18</w:t>
            </w:r>
          </w:p>
        </w:tc>
        <w:tc>
          <w:tcPr>
            <w:tcW w:w="1560" w:type="dxa"/>
            <w:vAlign w:val="center"/>
          </w:tcPr>
          <w:p>
            <w:pPr>
              <w:jc w:val="center"/>
              <w:rPr>
                <w:rFonts w:hint="eastAsia" w:ascii="宋体" w:hAnsi="宋体" w:eastAsia="宋体" w:cs="宋体"/>
                <w:color w:val="auto"/>
                <w:spacing w:val="-2"/>
                <w:szCs w:val="21"/>
              </w:rPr>
            </w:pPr>
            <w:r>
              <w:rPr>
                <w:rFonts w:ascii="Times New Roman" w:hAnsi="Times New Roman" w:eastAsia="宋体" w:cs="Times New Roman"/>
                <w:color w:val="auto"/>
                <w:szCs w:val="21"/>
              </w:rPr>
              <w:t>查现场、DCS</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10</w:t>
            </w:r>
          </w:p>
        </w:tc>
        <w:tc>
          <w:tcPr>
            <w:tcW w:w="2430" w:type="dxa"/>
          </w:tcPr>
          <w:p>
            <w:pPr>
              <w:rPr>
                <w:rFonts w:hint="eastAsia" w:ascii="宋体" w:hAnsi="宋体" w:eastAsia="宋体" w:cs="宋体"/>
                <w:color w:val="auto"/>
                <w:spacing w:val="-1"/>
                <w:szCs w:val="21"/>
              </w:rPr>
            </w:pPr>
            <w:r>
              <w:rPr>
                <w:rFonts w:ascii="宋体" w:hAnsi="宋体" w:eastAsia="宋体" w:cs="宋体"/>
                <w:color w:val="auto"/>
                <w:spacing w:val="-1"/>
                <w:szCs w:val="21"/>
              </w:rPr>
              <w:t>下列储槽通气管、呼吸阀上应安装阻火器:</w:t>
            </w:r>
          </w:p>
          <w:p>
            <w:pPr>
              <w:rPr>
                <w:rFonts w:hint="eastAsia" w:ascii="宋体" w:hAnsi="宋体" w:eastAsia="宋体" w:cs="宋体"/>
                <w:color w:val="auto"/>
                <w:spacing w:val="-1"/>
                <w:szCs w:val="21"/>
              </w:rPr>
            </w:pPr>
            <w:r>
              <w:rPr>
                <w:rFonts w:ascii="宋体" w:hAnsi="宋体" w:eastAsia="宋体" w:cs="宋体"/>
                <w:color w:val="auto"/>
                <w:spacing w:val="-1"/>
                <w:szCs w:val="21"/>
              </w:rPr>
              <w:t>a) 储存甲B、乙、丙A 类液体的固定顶储槽和地上卧式储槽;</w:t>
            </w:r>
          </w:p>
          <w:p>
            <w:pPr>
              <w:rPr>
                <w:rFonts w:hint="eastAsia" w:ascii="宋体" w:hAnsi="宋体" w:eastAsia="宋体" w:cs="宋体"/>
                <w:color w:val="auto"/>
                <w:spacing w:val="-1"/>
                <w:szCs w:val="21"/>
              </w:rPr>
            </w:pPr>
            <w:r>
              <w:rPr>
                <w:rFonts w:ascii="宋体" w:hAnsi="宋体" w:eastAsia="宋体" w:cs="宋体"/>
                <w:color w:val="auto"/>
                <w:spacing w:val="-1"/>
                <w:szCs w:val="21"/>
              </w:rPr>
              <w:t>b) 采用氮气密封保护系统的储槽;</w:t>
            </w:r>
          </w:p>
          <w:p>
            <w:pPr>
              <w:rPr>
                <w:rFonts w:hint="eastAsia" w:ascii="宋体" w:hAnsi="宋体" w:eastAsia="宋体" w:cs="宋体"/>
                <w:color w:val="auto"/>
                <w:spacing w:val="-1"/>
                <w:szCs w:val="21"/>
              </w:rPr>
            </w:pPr>
            <w:r>
              <w:rPr>
                <w:rFonts w:ascii="宋体" w:hAnsi="宋体" w:eastAsia="宋体" w:cs="宋体"/>
                <w:color w:val="auto"/>
                <w:spacing w:val="-1"/>
                <w:szCs w:val="21"/>
              </w:rPr>
              <w:t>c) 内浮顶储槽。</w:t>
            </w:r>
          </w:p>
          <w:p>
            <w:pPr>
              <w:rPr>
                <w:rFonts w:hint="eastAsia" w:ascii="宋体" w:hAnsi="宋体" w:eastAsia="宋体" w:cs="宋体"/>
                <w:color w:val="auto"/>
                <w:spacing w:val="-1"/>
                <w:szCs w:val="21"/>
              </w:rPr>
            </w:pPr>
          </w:p>
        </w:tc>
        <w:tc>
          <w:tcPr>
            <w:tcW w:w="2409" w:type="dxa"/>
          </w:tcPr>
          <w:p>
            <w:pPr>
              <w:jc w:val="center"/>
              <w:rPr>
                <w:rFonts w:hint="eastAsia" w:ascii="宋体" w:hAnsi="宋体" w:eastAsia="宋体" w:cs="宋体"/>
                <w:color w:val="auto"/>
                <w:spacing w:val="3"/>
                <w:szCs w:val="21"/>
              </w:rPr>
            </w:pPr>
            <w:r>
              <w:rPr>
                <w:rFonts w:ascii="宋体" w:hAnsi="宋体" w:eastAsia="宋体" w:cs="宋体"/>
                <w:color w:val="auto"/>
                <w:spacing w:val="6"/>
                <w:szCs w:val="21"/>
              </w:rPr>
              <w:t>《焦化安全</w:t>
            </w:r>
            <w:r>
              <w:rPr>
                <w:rFonts w:ascii="宋体" w:hAnsi="宋体" w:eastAsia="宋体" w:cs="宋体"/>
                <w:color w:val="auto"/>
                <w:spacing w:val="5"/>
                <w:szCs w:val="21"/>
              </w:rPr>
              <w:t>规</w:t>
            </w:r>
            <w:r>
              <w:rPr>
                <w:rFonts w:ascii="宋体" w:hAnsi="宋体" w:eastAsia="宋体" w:cs="宋体"/>
                <w:color w:val="auto"/>
                <w:spacing w:val="3"/>
                <w:szCs w:val="21"/>
              </w:rPr>
              <w:t>程》(</w:t>
            </w:r>
            <w:r>
              <w:rPr>
                <w:rFonts w:ascii="宋体" w:hAnsi="宋体" w:eastAsia="宋体" w:cs="宋体"/>
                <w:color w:val="auto"/>
                <w:szCs w:val="21"/>
              </w:rPr>
              <w:t>GB</w:t>
            </w:r>
            <w:r>
              <w:rPr>
                <w:rFonts w:ascii="宋体" w:hAnsi="宋体" w:eastAsia="宋体" w:cs="宋体"/>
                <w:color w:val="auto"/>
                <w:spacing w:val="3"/>
                <w:szCs w:val="21"/>
              </w:rPr>
              <w:t>12710-2024)</w:t>
            </w:r>
          </w:p>
          <w:p>
            <w:pPr>
              <w:jc w:val="center"/>
              <w:rPr>
                <w:rFonts w:hint="eastAsia" w:ascii="宋体" w:hAnsi="宋体" w:eastAsia="宋体" w:cs="宋体"/>
                <w:color w:val="auto"/>
                <w:spacing w:val="8"/>
                <w:szCs w:val="21"/>
              </w:rPr>
            </w:pPr>
            <w:r>
              <w:rPr>
                <w:rFonts w:ascii="宋体" w:hAnsi="宋体" w:eastAsia="宋体" w:cs="宋体"/>
                <w:color w:val="auto"/>
                <w:spacing w:val="3"/>
                <w:szCs w:val="21"/>
              </w:rPr>
              <w:t xml:space="preserve"> 7.3.7</w:t>
            </w:r>
          </w:p>
        </w:tc>
        <w:tc>
          <w:tcPr>
            <w:tcW w:w="1560" w:type="dxa"/>
          </w:tcPr>
          <w:p>
            <w:pPr>
              <w:jc w:val="center"/>
              <w:rPr>
                <w:rFonts w:hint="eastAsia" w:ascii="宋体" w:hAnsi="宋体" w:eastAsia="宋体" w:cs="宋体"/>
                <w:color w:val="auto"/>
                <w:spacing w:val="-2"/>
                <w:szCs w:val="21"/>
              </w:rPr>
            </w:pPr>
            <w:r>
              <w:rPr>
                <w:rFonts w:ascii="宋体" w:hAnsi="宋体" w:eastAsia="宋体" w:cs="宋体"/>
                <w:color w:val="auto"/>
                <w:spacing w:val="-2"/>
                <w:szCs w:val="21"/>
              </w:rPr>
              <w:t>查现</w:t>
            </w:r>
            <w:r>
              <w:rPr>
                <w:rFonts w:ascii="宋体" w:hAnsi="宋体" w:eastAsia="宋体" w:cs="宋体"/>
                <w:color w:val="auto"/>
                <w:spacing w:val="-1"/>
                <w:szCs w:val="21"/>
              </w:rPr>
              <w:t>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97"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11</w:t>
            </w:r>
          </w:p>
        </w:tc>
        <w:tc>
          <w:tcPr>
            <w:tcW w:w="2430" w:type="dxa"/>
          </w:tcPr>
          <w:p>
            <w:pPr>
              <w:rPr>
                <w:rFonts w:hint="eastAsia" w:ascii="宋体" w:hAnsi="宋体" w:eastAsia="宋体" w:cs="宋体"/>
                <w:color w:val="auto"/>
                <w:spacing w:val="-1"/>
                <w:szCs w:val="21"/>
              </w:rPr>
            </w:pPr>
            <w:r>
              <w:rPr>
                <w:rFonts w:ascii="宋体" w:hAnsi="宋体" w:eastAsia="宋体" w:cs="宋体"/>
                <w:color w:val="auto"/>
                <w:spacing w:val="-1"/>
                <w:szCs w:val="21"/>
              </w:rPr>
              <w:t>浓硫酸储槽顶部应设脱水器或采用其他防水措施,槽底的出口管应设两道阀门</w:t>
            </w:r>
            <w:r>
              <w:rPr>
                <w:rFonts w:ascii="宋体" w:hAnsi="宋体" w:eastAsia="宋体" w:cs="宋体"/>
                <w:color w:val="auto"/>
                <w:spacing w:val="-5"/>
                <w:szCs w:val="21"/>
              </w:rPr>
              <w:t>。</w:t>
            </w:r>
          </w:p>
        </w:tc>
        <w:tc>
          <w:tcPr>
            <w:tcW w:w="2409" w:type="dxa"/>
          </w:tcPr>
          <w:p>
            <w:pPr>
              <w:jc w:val="center"/>
              <w:rPr>
                <w:rFonts w:hint="eastAsia" w:ascii="宋体" w:hAnsi="宋体" w:eastAsia="宋体" w:cs="宋体"/>
                <w:color w:val="auto"/>
                <w:spacing w:val="8"/>
                <w:szCs w:val="21"/>
              </w:rPr>
            </w:pPr>
            <w:r>
              <w:rPr>
                <w:rFonts w:ascii="宋体" w:hAnsi="宋体" w:eastAsia="宋体" w:cs="宋体"/>
                <w:color w:val="auto"/>
                <w:spacing w:val="6"/>
                <w:szCs w:val="21"/>
              </w:rPr>
              <w:t>《焦化安全</w:t>
            </w:r>
            <w:r>
              <w:rPr>
                <w:rFonts w:ascii="宋体" w:hAnsi="宋体" w:eastAsia="宋体" w:cs="宋体"/>
                <w:color w:val="auto"/>
                <w:spacing w:val="5"/>
                <w:szCs w:val="21"/>
              </w:rPr>
              <w:t>规</w:t>
            </w:r>
            <w:r>
              <w:rPr>
                <w:rFonts w:ascii="宋体" w:hAnsi="宋体" w:eastAsia="宋体" w:cs="宋体"/>
                <w:color w:val="auto"/>
                <w:spacing w:val="3"/>
                <w:szCs w:val="21"/>
              </w:rPr>
              <w:t>程》(</w:t>
            </w:r>
            <w:r>
              <w:rPr>
                <w:rFonts w:ascii="宋体" w:hAnsi="宋体" w:eastAsia="宋体" w:cs="宋体"/>
                <w:color w:val="auto"/>
                <w:szCs w:val="21"/>
              </w:rPr>
              <w:t>GB</w:t>
            </w:r>
            <w:r>
              <w:rPr>
                <w:rFonts w:ascii="宋体" w:hAnsi="宋体" w:eastAsia="宋体" w:cs="宋体"/>
                <w:color w:val="auto"/>
                <w:spacing w:val="3"/>
                <w:szCs w:val="21"/>
              </w:rPr>
              <w:t>12710-2024) 7.3.13</w:t>
            </w:r>
          </w:p>
        </w:tc>
        <w:tc>
          <w:tcPr>
            <w:tcW w:w="1560" w:type="dxa"/>
          </w:tcPr>
          <w:p>
            <w:pPr>
              <w:jc w:val="center"/>
              <w:rPr>
                <w:rFonts w:hint="eastAsia" w:ascii="宋体" w:hAnsi="宋体" w:eastAsia="宋体" w:cs="宋体"/>
                <w:color w:val="auto"/>
                <w:spacing w:val="-2"/>
                <w:szCs w:val="21"/>
              </w:rPr>
            </w:pPr>
            <w:r>
              <w:rPr>
                <w:rFonts w:ascii="宋体" w:hAnsi="宋体" w:eastAsia="宋体" w:cs="宋体"/>
                <w:color w:val="auto"/>
                <w:spacing w:val="-2"/>
                <w:szCs w:val="21"/>
              </w:rPr>
              <w:t>查现</w:t>
            </w:r>
            <w:r>
              <w:rPr>
                <w:rFonts w:ascii="宋体" w:hAnsi="宋体" w:eastAsia="宋体" w:cs="宋体"/>
                <w:color w:val="auto"/>
                <w:spacing w:val="-1"/>
                <w:szCs w:val="21"/>
              </w:rPr>
              <w:t>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12</w:t>
            </w:r>
          </w:p>
        </w:tc>
        <w:tc>
          <w:tcPr>
            <w:tcW w:w="2430" w:type="dxa"/>
          </w:tcPr>
          <w:p>
            <w:pPr>
              <w:rPr>
                <w:rFonts w:hint="eastAsia" w:ascii="宋体" w:hAnsi="宋体" w:eastAsia="宋体" w:cs="宋体"/>
                <w:color w:val="auto"/>
                <w:spacing w:val="-1"/>
                <w:szCs w:val="21"/>
              </w:rPr>
            </w:pPr>
            <w:r>
              <w:rPr>
                <w:rFonts w:ascii="宋体" w:hAnsi="宋体" w:eastAsia="宋体" w:cs="宋体"/>
                <w:color w:val="auto"/>
                <w:spacing w:val="-1"/>
                <w:szCs w:val="21"/>
              </w:rPr>
              <w:t>生产和储运装置的挥发性有机物,自收集系统进入挥发性有机物回收装置或处理装置前,应设置切断阀。当多个挥发性有机物收集系统共用一套挥发性有机物回收装置或处理装置时,在进入挥发性有机物回收装置或处理装置前,应分别设置切断阀。切断阀应具有手动和远程操作功能,其与挥发性有机物回收装置或处理装置的距离不应小于10m。</w:t>
            </w:r>
          </w:p>
        </w:tc>
        <w:tc>
          <w:tcPr>
            <w:tcW w:w="2409" w:type="dxa"/>
          </w:tcPr>
          <w:p>
            <w:pPr>
              <w:spacing w:line="298" w:lineRule="auto"/>
              <w:rPr>
                <w:rFonts w:ascii="Calibri" w:hAnsi="Calibri" w:eastAsia="宋体" w:cs="Times New Roman"/>
                <w:color w:val="auto"/>
              </w:rPr>
            </w:pPr>
          </w:p>
          <w:p>
            <w:pPr>
              <w:jc w:val="center"/>
              <w:rPr>
                <w:rFonts w:hint="eastAsia" w:ascii="宋体" w:hAnsi="宋体" w:eastAsia="宋体" w:cs="宋体"/>
                <w:color w:val="auto"/>
                <w:spacing w:val="3"/>
                <w:szCs w:val="21"/>
              </w:rPr>
            </w:pPr>
            <w:r>
              <w:rPr>
                <w:rFonts w:ascii="宋体" w:hAnsi="宋体" w:eastAsia="宋体" w:cs="宋体"/>
                <w:color w:val="auto"/>
                <w:spacing w:val="6"/>
                <w:szCs w:val="21"/>
              </w:rPr>
              <w:t>《焦化安全</w:t>
            </w:r>
            <w:r>
              <w:rPr>
                <w:rFonts w:ascii="宋体" w:hAnsi="宋体" w:eastAsia="宋体" w:cs="宋体"/>
                <w:color w:val="auto"/>
                <w:spacing w:val="5"/>
                <w:szCs w:val="21"/>
              </w:rPr>
              <w:t>规</w:t>
            </w:r>
            <w:r>
              <w:rPr>
                <w:rFonts w:ascii="宋体" w:hAnsi="宋体" w:eastAsia="宋体" w:cs="宋体"/>
                <w:color w:val="auto"/>
                <w:spacing w:val="3"/>
                <w:szCs w:val="21"/>
              </w:rPr>
              <w:t>程》(</w:t>
            </w:r>
            <w:r>
              <w:rPr>
                <w:rFonts w:ascii="宋体" w:hAnsi="宋体" w:eastAsia="宋体" w:cs="宋体"/>
                <w:color w:val="auto"/>
                <w:szCs w:val="21"/>
              </w:rPr>
              <w:t>GB</w:t>
            </w:r>
            <w:r>
              <w:rPr>
                <w:rFonts w:ascii="宋体" w:hAnsi="宋体" w:eastAsia="宋体" w:cs="宋体"/>
                <w:color w:val="auto"/>
                <w:spacing w:val="3"/>
                <w:szCs w:val="21"/>
              </w:rPr>
              <w:t xml:space="preserve">12710-2024) </w:t>
            </w:r>
          </w:p>
          <w:p>
            <w:pPr>
              <w:jc w:val="center"/>
              <w:rPr>
                <w:rFonts w:hint="eastAsia" w:ascii="宋体" w:hAnsi="宋体" w:eastAsia="宋体" w:cs="宋体"/>
                <w:color w:val="auto"/>
                <w:spacing w:val="6"/>
                <w:szCs w:val="21"/>
              </w:rPr>
            </w:pPr>
            <w:r>
              <w:rPr>
                <w:rFonts w:ascii="宋体" w:hAnsi="宋体" w:eastAsia="宋体" w:cs="宋体"/>
                <w:color w:val="auto"/>
                <w:spacing w:val="3"/>
                <w:szCs w:val="21"/>
              </w:rPr>
              <w:t>7.4.5</w:t>
            </w:r>
          </w:p>
        </w:tc>
        <w:tc>
          <w:tcPr>
            <w:tcW w:w="1560" w:type="dxa"/>
          </w:tcPr>
          <w:p>
            <w:pPr>
              <w:spacing w:line="298" w:lineRule="auto"/>
              <w:rPr>
                <w:rFonts w:ascii="Calibri" w:hAnsi="Calibri" w:eastAsia="宋体" w:cs="Times New Roman"/>
                <w:color w:val="auto"/>
              </w:rPr>
            </w:pPr>
          </w:p>
          <w:p>
            <w:pPr>
              <w:jc w:val="center"/>
              <w:rPr>
                <w:rFonts w:hint="eastAsia" w:ascii="宋体" w:hAnsi="宋体" w:eastAsia="宋体" w:cs="宋体"/>
                <w:color w:val="auto"/>
                <w:spacing w:val="-2"/>
                <w:szCs w:val="21"/>
              </w:rPr>
            </w:pPr>
            <w:r>
              <w:rPr>
                <w:rFonts w:ascii="宋体" w:hAnsi="宋体" w:eastAsia="宋体" w:cs="宋体"/>
                <w:color w:val="auto"/>
                <w:spacing w:val="-2"/>
                <w:szCs w:val="21"/>
              </w:rPr>
              <w:t>查现</w:t>
            </w:r>
            <w:r>
              <w:rPr>
                <w:rFonts w:ascii="宋体" w:hAnsi="宋体" w:eastAsia="宋体" w:cs="宋体"/>
                <w:color w:val="auto"/>
                <w:spacing w:val="-1"/>
                <w:szCs w:val="21"/>
              </w:rPr>
              <w:t>场、DCS</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13</w:t>
            </w:r>
          </w:p>
        </w:tc>
        <w:tc>
          <w:tcPr>
            <w:tcW w:w="2430" w:type="dxa"/>
          </w:tcPr>
          <w:p>
            <w:pPr>
              <w:rPr>
                <w:rFonts w:hint="eastAsia" w:ascii="宋体" w:hAnsi="宋体" w:eastAsia="宋体" w:cs="宋体"/>
                <w:color w:val="auto"/>
                <w:spacing w:val="-4"/>
                <w:szCs w:val="21"/>
              </w:rPr>
            </w:pPr>
            <w:r>
              <w:rPr>
                <w:rFonts w:ascii="宋体" w:hAnsi="宋体" w:eastAsia="宋体" w:cs="宋体"/>
                <w:color w:val="auto"/>
                <w:spacing w:val="-4"/>
                <w:szCs w:val="21"/>
              </w:rPr>
              <w:t>挥发性有机物回收装置应符合下列规定:</w:t>
            </w:r>
          </w:p>
          <w:p>
            <w:pPr>
              <w:rPr>
                <w:rFonts w:hint="eastAsia" w:ascii="宋体" w:hAnsi="宋体" w:eastAsia="宋体" w:cs="宋体"/>
                <w:color w:val="auto"/>
                <w:spacing w:val="-4"/>
                <w:szCs w:val="21"/>
              </w:rPr>
            </w:pPr>
            <w:r>
              <w:rPr>
                <w:rFonts w:ascii="宋体" w:hAnsi="宋体" w:eastAsia="宋体" w:cs="宋体"/>
                <w:color w:val="auto"/>
                <w:spacing w:val="-4"/>
                <w:szCs w:val="21"/>
              </w:rPr>
              <w:t>a)储槽采用氮封或保持微正压;</w:t>
            </w:r>
          </w:p>
          <w:p>
            <w:pPr>
              <w:rPr>
                <w:rFonts w:hint="eastAsia" w:ascii="宋体" w:hAnsi="宋体" w:eastAsia="宋体" w:cs="宋体"/>
                <w:color w:val="auto"/>
                <w:spacing w:val="-4"/>
                <w:szCs w:val="21"/>
              </w:rPr>
            </w:pPr>
            <w:r>
              <w:rPr>
                <w:rFonts w:ascii="宋体" w:hAnsi="宋体" w:eastAsia="宋体" w:cs="宋体"/>
                <w:color w:val="auto"/>
                <w:spacing w:val="-4"/>
                <w:szCs w:val="21"/>
              </w:rPr>
              <w:t>b)挥发性有机物总管设置氧含量检测分析仪和氧浓度高报警、高高报警联锁;</w:t>
            </w:r>
          </w:p>
          <w:p>
            <w:pPr>
              <w:rPr>
                <w:rFonts w:hint="eastAsia" w:ascii="宋体" w:hAnsi="宋体" w:eastAsia="宋体" w:cs="宋体"/>
                <w:color w:val="auto"/>
                <w:spacing w:val="-1"/>
                <w:szCs w:val="21"/>
              </w:rPr>
            </w:pPr>
            <w:r>
              <w:rPr>
                <w:rFonts w:ascii="宋体" w:hAnsi="宋体" w:eastAsia="宋体" w:cs="宋体"/>
                <w:color w:val="auto"/>
                <w:spacing w:val="-4"/>
                <w:szCs w:val="21"/>
              </w:rPr>
              <w:t>c)挥发性有机物各区域主管设置氧含量检测分析仪和氧浓度高报警、高高报警联锁。</w:t>
            </w:r>
          </w:p>
        </w:tc>
        <w:tc>
          <w:tcPr>
            <w:tcW w:w="2409" w:type="dxa"/>
          </w:tcPr>
          <w:p>
            <w:pPr>
              <w:spacing w:line="454" w:lineRule="auto"/>
              <w:rPr>
                <w:rFonts w:ascii="Calibri" w:hAnsi="Calibri" w:eastAsia="宋体" w:cs="Times New Roman"/>
                <w:color w:val="auto"/>
              </w:rPr>
            </w:pPr>
          </w:p>
          <w:p>
            <w:pPr>
              <w:spacing w:before="68" w:line="274" w:lineRule="auto"/>
              <w:ind w:left="119" w:right="294" w:hanging="4"/>
              <w:jc w:val="center"/>
              <w:rPr>
                <w:rFonts w:hint="eastAsia" w:ascii="宋体" w:hAnsi="宋体" w:eastAsia="宋体" w:cs="宋体"/>
                <w:color w:val="auto"/>
                <w:spacing w:val="-4"/>
                <w:szCs w:val="21"/>
              </w:rPr>
            </w:pPr>
            <w:r>
              <w:rPr>
                <w:rFonts w:ascii="宋体" w:hAnsi="宋体" w:eastAsia="宋体" w:cs="宋体"/>
                <w:color w:val="auto"/>
                <w:spacing w:val="-4"/>
                <w:szCs w:val="21"/>
              </w:rPr>
              <w:t>《焦化安全规程》(GB12710-2024)</w:t>
            </w:r>
          </w:p>
          <w:p>
            <w:pPr>
              <w:spacing w:line="298" w:lineRule="auto"/>
              <w:jc w:val="center"/>
              <w:rPr>
                <w:rFonts w:ascii="Calibri" w:hAnsi="Calibri" w:eastAsia="宋体" w:cs="Times New Roman"/>
                <w:color w:val="auto"/>
              </w:rPr>
            </w:pPr>
            <w:r>
              <w:rPr>
                <w:rFonts w:ascii="宋体" w:hAnsi="宋体" w:eastAsia="宋体" w:cs="宋体"/>
                <w:color w:val="auto"/>
                <w:spacing w:val="-4"/>
                <w:szCs w:val="21"/>
              </w:rPr>
              <w:t>7.4.9</w:t>
            </w:r>
          </w:p>
        </w:tc>
        <w:tc>
          <w:tcPr>
            <w:tcW w:w="1560" w:type="dxa"/>
          </w:tcPr>
          <w:p>
            <w:pPr>
              <w:spacing w:line="254" w:lineRule="auto"/>
              <w:rPr>
                <w:rFonts w:ascii="Calibri" w:hAnsi="Calibri" w:eastAsia="宋体" w:cs="Times New Roman"/>
                <w:color w:val="auto"/>
              </w:rPr>
            </w:pPr>
          </w:p>
          <w:p>
            <w:pPr>
              <w:spacing w:line="255" w:lineRule="auto"/>
              <w:rPr>
                <w:rFonts w:ascii="Calibri" w:hAnsi="Calibri" w:eastAsia="宋体" w:cs="Times New Roman"/>
                <w:color w:val="auto"/>
              </w:rPr>
            </w:pPr>
          </w:p>
          <w:p>
            <w:pPr>
              <w:spacing w:line="255" w:lineRule="auto"/>
              <w:rPr>
                <w:rFonts w:ascii="Calibri" w:hAnsi="Calibri" w:eastAsia="宋体" w:cs="Times New Roman"/>
                <w:color w:val="auto"/>
              </w:rPr>
            </w:pPr>
          </w:p>
          <w:p>
            <w:pPr>
              <w:spacing w:line="298" w:lineRule="auto"/>
              <w:rPr>
                <w:rFonts w:ascii="Calibri" w:hAnsi="Calibri" w:eastAsia="宋体" w:cs="Times New Roman"/>
                <w:color w:val="auto"/>
              </w:rPr>
            </w:pPr>
            <w:r>
              <w:rPr>
                <w:rFonts w:ascii="宋体" w:hAnsi="宋体" w:eastAsia="宋体" w:cs="宋体"/>
                <w:color w:val="auto"/>
                <w:spacing w:val="-2"/>
                <w:szCs w:val="21"/>
              </w:rPr>
              <w:t>查现</w:t>
            </w:r>
            <w:r>
              <w:rPr>
                <w:rFonts w:ascii="宋体" w:hAnsi="宋体" w:eastAsia="宋体" w:cs="宋体"/>
                <w:color w:val="auto"/>
                <w:spacing w:val="-1"/>
                <w:szCs w:val="21"/>
              </w:rPr>
              <w:t>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14</w:t>
            </w:r>
          </w:p>
        </w:tc>
        <w:tc>
          <w:tcPr>
            <w:tcW w:w="2430" w:type="dxa"/>
          </w:tcPr>
          <w:p>
            <w:pPr>
              <w:rPr>
                <w:rFonts w:hint="eastAsia" w:ascii="宋体" w:hAnsi="宋体" w:eastAsia="宋体" w:cs="宋体"/>
                <w:color w:val="auto"/>
                <w:spacing w:val="-4"/>
                <w:szCs w:val="21"/>
              </w:rPr>
            </w:pPr>
            <w:r>
              <w:rPr>
                <w:rFonts w:ascii="宋体" w:hAnsi="宋体" w:eastAsia="宋体" w:cs="宋体"/>
                <w:color w:val="auto"/>
                <w:spacing w:val="-2"/>
                <w:szCs w:val="21"/>
              </w:rPr>
              <w:t>以焦炉烟道气为热媒的煤调湿厂房内应设置一氧化碳、氧含量检测声光报警装置。</w:t>
            </w:r>
          </w:p>
        </w:tc>
        <w:tc>
          <w:tcPr>
            <w:tcW w:w="2409" w:type="dxa"/>
          </w:tcPr>
          <w:p>
            <w:pPr>
              <w:jc w:val="center"/>
              <w:rPr>
                <w:rFonts w:hint="eastAsia" w:ascii="宋体" w:hAnsi="宋体" w:eastAsia="宋体" w:cs="宋体"/>
                <w:color w:val="auto"/>
                <w:spacing w:val="-4"/>
                <w:szCs w:val="21"/>
              </w:rPr>
            </w:pPr>
            <w:r>
              <w:rPr>
                <w:rFonts w:ascii="宋体" w:hAnsi="宋体" w:eastAsia="宋体" w:cs="宋体"/>
                <w:color w:val="auto"/>
                <w:spacing w:val="-4"/>
                <w:szCs w:val="21"/>
              </w:rPr>
              <w:t>《焦化安全规程》(GB12710-2024)</w:t>
            </w:r>
          </w:p>
          <w:p>
            <w:pPr>
              <w:spacing w:line="454" w:lineRule="auto"/>
              <w:jc w:val="center"/>
              <w:rPr>
                <w:rFonts w:ascii="Calibri" w:hAnsi="Calibri" w:eastAsia="宋体" w:cs="Times New Roman"/>
                <w:color w:val="auto"/>
              </w:rPr>
            </w:pPr>
            <w:r>
              <w:rPr>
                <w:rFonts w:ascii="宋体" w:hAnsi="宋体" w:eastAsia="宋体" w:cs="宋体"/>
                <w:color w:val="auto"/>
                <w:spacing w:val="-4"/>
                <w:szCs w:val="21"/>
              </w:rPr>
              <w:t>8.6.11</w:t>
            </w:r>
          </w:p>
        </w:tc>
        <w:tc>
          <w:tcPr>
            <w:tcW w:w="1560" w:type="dxa"/>
          </w:tcPr>
          <w:p>
            <w:pPr>
              <w:spacing w:line="254" w:lineRule="auto"/>
              <w:rPr>
                <w:rFonts w:ascii="Calibri" w:hAnsi="Calibri" w:eastAsia="宋体" w:cs="Times New Roman"/>
                <w:color w:val="auto"/>
              </w:rPr>
            </w:pP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97"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15</w:t>
            </w:r>
          </w:p>
        </w:tc>
        <w:tc>
          <w:tcPr>
            <w:tcW w:w="2430" w:type="dxa"/>
            <w:vAlign w:val="center"/>
          </w:tcPr>
          <w:p>
            <w:pPr>
              <w:rPr>
                <w:rFonts w:hint="eastAsia" w:ascii="宋体" w:hAnsi="宋体" w:eastAsia="宋体" w:cs="宋体"/>
                <w:color w:val="auto"/>
                <w:spacing w:val="-1"/>
                <w:szCs w:val="21"/>
              </w:rPr>
            </w:pPr>
            <w:r>
              <w:rPr>
                <w:rFonts w:ascii="Times New Roman" w:hAnsi="Times New Roman" w:eastAsia="宋体" w:cs="Times New Roman"/>
                <w:color w:val="auto"/>
                <w:szCs w:val="21"/>
              </w:rPr>
              <w:t>焦炉上升管盖、桥管与阀体承插口应采用水封结构,装煤孔应采用隔热炉盖。</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《焦化安全规程》(GB12710-2024)</w:t>
            </w:r>
          </w:p>
          <w:p>
            <w:pPr>
              <w:spacing w:line="298" w:lineRule="auto"/>
              <w:jc w:val="center"/>
              <w:rPr>
                <w:rFonts w:ascii="Calibri" w:hAnsi="Calibri" w:eastAsia="宋体" w:cs="Times New Roman"/>
                <w:color w:val="auto"/>
              </w:rPr>
            </w:pPr>
            <w:r>
              <w:rPr>
                <w:rFonts w:ascii="Times New Roman" w:hAnsi="Times New Roman" w:eastAsia="宋体" w:cs="Times New Roman"/>
                <w:color w:val="auto"/>
                <w:szCs w:val="21"/>
              </w:rPr>
              <w:t>9.1.2</w:t>
            </w:r>
          </w:p>
        </w:tc>
        <w:tc>
          <w:tcPr>
            <w:tcW w:w="1560" w:type="dxa"/>
            <w:vAlign w:val="center"/>
          </w:tcPr>
          <w:p>
            <w:pPr>
              <w:spacing w:line="298" w:lineRule="auto"/>
              <w:rPr>
                <w:rFonts w:ascii="Calibri" w:hAnsi="Calibri" w:eastAsia="宋体" w:cs="Times New Roman"/>
                <w:color w:val="auto"/>
              </w:rPr>
            </w:pPr>
            <w:r>
              <w:rPr>
                <w:rFonts w:ascii="Times New Roman" w:hAnsi="Times New Roman" w:eastAsia="宋体" w:cs="Times New Roman"/>
                <w:color w:val="auto"/>
                <w:szCs w:val="21"/>
              </w:rPr>
              <w:t>查现场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16</w:t>
            </w:r>
          </w:p>
        </w:tc>
        <w:tc>
          <w:tcPr>
            <w:tcW w:w="2430" w:type="dxa"/>
          </w:tcPr>
          <w:p>
            <w:pPr>
              <w:rPr>
                <w:rFonts w:hint="eastAsia" w:ascii="宋体" w:hAnsi="宋体" w:eastAsia="宋体" w:cs="宋体"/>
                <w:color w:val="auto"/>
                <w:spacing w:val="-1"/>
                <w:szCs w:val="21"/>
              </w:rPr>
            </w:pPr>
            <w:r>
              <w:rPr>
                <w:rFonts w:ascii="宋体" w:hAnsi="宋体" w:eastAsia="宋体" w:cs="宋体"/>
                <w:color w:val="auto"/>
                <w:spacing w:val="-1"/>
                <w:szCs w:val="21"/>
              </w:rPr>
              <w:t>集气管放散管应设置荒煤气自动放散点火装置,并与集气管压力联锁,放散管的高度应高出集气管走台5m 以上。手动操作时,应能在集气管走台或煤塔附近进行。</w:t>
            </w:r>
          </w:p>
        </w:tc>
        <w:tc>
          <w:tcPr>
            <w:tcW w:w="2409" w:type="dxa"/>
          </w:tcPr>
          <w:p>
            <w:pPr>
              <w:spacing w:line="298" w:lineRule="auto"/>
              <w:jc w:val="center"/>
              <w:rPr>
                <w:rFonts w:hint="eastAsia" w:ascii="宋体" w:hAnsi="宋体" w:eastAsia="宋体" w:cs="宋体"/>
                <w:color w:val="auto"/>
                <w:spacing w:val="6"/>
                <w:szCs w:val="21"/>
              </w:rPr>
            </w:pPr>
            <w:r>
              <w:rPr>
                <w:rFonts w:ascii="宋体" w:hAnsi="宋体" w:eastAsia="宋体" w:cs="宋体"/>
                <w:color w:val="auto"/>
                <w:spacing w:val="6"/>
                <w:szCs w:val="21"/>
              </w:rPr>
              <w:t>《焦化安全规程》(GB12710-2024)</w:t>
            </w:r>
          </w:p>
          <w:p>
            <w:pPr>
              <w:spacing w:line="298" w:lineRule="auto"/>
              <w:jc w:val="center"/>
              <w:rPr>
                <w:rFonts w:ascii="Calibri" w:hAnsi="Calibri" w:eastAsia="宋体" w:cs="Times New Roman"/>
                <w:color w:val="auto"/>
              </w:rPr>
            </w:pPr>
            <w:r>
              <w:rPr>
                <w:rFonts w:ascii="宋体" w:hAnsi="宋体" w:eastAsia="宋体" w:cs="宋体"/>
                <w:color w:val="auto"/>
                <w:spacing w:val="3"/>
                <w:szCs w:val="21"/>
              </w:rPr>
              <w:t>9.1.5</w:t>
            </w:r>
          </w:p>
        </w:tc>
        <w:tc>
          <w:tcPr>
            <w:tcW w:w="1560" w:type="dxa"/>
          </w:tcPr>
          <w:p>
            <w:pPr>
              <w:spacing w:line="298" w:lineRule="auto"/>
              <w:rPr>
                <w:rFonts w:ascii="Calibri" w:hAnsi="Calibri" w:eastAsia="宋体" w:cs="Times New Roman"/>
                <w:color w:val="auto"/>
              </w:rPr>
            </w:pPr>
            <w:r>
              <w:rPr>
                <w:rFonts w:ascii="宋体" w:hAnsi="宋体" w:eastAsia="宋体" w:cs="宋体"/>
                <w:color w:val="auto"/>
                <w:spacing w:val="-2"/>
                <w:szCs w:val="21"/>
              </w:rPr>
              <w:t>查现</w:t>
            </w:r>
            <w:r>
              <w:rPr>
                <w:rFonts w:ascii="宋体" w:hAnsi="宋体" w:eastAsia="宋体" w:cs="宋体"/>
                <w:color w:val="auto"/>
                <w:spacing w:val="-1"/>
                <w:szCs w:val="21"/>
              </w:rPr>
              <w:t>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17</w:t>
            </w:r>
          </w:p>
        </w:tc>
        <w:tc>
          <w:tcPr>
            <w:tcW w:w="2430" w:type="dxa"/>
          </w:tcPr>
          <w:p>
            <w:pPr>
              <w:rPr>
                <w:rFonts w:ascii="Times New Roman" w:hAnsi="Times New Roman" w:eastAsia="宋体" w:cs="Times New Roman"/>
                <w:color w:val="auto"/>
                <w:szCs w:val="21"/>
              </w:rPr>
            </w:pPr>
            <w:r>
              <w:rPr>
                <w:rFonts w:ascii="Times New Roman" w:hAnsi="Times New Roman" w:eastAsia="宋体" w:cs="Times New Roman"/>
                <w:color w:val="auto"/>
                <w:szCs w:val="21"/>
              </w:rPr>
              <w:t>焦炉的地下室是否符合以下要求：</w:t>
            </w:r>
          </w:p>
          <w:p>
            <w:pPr>
              <w:rPr>
                <w:rFonts w:ascii="Times New Roman" w:hAnsi="Times New Roman" w:eastAsia="宋体" w:cs="Times New Roman"/>
                <w:color w:val="auto"/>
                <w:szCs w:val="21"/>
              </w:rPr>
            </w:pPr>
            <w:r>
              <w:rPr>
                <w:rFonts w:ascii="Times New Roman" w:hAnsi="Times New Roman" w:eastAsia="宋体" w:cs="Times New Roman"/>
                <w:color w:val="auto"/>
                <w:szCs w:val="21"/>
              </w:rPr>
              <w:t>a、地下室应加强通风,其两端应设安全出口；</w:t>
            </w:r>
          </w:p>
          <w:p>
            <w:pPr>
              <w:rPr>
                <w:rFonts w:ascii="Times New Roman" w:hAnsi="Times New Roman" w:eastAsia="宋体" w:cs="Times New Roman"/>
                <w:color w:val="auto"/>
                <w:szCs w:val="21"/>
              </w:rPr>
            </w:pPr>
            <w:r>
              <w:rPr>
                <w:rFonts w:ascii="Times New Roman" w:hAnsi="Times New Roman" w:eastAsia="宋体" w:cs="Times New Roman"/>
                <w:color w:val="auto"/>
                <w:szCs w:val="21"/>
              </w:rPr>
              <w:t>b、地下室煤气分配管的净空高度不应小于1.8m；</w:t>
            </w:r>
          </w:p>
          <w:p>
            <w:pPr>
              <w:rPr>
                <w:rFonts w:ascii="Times New Roman" w:hAnsi="Times New Roman" w:eastAsia="宋体" w:cs="Times New Roman"/>
                <w:color w:val="auto"/>
                <w:szCs w:val="21"/>
              </w:rPr>
            </w:pPr>
            <w:r>
              <w:rPr>
                <w:rFonts w:ascii="Times New Roman" w:hAnsi="Times New Roman" w:eastAsia="宋体" w:cs="Times New Roman"/>
                <w:color w:val="auto"/>
                <w:szCs w:val="21"/>
              </w:rPr>
              <w:t>c、地下室煤气管道的冷凝液排放旋塞的材质,不应采用铜质；</w:t>
            </w:r>
          </w:p>
          <w:p>
            <w:pPr>
              <w:rPr>
                <w:rFonts w:ascii="Times New Roman" w:hAnsi="Times New Roman" w:eastAsia="宋体" w:cs="Times New Roman"/>
                <w:color w:val="auto"/>
                <w:szCs w:val="21"/>
              </w:rPr>
            </w:pPr>
            <w:r>
              <w:rPr>
                <w:rFonts w:ascii="Times New Roman" w:hAnsi="Times New Roman" w:eastAsia="宋体" w:cs="Times New Roman"/>
                <w:color w:val="auto"/>
                <w:szCs w:val="21"/>
              </w:rPr>
              <w:t>d、地下室煤气管道的末端应设自动放散装置,放散管的根部应设清扫孔；</w:t>
            </w:r>
          </w:p>
          <w:p>
            <w:pPr>
              <w:rPr>
                <w:rFonts w:ascii="Times New Roman" w:hAnsi="Times New Roman" w:eastAsia="宋体" w:cs="Times New Roman"/>
                <w:color w:val="auto"/>
                <w:szCs w:val="21"/>
              </w:rPr>
            </w:pPr>
            <w:r>
              <w:rPr>
                <w:rFonts w:ascii="Times New Roman" w:hAnsi="Times New Roman" w:eastAsia="宋体" w:cs="Times New Roman"/>
                <w:color w:val="auto"/>
                <w:szCs w:val="21"/>
              </w:rPr>
              <w:t>e、地下室焦炉煤气管道末端应设泄爆装置;</w:t>
            </w:r>
          </w:p>
          <w:p>
            <w:pPr>
              <w:rPr>
                <w:rFonts w:hint="eastAsia" w:ascii="宋体" w:hAnsi="宋体" w:eastAsia="宋体" w:cs="宋体"/>
                <w:color w:val="auto"/>
                <w:spacing w:val="-1"/>
                <w:szCs w:val="21"/>
              </w:rPr>
            </w:pPr>
            <w:r>
              <w:rPr>
                <w:rFonts w:ascii="Times New Roman" w:hAnsi="Times New Roman" w:eastAsia="宋体" w:cs="Times New Roman"/>
                <w:color w:val="auto"/>
                <w:szCs w:val="21"/>
              </w:rPr>
              <w:t>f、焦炉地下室煤气放散水封、排水器应保持完好状态。</w:t>
            </w:r>
          </w:p>
        </w:tc>
        <w:tc>
          <w:tcPr>
            <w:tcW w:w="2409" w:type="dxa"/>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《焦化安全规程》(GB12710-2024)</w:t>
            </w:r>
          </w:p>
          <w:p>
            <w:pPr>
              <w:spacing w:line="298" w:lineRule="auto"/>
              <w:jc w:val="center"/>
              <w:rPr>
                <w:rFonts w:hint="eastAsia" w:ascii="宋体" w:hAnsi="宋体" w:eastAsia="宋体" w:cs="宋体"/>
                <w:color w:val="auto"/>
                <w:spacing w:val="6"/>
                <w:szCs w:val="21"/>
              </w:rPr>
            </w:pPr>
            <w:r>
              <w:rPr>
                <w:rFonts w:ascii="Times New Roman" w:hAnsi="Times New Roman" w:eastAsia="宋体" w:cs="Times New Roman"/>
                <w:color w:val="auto"/>
                <w:szCs w:val="21"/>
              </w:rPr>
              <w:t>9.1.26-43</w:t>
            </w:r>
          </w:p>
        </w:tc>
        <w:tc>
          <w:tcPr>
            <w:tcW w:w="1560" w:type="dxa"/>
            <w:vAlign w:val="center"/>
          </w:tcPr>
          <w:p>
            <w:pPr>
              <w:spacing w:line="298" w:lineRule="auto"/>
              <w:rPr>
                <w:rFonts w:hint="eastAsia" w:ascii="宋体" w:hAnsi="宋体" w:eastAsia="宋体" w:cs="宋体"/>
                <w:color w:val="auto"/>
                <w:spacing w:val="-2"/>
                <w:szCs w:val="21"/>
              </w:rPr>
            </w:pPr>
            <w:r>
              <w:rPr>
                <w:rFonts w:ascii="Times New Roman" w:hAnsi="Times New Roman" w:eastAsia="宋体" w:cs="Times New Roman"/>
                <w:color w:val="auto"/>
                <w:szCs w:val="21"/>
              </w:rPr>
              <w:t>查现场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18</w:t>
            </w:r>
          </w:p>
        </w:tc>
        <w:tc>
          <w:tcPr>
            <w:tcW w:w="2430" w:type="dxa"/>
            <w:vAlign w:val="center"/>
          </w:tcPr>
          <w:p>
            <w:pPr>
              <w:rPr>
                <w:rFonts w:ascii="Times New Roman" w:hAnsi="Times New Roman" w:eastAsia="宋体" w:cs="Times New Roman"/>
                <w:color w:val="auto"/>
                <w:szCs w:val="21"/>
              </w:rPr>
            </w:pPr>
            <w:r>
              <w:rPr>
                <w:rFonts w:ascii="Calibri" w:hAnsi="Calibri" w:eastAsia="宋体" w:cs="Times New Roman"/>
                <w:color w:val="auto"/>
                <w:szCs w:val="21"/>
              </w:rPr>
              <w:t>加热煤气交换传动装置应设置煤气旋塞、废气砣等装置的状态检测措施。</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《焦化安全规程》(GB12710-2024) </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9.1.37</w:t>
            </w:r>
          </w:p>
        </w:tc>
        <w:tc>
          <w:tcPr>
            <w:tcW w:w="1560" w:type="dxa"/>
            <w:vAlign w:val="center"/>
          </w:tcPr>
          <w:p>
            <w:pPr>
              <w:spacing w:line="298" w:lineRule="auto"/>
              <w:rPr>
                <w:rFonts w:ascii="Times New Roman" w:hAnsi="Times New Roman" w:eastAsia="宋体" w:cs="Times New Roman"/>
                <w:color w:val="auto"/>
                <w:szCs w:val="21"/>
              </w:rPr>
            </w:pPr>
            <w:r>
              <w:rPr>
                <w:rFonts w:ascii="Times New Roman" w:hAnsi="Times New Roman" w:eastAsia="宋体" w:cs="Times New Roman"/>
                <w:color w:val="auto"/>
                <w:szCs w:val="21"/>
              </w:rPr>
              <w:t>查现场、DCS</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97"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19</w:t>
            </w:r>
          </w:p>
        </w:tc>
        <w:tc>
          <w:tcPr>
            <w:tcW w:w="2430" w:type="dxa"/>
          </w:tcPr>
          <w:p>
            <w:pPr>
              <w:rPr>
                <w:rFonts w:ascii="Calibri" w:hAnsi="Calibri" w:eastAsia="宋体" w:cs="Times New Roman"/>
                <w:color w:val="auto"/>
                <w:szCs w:val="21"/>
              </w:rPr>
            </w:pPr>
            <w:r>
              <w:rPr>
                <w:rFonts w:ascii="宋体" w:hAnsi="宋体" w:eastAsia="宋体" w:cs="宋体"/>
                <w:color w:val="auto"/>
                <w:spacing w:val="-8"/>
                <w:szCs w:val="21"/>
              </w:rPr>
              <w:t>焦炉烟道气余热锅炉和焦炉上升管余热利用装置应采取超压保护措施</w:t>
            </w:r>
            <w:r>
              <w:rPr>
                <w:rFonts w:ascii="宋体" w:hAnsi="宋体" w:eastAsia="宋体" w:cs="宋体"/>
                <w:color w:val="auto"/>
                <w:spacing w:val="-4"/>
                <w:szCs w:val="21"/>
              </w:rPr>
              <w:t>。</w:t>
            </w:r>
          </w:p>
        </w:tc>
        <w:tc>
          <w:tcPr>
            <w:tcW w:w="2409" w:type="dxa"/>
          </w:tcPr>
          <w:p>
            <w:pPr>
              <w:jc w:val="center"/>
              <w:rPr>
                <w:rFonts w:ascii="Times New Roman" w:hAnsi="Times New Roman" w:eastAsia="宋体" w:cs="Times New Roman"/>
                <w:color w:val="auto"/>
                <w:szCs w:val="21"/>
              </w:rPr>
            </w:pPr>
            <w:r>
              <w:rPr>
                <w:rFonts w:ascii="宋体" w:hAnsi="宋体" w:eastAsia="宋体" w:cs="宋体"/>
                <w:color w:val="auto"/>
                <w:spacing w:val="4"/>
                <w:szCs w:val="21"/>
              </w:rPr>
              <w:t>《焦化安全规程》(</w:t>
            </w:r>
            <w:r>
              <w:rPr>
                <w:rFonts w:ascii="宋体" w:hAnsi="宋体" w:eastAsia="宋体" w:cs="宋体"/>
                <w:color w:val="auto"/>
                <w:szCs w:val="21"/>
              </w:rPr>
              <w:t>GB</w:t>
            </w:r>
            <w:r>
              <w:rPr>
                <w:rFonts w:ascii="宋体" w:hAnsi="宋体" w:eastAsia="宋体" w:cs="宋体"/>
                <w:color w:val="auto"/>
                <w:spacing w:val="4"/>
                <w:szCs w:val="21"/>
              </w:rPr>
              <w:t>12710-2024) 9.1</w:t>
            </w:r>
            <w:r>
              <w:rPr>
                <w:rFonts w:ascii="宋体" w:hAnsi="宋体" w:eastAsia="宋体" w:cs="宋体"/>
                <w:color w:val="auto"/>
                <w:spacing w:val="2"/>
                <w:szCs w:val="21"/>
              </w:rPr>
              <w:t>.</w:t>
            </w:r>
            <w:r>
              <w:rPr>
                <w:rFonts w:ascii="宋体" w:hAnsi="宋体" w:eastAsia="宋体" w:cs="宋体"/>
                <w:color w:val="auto"/>
                <w:szCs w:val="21"/>
              </w:rPr>
              <w:t>44</w:t>
            </w:r>
          </w:p>
        </w:tc>
        <w:tc>
          <w:tcPr>
            <w:tcW w:w="1560" w:type="dxa"/>
          </w:tcPr>
          <w:p>
            <w:pPr>
              <w:spacing w:line="298" w:lineRule="auto"/>
              <w:rPr>
                <w:rFonts w:ascii="Times New Roman" w:hAnsi="Times New Roman" w:eastAsia="宋体" w:cs="Times New Roman"/>
                <w:color w:val="auto"/>
                <w:szCs w:val="21"/>
              </w:rPr>
            </w:pPr>
            <w:r>
              <w:rPr>
                <w:rFonts w:ascii="宋体" w:hAnsi="宋体" w:eastAsia="宋体" w:cs="宋体"/>
                <w:color w:val="auto"/>
                <w:spacing w:val="-2"/>
                <w:szCs w:val="21"/>
              </w:rPr>
              <w:t>查现</w:t>
            </w:r>
            <w:r>
              <w:rPr>
                <w:rFonts w:ascii="宋体" w:hAnsi="宋体" w:eastAsia="宋体" w:cs="宋体"/>
                <w:color w:val="auto"/>
                <w:spacing w:val="-1"/>
                <w:szCs w:val="21"/>
              </w:rPr>
              <w:t>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20</w:t>
            </w:r>
          </w:p>
        </w:tc>
        <w:tc>
          <w:tcPr>
            <w:tcW w:w="2430" w:type="dxa"/>
            <w:vAlign w:val="center"/>
          </w:tcPr>
          <w:p>
            <w:pPr>
              <w:rPr>
                <w:rFonts w:ascii="Calibri" w:hAnsi="Calibri" w:eastAsia="宋体" w:cs="Times New Roman"/>
                <w:color w:val="auto"/>
                <w:szCs w:val="21"/>
              </w:rPr>
            </w:pPr>
            <w:r>
              <w:rPr>
                <w:rFonts w:ascii="Times New Roman" w:hAnsi="Times New Roman" w:eastAsia="宋体" w:cs="Times New Roman"/>
                <w:color w:val="auto"/>
                <w:szCs w:val="21"/>
              </w:rPr>
              <w:t>平煤杆和推焦杆应设手动装置， 且应有手动时自动断电的联 锁。推焦机宜设置事故停电时退回推焦杆、平煤杆的动力装置。</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《焦化安全规程》(GB12710-2024)</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9.2.9</w:t>
            </w:r>
          </w:p>
        </w:tc>
        <w:tc>
          <w:tcPr>
            <w:tcW w:w="1560" w:type="dxa"/>
            <w:vAlign w:val="center"/>
          </w:tcPr>
          <w:p>
            <w:pPr>
              <w:spacing w:line="298" w:lineRule="auto"/>
              <w:rPr>
                <w:rFonts w:ascii="Times New Roman" w:hAnsi="Times New Roman" w:eastAsia="宋体" w:cs="Times New Roman"/>
                <w:color w:val="auto"/>
                <w:szCs w:val="21"/>
              </w:rPr>
            </w:pPr>
            <w:r>
              <w:rPr>
                <w:rFonts w:ascii="Times New Roman" w:hAnsi="Times New Roman" w:eastAsia="宋体" w:cs="Times New Roman"/>
                <w:color w:val="auto"/>
                <w:szCs w:val="21"/>
              </w:rPr>
              <w:t>查现场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21</w:t>
            </w:r>
          </w:p>
        </w:tc>
        <w:tc>
          <w:tcPr>
            <w:tcW w:w="2430" w:type="dxa"/>
            <w:vAlign w:val="center"/>
          </w:tcPr>
          <w:p>
            <w:pPr>
              <w:rPr>
                <w:rFonts w:ascii="Times New Roman" w:hAnsi="Times New Roman" w:eastAsia="宋体" w:cs="Times New Roman"/>
                <w:color w:val="auto"/>
                <w:szCs w:val="21"/>
              </w:rPr>
            </w:pPr>
            <w:r>
              <w:rPr>
                <w:rFonts w:ascii="Calibri" w:hAnsi="Calibri" w:eastAsia="宋体" w:cs="Times New Roman"/>
                <w:color w:val="auto"/>
                <w:szCs w:val="21"/>
              </w:rPr>
              <w:t>装煤车活动接煤板的升起和落下应设置信号显示,装煤车的走行应与活动接煤板的升降联锁。</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《焦化安全规程》(GB12710-2024)</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 9.3.2</w:t>
            </w:r>
          </w:p>
        </w:tc>
        <w:tc>
          <w:tcPr>
            <w:tcW w:w="1560" w:type="dxa"/>
            <w:vAlign w:val="center"/>
          </w:tcPr>
          <w:p>
            <w:pPr>
              <w:spacing w:line="298" w:lineRule="auto"/>
              <w:rPr>
                <w:rFonts w:ascii="Times New Roman" w:hAnsi="Times New Roman" w:eastAsia="宋体" w:cs="Times New Roman"/>
                <w:color w:val="auto"/>
                <w:szCs w:val="21"/>
              </w:rPr>
            </w:pPr>
            <w:r>
              <w:rPr>
                <w:rFonts w:ascii="Times New Roman" w:hAnsi="Times New Roman" w:eastAsia="宋体" w:cs="Times New Roman"/>
                <w:color w:val="auto"/>
                <w:szCs w:val="21"/>
              </w:rPr>
              <w:t>查现场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22</w:t>
            </w:r>
          </w:p>
        </w:tc>
        <w:tc>
          <w:tcPr>
            <w:tcW w:w="2430" w:type="dxa"/>
            <w:vAlign w:val="center"/>
          </w:tcPr>
          <w:p>
            <w:pPr>
              <w:rPr>
                <w:rFonts w:ascii="Calibri" w:hAnsi="Calibri" w:eastAsia="宋体" w:cs="Times New Roman"/>
                <w:color w:val="auto"/>
                <w:szCs w:val="21"/>
              </w:rPr>
            </w:pPr>
            <w:r>
              <w:rPr>
                <w:rFonts w:ascii="Calibri" w:hAnsi="Calibri" w:eastAsia="宋体" w:cs="Times New Roman"/>
                <w:color w:val="auto"/>
                <w:szCs w:val="21"/>
              </w:rPr>
              <w:t>煤气净化中控室应有如下鼓风机参数的显示:煤气吸力、压力,鼓风机的转速、轴向位移和轴承温度,风机油箱油位和油泵出口油压,电机的电压、电流、定子温度和轴承温度,蒸汽透平用蒸汽压力和</w:t>
            </w:r>
          </w:p>
          <w:p>
            <w:pPr>
              <w:rPr>
                <w:rFonts w:ascii="Calibri" w:hAnsi="Calibri" w:eastAsia="宋体" w:cs="Times New Roman"/>
                <w:color w:val="auto"/>
                <w:szCs w:val="21"/>
              </w:rPr>
            </w:pPr>
            <w:r>
              <w:rPr>
                <w:rFonts w:ascii="Calibri" w:hAnsi="Calibri" w:eastAsia="宋体" w:cs="Times New Roman"/>
                <w:color w:val="auto"/>
                <w:szCs w:val="21"/>
              </w:rPr>
              <w:t>温度,以及集气管压力、初冷器前后煤气温度、煤气含氧量。</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《焦化安全规程》(GB12710-2024) </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10.1.3</w:t>
            </w:r>
          </w:p>
        </w:tc>
        <w:tc>
          <w:tcPr>
            <w:tcW w:w="1560" w:type="dxa"/>
            <w:vAlign w:val="center"/>
          </w:tcPr>
          <w:p>
            <w:pPr>
              <w:spacing w:line="298" w:lineRule="auto"/>
              <w:rPr>
                <w:rFonts w:ascii="Times New Roman" w:hAnsi="Times New Roman" w:eastAsia="宋体" w:cs="Times New Roman"/>
                <w:color w:val="auto"/>
                <w:szCs w:val="21"/>
              </w:rPr>
            </w:pPr>
            <w:r>
              <w:rPr>
                <w:rFonts w:ascii="Times New Roman" w:hAnsi="Times New Roman" w:eastAsia="宋体" w:cs="Times New Roman"/>
                <w:color w:val="auto"/>
                <w:szCs w:val="21"/>
              </w:rPr>
              <w:t>查DCS</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97"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23</w:t>
            </w:r>
          </w:p>
        </w:tc>
        <w:tc>
          <w:tcPr>
            <w:tcW w:w="2430" w:type="dxa"/>
            <w:vAlign w:val="center"/>
          </w:tcPr>
          <w:p>
            <w:pPr>
              <w:rPr>
                <w:rFonts w:ascii="Times New Roman" w:hAnsi="Times New Roman" w:eastAsia="宋体" w:cs="Times New Roman"/>
                <w:color w:val="auto"/>
                <w:szCs w:val="21"/>
              </w:rPr>
            </w:pPr>
            <w:r>
              <w:rPr>
                <w:rFonts w:ascii="Calibri" w:hAnsi="Calibri" w:eastAsia="宋体" w:cs="Times New Roman"/>
                <w:color w:val="auto"/>
                <w:szCs w:val="21"/>
              </w:rPr>
              <w:t>电捕焦油器、鼓风机等冷凝液下排管的扫汽管，应设两道阀门。</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《焦化安全规程》(GB12710-2024) </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10.1.10</w:t>
            </w:r>
          </w:p>
        </w:tc>
        <w:tc>
          <w:tcPr>
            <w:tcW w:w="1560"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85" w:type="dxa"/>
          </w:tcPr>
          <w:p>
            <w:pPr>
              <w:jc w:val="center"/>
              <w:rPr>
                <w:rFonts w:ascii="Times New Roman" w:hAnsi="Times New Roman" w:eastAsia="宋体" w:cs="Times New Roman"/>
                <w:color w:val="auto"/>
                <w:szCs w:val="21"/>
              </w:rPr>
            </w:pPr>
          </w:p>
        </w:tc>
        <w:tc>
          <w:tcPr>
            <w:tcW w:w="737"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24</w:t>
            </w:r>
          </w:p>
        </w:tc>
        <w:tc>
          <w:tcPr>
            <w:tcW w:w="2430" w:type="dxa"/>
          </w:tcPr>
          <w:p>
            <w:pPr>
              <w:rPr>
                <w:rFonts w:ascii="Times New Roman" w:hAnsi="Times New Roman" w:eastAsia="宋体" w:cs="Times New Roman"/>
                <w:color w:val="auto"/>
                <w:szCs w:val="21"/>
              </w:rPr>
            </w:pPr>
            <w:r>
              <w:rPr>
                <w:rFonts w:ascii="宋体" w:hAnsi="宋体" w:eastAsia="宋体" w:cs="宋体"/>
                <w:color w:val="auto"/>
                <w:spacing w:val="-2"/>
                <w:szCs w:val="21"/>
              </w:rPr>
              <w:t>电捕焦油器绝缘箱保温应采用自动控制,绝缘箱温度应设自动报警并与电捕焦油器联锁停机。未采用氮气保护的绝缘箱,温度低于100℃时报警,温度低于90℃时自动断电;采用氮气保护的绝缘箱,温度低于80 ℃时报警,温度低于70 ℃时自动断电。</w:t>
            </w:r>
          </w:p>
        </w:tc>
        <w:tc>
          <w:tcPr>
            <w:tcW w:w="2409" w:type="dxa"/>
          </w:tcPr>
          <w:p>
            <w:pPr>
              <w:spacing w:line="254" w:lineRule="auto"/>
              <w:rPr>
                <w:rFonts w:ascii="Calibri" w:hAnsi="Calibri" w:eastAsia="宋体" w:cs="Times New Roman"/>
                <w:color w:val="auto"/>
              </w:rPr>
            </w:pPr>
          </w:p>
          <w:p>
            <w:pPr>
              <w:spacing w:line="255" w:lineRule="auto"/>
              <w:rPr>
                <w:rFonts w:ascii="Calibri" w:hAnsi="Calibri" w:eastAsia="宋体" w:cs="Times New Roman"/>
                <w:color w:val="auto"/>
              </w:rPr>
            </w:pPr>
          </w:p>
          <w:p>
            <w:pPr>
              <w:spacing w:line="255" w:lineRule="auto"/>
              <w:rPr>
                <w:rFonts w:ascii="Calibri" w:hAnsi="Calibri" w:eastAsia="宋体" w:cs="Times New Roman"/>
                <w:color w:val="auto"/>
              </w:rPr>
            </w:pPr>
          </w:p>
          <w:p>
            <w:pPr>
              <w:jc w:val="center"/>
              <w:rPr>
                <w:rFonts w:ascii="Times New Roman" w:hAnsi="Times New Roman" w:eastAsia="宋体" w:cs="Times New Roman"/>
                <w:color w:val="auto"/>
                <w:szCs w:val="21"/>
              </w:rPr>
            </w:pPr>
            <w:r>
              <w:rPr>
                <w:rFonts w:ascii="宋体" w:hAnsi="宋体" w:eastAsia="宋体" w:cs="宋体"/>
                <w:color w:val="auto"/>
                <w:spacing w:val="6"/>
                <w:szCs w:val="21"/>
              </w:rPr>
              <w:t>《焦化安</w:t>
            </w:r>
            <w:r>
              <w:rPr>
                <w:rFonts w:ascii="宋体" w:hAnsi="宋体" w:eastAsia="宋体" w:cs="宋体"/>
                <w:color w:val="auto"/>
                <w:spacing w:val="5"/>
                <w:szCs w:val="21"/>
              </w:rPr>
              <w:t>全</w:t>
            </w:r>
            <w:r>
              <w:rPr>
                <w:rFonts w:ascii="宋体" w:hAnsi="宋体" w:eastAsia="宋体" w:cs="宋体"/>
                <w:color w:val="auto"/>
                <w:spacing w:val="3"/>
                <w:szCs w:val="21"/>
              </w:rPr>
              <w:t>规程》(</w:t>
            </w:r>
            <w:r>
              <w:rPr>
                <w:rFonts w:ascii="宋体" w:hAnsi="宋体" w:eastAsia="宋体" w:cs="宋体"/>
                <w:color w:val="auto"/>
                <w:szCs w:val="21"/>
              </w:rPr>
              <w:t>GB</w:t>
            </w:r>
            <w:r>
              <w:rPr>
                <w:rFonts w:ascii="宋体" w:hAnsi="宋体" w:eastAsia="宋体" w:cs="宋体"/>
                <w:color w:val="auto"/>
                <w:spacing w:val="3"/>
                <w:szCs w:val="21"/>
              </w:rPr>
              <w:t>12710-2024) 10.1.15</w:t>
            </w:r>
          </w:p>
        </w:tc>
        <w:tc>
          <w:tcPr>
            <w:tcW w:w="1560" w:type="dxa"/>
          </w:tcPr>
          <w:p>
            <w:pPr>
              <w:spacing w:line="254" w:lineRule="auto"/>
              <w:rPr>
                <w:rFonts w:ascii="Calibri" w:hAnsi="Calibri" w:eastAsia="宋体" w:cs="Times New Roman"/>
                <w:color w:val="auto"/>
              </w:rPr>
            </w:pPr>
          </w:p>
          <w:p>
            <w:pPr>
              <w:spacing w:line="255" w:lineRule="auto"/>
              <w:rPr>
                <w:rFonts w:ascii="Calibri" w:hAnsi="Calibri" w:eastAsia="宋体" w:cs="Times New Roman"/>
                <w:color w:val="auto"/>
              </w:rPr>
            </w:pPr>
          </w:p>
          <w:p>
            <w:pPr>
              <w:spacing w:line="255" w:lineRule="auto"/>
              <w:rPr>
                <w:rFonts w:ascii="Calibri" w:hAnsi="Calibri" w:eastAsia="宋体" w:cs="Times New Roman"/>
                <w:color w:val="auto"/>
              </w:rPr>
            </w:pPr>
          </w:p>
          <w:p>
            <w:pPr>
              <w:jc w:val="center"/>
              <w:rPr>
                <w:rFonts w:ascii="Times New Roman" w:hAnsi="Times New Roman" w:eastAsia="宋体" w:cs="Times New Roman"/>
                <w:color w:val="auto"/>
                <w:szCs w:val="21"/>
              </w:rPr>
            </w:pPr>
            <w:r>
              <w:rPr>
                <w:rFonts w:ascii="宋体" w:hAnsi="宋体" w:eastAsia="宋体" w:cs="宋体"/>
                <w:color w:val="auto"/>
                <w:spacing w:val="-2"/>
                <w:szCs w:val="21"/>
              </w:rPr>
              <w:t>查现场、DCS</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85" w:type="dxa"/>
          </w:tcPr>
          <w:p>
            <w:pPr>
              <w:jc w:val="center"/>
              <w:rPr>
                <w:rFonts w:ascii="Times New Roman" w:hAnsi="Times New Roman" w:eastAsia="宋体" w:cs="Times New Roman"/>
                <w:color w:val="auto"/>
                <w:szCs w:val="21"/>
              </w:rPr>
            </w:pPr>
          </w:p>
        </w:tc>
        <w:tc>
          <w:tcPr>
            <w:tcW w:w="737"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25</w:t>
            </w:r>
          </w:p>
        </w:tc>
        <w:tc>
          <w:tcPr>
            <w:tcW w:w="2430" w:type="dxa"/>
          </w:tcPr>
          <w:p>
            <w:pPr>
              <w:rPr>
                <w:rFonts w:ascii="Times New Roman" w:hAnsi="Times New Roman" w:eastAsia="宋体" w:cs="Times New Roman"/>
                <w:color w:val="auto"/>
                <w:szCs w:val="21"/>
              </w:rPr>
            </w:pPr>
            <w:r>
              <w:rPr>
                <w:rFonts w:ascii="宋体" w:hAnsi="宋体" w:eastAsia="宋体" w:cs="宋体"/>
                <w:color w:val="auto"/>
                <w:spacing w:val="-1"/>
                <w:szCs w:val="21"/>
              </w:rPr>
              <w:t>电捕焦油器应设连续式自动氧含量分析仪，并与电捕焦油器电</w:t>
            </w:r>
            <w:r>
              <w:rPr>
                <w:rFonts w:ascii="宋体" w:hAnsi="宋体" w:eastAsia="宋体" w:cs="宋体"/>
                <w:color w:val="auto"/>
                <w:szCs w:val="21"/>
              </w:rPr>
              <w:t xml:space="preserve"> </w:t>
            </w:r>
            <w:r>
              <w:rPr>
                <w:rFonts w:ascii="宋体" w:hAnsi="宋体" w:eastAsia="宋体" w:cs="宋体"/>
                <w:color w:val="auto"/>
                <w:spacing w:val="-6"/>
                <w:szCs w:val="21"/>
              </w:rPr>
              <w:t>源联锁。煤气含氧</w:t>
            </w:r>
            <w:r>
              <w:rPr>
                <w:rFonts w:ascii="宋体" w:hAnsi="宋体" w:eastAsia="宋体" w:cs="宋体"/>
                <w:color w:val="auto"/>
                <w:spacing w:val="-3"/>
                <w:szCs w:val="21"/>
              </w:rPr>
              <w:t>量超过 1.0%时报警，超过 2.0%自动断电。电</w:t>
            </w:r>
            <w:r>
              <w:rPr>
                <w:rFonts w:ascii="宋体" w:hAnsi="宋体" w:eastAsia="宋体" w:cs="宋体"/>
                <w:color w:val="auto"/>
                <w:spacing w:val="-1"/>
                <w:szCs w:val="21"/>
              </w:rPr>
              <w:t>捕焦油</w:t>
            </w:r>
            <w:r>
              <w:rPr>
                <w:rFonts w:ascii="宋体" w:hAnsi="宋体" w:eastAsia="宋体" w:cs="宋体"/>
                <w:color w:val="auto"/>
                <w:szCs w:val="21"/>
              </w:rPr>
              <w:t>器位于鼓风机后时，应设泄爆装置。</w:t>
            </w:r>
          </w:p>
        </w:tc>
        <w:tc>
          <w:tcPr>
            <w:tcW w:w="2409" w:type="dxa"/>
          </w:tcPr>
          <w:p>
            <w:pPr>
              <w:spacing w:line="298" w:lineRule="auto"/>
              <w:rPr>
                <w:rFonts w:ascii="Calibri" w:hAnsi="Calibri" w:eastAsia="宋体" w:cs="Times New Roman"/>
                <w:color w:val="auto"/>
              </w:rPr>
            </w:pPr>
          </w:p>
          <w:p>
            <w:pPr>
              <w:jc w:val="center"/>
              <w:rPr>
                <w:rFonts w:ascii="Times New Roman" w:hAnsi="Times New Roman" w:eastAsia="宋体" w:cs="Times New Roman"/>
                <w:color w:val="auto"/>
                <w:szCs w:val="21"/>
              </w:rPr>
            </w:pPr>
            <w:r>
              <w:rPr>
                <w:rFonts w:ascii="宋体" w:hAnsi="宋体" w:eastAsia="宋体" w:cs="宋体"/>
                <w:color w:val="auto"/>
                <w:spacing w:val="6"/>
                <w:szCs w:val="21"/>
              </w:rPr>
              <w:t>《焦化安</w:t>
            </w:r>
            <w:r>
              <w:rPr>
                <w:rFonts w:ascii="宋体" w:hAnsi="宋体" w:eastAsia="宋体" w:cs="宋体"/>
                <w:color w:val="auto"/>
                <w:spacing w:val="5"/>
                <w:szCs w:val="21"/>
              </w:rPr>
              <w:t>全</w:t>
            </w:r>
            <w:r>
              <w:rPr>
                <w:rFonts w:ascii="宋体" w:hAnsi="宋体" w:eastAsia="宋体" w:cs="宋体"/>
                <w:color w:val="auto"/>
                <w:spacing w:val="3"/>
                <w:szCs w:val="21"/>
              </w:rPr>
              <w:t>规程》(</w:t>
            </w:r>
            <w:r>
              <w:rPr>
                <w:rFonts w:ascii="宋体" w:hAnsi="宋体" w:eastAsia="宋体" w:cs="宋体"/>
                <w:color w:val="auto"/>
                <w:szCs w:val="21"/>
              </w:rPr>
              <w:t>GB</w:t>
            </w:r>
            <w:r>
              <w:rPr>
                <w:rFonts w:ascii="宋体" w:hAnsi="宋体" w:eastAsia="宋体" w:cs="宋体"/>
                <w:color w:val="auto"/>
                <w:spacing w:val="3"/>
                <w:szCs w:val="21"/>
              </w:rPr>
              <w:t>12710-2024) 10.1.16</w:t>
            </w:r>
          </w:p>
        </w:tc>
        <w:tc>
          <w:tcPr>
            <w:tcW w:w="1560" w:type="dxa"/>
          </w:tcPr>
          <w:p>
            <w:pPr>
              <w:spacing w:line="298" w:lineRule="auto"/>
              <w:rPr>
                <w:rFonts w:ascii="Calibri" w:hAnsi="Calibri" w:eastAsia="宋体" w:cs="Times New Roman"/>
                <w:color w:val="auto"/>
              </w:rPr>
            </w:pPr>
          </w:p>
          <w:p>
            <w:pPr>
              <w:jc w:val="center"/>
              <w:rPr>
                <w:rFonts w:ascii="Times New Roman" w:hAnsi="Times New Roman" w:eastAsia="宋体" w:cs="Times New Roman"/>
                <w:color w:val="auto"/>
                <w:szCs w:val="21"/>
              </w:rPr>
            </w:pPr>
            <w:r>
              <w:rPr>
                <w:rFonts w:ascii="宋体" w:hAnsi="宋体" w:eastAsia="宋体" w:cs="宋体"/>
                <w:color w:val="auto"/>
                <w:spacing w:val="-2"/>
                <w:szCs w:val="21"/>
              </w:rPr>
              <w:t>查现场、DCS</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85" w:type="dxa"/>
          </w:tcPr>
          <w:p>
            <w:pPr>
              <w:jc w:val="center"/>
              <w:rPr>
                <w:rFonts w:ascii="Times New Roman" w:hAnsi="Times New Roman" w:eastAsia="宋体" w:cs="Times New Roman"/>
                <w:color w:val="auto"/>
                <w:szCs w:val="21"/>
              </w:rPr>
            </w:pPr>
          </w:p>
        </w:tc>
        <w:tc>
          <w:tcPr>
            <w:tcW w:w="737"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26</w:t>
            </w:r>
          </w:p>
        </w:tc>
        <w:tc>
          <w:tcPr>
            <w:tcW w:w="2430" w:type="dxa"/>
          </w:tcPr>
          <w:p>
            <w:pPr>
              <w:rPr>
                <w:rFonts w:ascii="Times New Roman" w:hAnsi="Times New Roman" w:eastAsia="宋体" w:cs="Times New Roman"/>
                <w:color w:val="auto"/>
                <w:szCs w:val="21"/>
              </w:rPr>
            </w:pPr>
            <w:r>
              <w:rPr>
                <w:rFonts w:ascii="宋体" w:hAnsi="宋体" w:eastAsia="宋体" w:cs="宋体"/>
                <w:color w:val="auto"/>
                <w:spacing w:val="-4"/>
                <w:szCs w:val="21"/>
              </w:rPr>
              <w:t>半直接法硫铵饱和器母液满流槽的液封高度， 应大于鼓风机</w:t>
            </w:r>
            <w:r>
              <w:rPr>
                <w:rFonts w:ascii="宋体" w:hAnsi="宋体" w:eastAsia="宋体" w:cs="宋体"/>
                <w:color w:val="auto"/>
                <w:spacing w:val="-2"/>
                <w:szCs w:val="21"/>
              </w:rPr>
              <w:t>的</w:t>
            </w:r>
            <w:r>
              <w:rPr>
                <w:rFonts w:ascii="宋体" w:hAnsi="宋体" w:eastAsia="宋体" w:cs="宋体"/>
                <w:color w:val="auto"/>
                <w:spacing w:val="-8"/>
                <w:szCs w:val="21"/>
              </w:rPr>
              <w:t>全压。</w:t>
            </w:r>
          </w:p>
        </w:tc>
        <w:tc>
          <w:tcPr>
            <w:tcW w:w="2409" w:type="dxa"/>
          </w:tcPr>
          <w:p>
            <w:pPr>
              <w:jc w:val="center"/>
              <w:rPr>
                <w:rFonts w:ascii="Times New Roman" w:hAnsi="Times New Roman" w:eastAsia="宋体" w:cs="Times New Roman"/>
                <w:color w:val="auto"/>
                <w:szCs w:val="21"/>
              </w:rPr>
            </w:pPr>
            <w:r>
              <w:rPr>
                <w:rFonts w:ascii="宋体" w:hAnsi="宋体" w:eastAsia="宋体" w:cs="宋体"/>
                <w:color w:val="auto"/>
                <w:spacing w:val="6"/>
                <w:szCs w:val="21"/>
              </w:rPr>
              <w:t>《焦化安全</w:t>
            </w:r>
            <w:r>
              <w:rPr>
                <w:rFonts w:ascii="宋体" w:hAnsi="宋体" w:eastAsia="宋体" w:cs="宋体"/>
                <w:color w:val="auto"/>
                <w:spacing w:val="5"/>
                <w:szCs w:val="21"/>
              </w:rPr>
              <w:t>规</w:t>
            </w:r>
            <w:r>
              <w:rPr>
                <w:rFonts w:ascii="宋体" w:hAnsi="宋体" w:eastAsia="宋体" w:cs="宋体"/>
                <w:color w:val="auto"/>
                <w:spacing w:val="3"/>
                <w:szCs w:val="21"/>
              </w:rPr>
              <w:t>程》(</w:t>
            </w:r>
            <w:r>
              <w:rPr>
                <w:rFonts w:ascii="宋体" w:hAnsi="宋体" w:eastAsia="宋体" w:cs="宋体"/>
                <w:color w:val="auto"/>
                <w:szCs w:val="21"/>
              </w:rPr>
              <w:t>GB</w:t>
            </w:r>
            <w:r>
              <w:rPr>
                <w:rFonts w:ascii="宋体" w:hAnsi="宋体" w:eastAsia="宋体" w:cs="宋体"/>
                <w:color w:val="auto"/>
                <w:spacing w:val="3"/>
                <w:szCs w:val="21"/>
              </w:rPr>
              <w:t>12710-2024) 10.2.2</w:t>
            </w:r>
          </w:p>
        </w:tc>
        <w:tc>
          <w:tcPr>
            <w:tcW w:w="1560" w:type="dxa"/>
          </w:tcPr>
          <w:p>
            <w:pPr>
              <w:jc w:val="center"/>
              <w:rPr>
                <w:rFonts w:ascii="Times New Roman" w:hAnsi="Times New Roman" w:eastAsia="宋体" w:cs="Times New Roman"/>
                <w:color w:val="auto"/>
                <w:szCs w:val="21"/>
              </w:rPr>
            </w:pPr>
            <w:r>
              <w:rPr>
                <w:rFonts w:ascii="宋体" w:hAnsi="宋体" w:eastAsia="宋体" w:cs="宋体"/>
                <w:color w:val="auto"/>
                <w:spacing w:val="-2"/>
                <w:szCs w:val="21"/>
              </w:rPr>
              <w:t>查现</w:t>
            </w:r>
            <w:r>
              <w:rPr>
                <w:rFonts w:ascii="宋体" w:hAnsi="宋体" w:eastAsia="宋体" w:cs="宋体"/>
                <w:color w:val="auto"/>
                <w:spacing w:val="-1"/>
                <w:szCs w:val="21"/>
              </w:rPr>
              <w:t>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85" w:type="dxa"/>
          </w:tcPr>
          <w:p>
            <w:pPr>
              <w:jc w:val="center"/>
              <w:rPr>
                <w:rFonts w:ascii="Times New Roman" w:hAnsi="Times New Roman" w:eastAsia="宋体" w:cs="Times New Roman"/>
                <w:color w:val="auto"/>
                <w:szCs w:val="21"/>
              </w:rPr>
            </w:pPr>
          </w:p>
        </w:tc>
        <w:tc>
          <w:tcPr>
            <w:tcW w:w="737"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97"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27</w:t>
            </w:r>
          </w:p>
        </w:tc>
        <w:tc>
          <w:tcPr>
            <w:tcW w:w="2430" w:type="dxa"/>
          </w:tcPr>
          <w:p>
            <w:pPr>
              <w:rPr>
                <w:rFonts w:ascii="Times New Roman" w:hAnsi="Times New Roman" w:eastAsia="宋体" w:cs="Times New Roman"/>
                <w:color w:val="auto"/>
                <w:szCs w:val="21"/>
              </w:rPr>
            </w:pPr>
          </w:p>
        </w:tc>
        <w:tc>
          <w:tcPr>
            <w:tcW w:w="2409" w:type="dxa"/>
          </w:tcPr>
          <w:p>
            <w:pPr>
              <w:jc w:val="center"/>
              <w:rPr>
                <w:rFonts w:ascii="Times New Roman" w:hAnsi="Times New Roman" w:eastAsia="宋体" w:cs="Times New Roman"/>
                <w:color w:val="auto"/>
                <w:szCs w:val="21"/>
              </w:rPr>
            </w:pPr>
          </w:p>
        </w:tc>
        <w:tc>
          <w:tcPr>
            <w:tcW w:w="1560" w:type="dxa"/>
          </w:tcPr>
          <w:p>
            <w:pPr>
              <w:jc w:val="center"/>
              <w:rPr>
                <w:rFonts w:ascii="Times New Roman" w:hAnsi="Times New Roman" w:eastAsia="宋体" w:cs="Times New Roman"/>
                <w:color w:val="auto"/>
                <w:szCs w:val="21"/>
              </w:rPr>
            </w:pP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85" w:type="dxa"/>
          </w:tcPr>
          <w:p>
            <w:pPr>
              <w:jc w:val="center"/>
              <w:rPr>
                <w:rFonts w:ascii="Times New Roman" w:hAnsi="Times New Roman" w:eastAsia="宋体" w:cs="Times New Roman"/>
                <w:color w:val="auto"/>
                <w:szCs w:val="21"/>
              </w:rPr>
            </w:pPr>
          </w:p>
        </w:tc>
        <w:tc>
          <w:tcPr>
            <w:tcW w:w="737"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28</w:t>
            </w:r>
          </w:p>
        </w:tc>
        <w:tc>
          <w:tcPr>
            <w:tcW w:w="2430" w:type="dxa"/>
          </w:tcPr>
          <w:p>
            <w:pPr>
              <w:rPr>
                <w:rFonts w:ascii="Times New Roman" w:hAnsi="Times New Roman" w:eastAsia="宋体" w:cs="Times New Roman"/>
                <w:color w:val="auto"/>
                <w:szCs w:val="21"/>
              </w:rPr>
            </w:pPr>
            <w:r>
              <w:rPr>
                <w:rFonts w:ascii="宋体" w:hAnsi="宋体" w:eastAsia="宋体" w:cs="宋体"/>
                <w:color w:val="auto"/>
                <w:spacing w:val="-1"/>
                <w:szCs w:val="21"/>
              </w:rPr>
              <w:t>吡啶的生产、计量及储存</w:t>
            </w:r>
            <w:r>
              <w:rPr>
                <w:rFonts w:ascii="宋体" w:hAnsi="宋体" w:eastAsia="宋体" w:cs="宋体"/>
                <w:color w:val="auto"/>
                <w:szCs w:val="21"/>
              </w:rPr>
              <w:t xml:space="preserve">装置应密闭，其放散管应导入鼓风机 </w:t>
            </w:r>
            <w:r>
              <w:rPr>
                <w:rFonts w:ascii="宋体" w:hAnsi="宋体" w:eastAsia="宋体" w:cs="宋体"/>
                <w:color w:val="auto"/>
                <w:spacing w:val="-4"/>
                <w:szCs w:val="21"/>
              </w:rPr>
              <w:t>前的吸气管道， 以保证吡啶装置处于负压状态；放散管应设</w:t>
            </w:r>
            <w:r>
              <w:rPr>
                <w:rFonts w:ascii="宋体" w:hAnsi="宋体" w:eastAsia="宋体" w:cs="宋体"/>
                <w:color w:val="auto"/>
                <w:spacing w:val="-2"/>
                <w:szCs w:val="21"/>
              </w:rPr>
              <w:t>置吹扫</w:t>
            </w:r>
            <w:r>
              <w:rPr>
                <w:rFonts w:ascii="宋体" w:hAnsi="宋体" w:eastAsia="宋体" w:cs="宋体"/>
                <w:color w:val="auto"/>
                <w:spacing w:val="-1"/>
                <w:szCs w:val="21"/>
              </w:rPr>
              <w:t>蒸汽管。</w:t>
            </w:r>
          </w:p>
        </w:tc>
        <w:tc>
          <w:tcPr>
            <w:tcW w:w="2409" w:type="dxa"/>
          </w:tcPr>
          <w:p>
            <w:pPr>
              <w:spacing w:line="299" w:lineRule="auto"/>
              <w:rPr>
                <w:rFonts w:ascii="Calibri" w:hAnsi="Calibri" w:eastAsia="宋体" w:cs="Times New Roman"/>
                <w:color w:val="auto"/>
              </w:rPr>
            </w:pPr>
          </w:p>
          <w:p>
            <w:pPr>
              <w:jc w:val="center"/>
              <w:rPr>
                <w:rFonts w:ascii="Times New Roman" w:hAnsi="Times New Roman" w:eastAsia="宋体" w:cs="Times New Roman"/>
                <w:color w:val="auto"/>
                <w:szCs w:val="21"/>
              </w:rPr>
            </w:pPr>
            <w:r>
              <w:rPr>
                <w:rFonts w:ascii="宋体" w:hAnsi="宋体" w:eastAsia="宋体" w:cs="宋体"/>
                <w:color w:val="auto"/>
                <w:spacing w:val="6"/>
                <w:szCs w:val="21"/>
              </w:rPr>
              <w:t>《焦化安</w:t>
            </w:r>
            <w:r>
              <w:rPr>
                <w:rFonts w:ascii="宋体" w:hAnsi="宋体" w:eastAsia="宋体" w:cs="宋体"/>
                <w:color w:val="auto"/>
                <w:spacing w:val="5"/>
                <w:szCs w:val="21"/>
              </w:rPr>
              <w:t>全</w:t>
            </w:r>
            <w:r>
              <w:rPr>
                <w:rFonts w:ascii="宋体" w:hAnsi="宋体" w:eastAsia="宋体" w:cs="宋体"/>
                <w:color w:val="auto"/>
                <w:spacing w:val="3"/>
                <w:szCs w:val="21"/>
              </w:rPr>
              <w:t>规程》(</w:t>
            </w:r>
            <w:r>
              <w:rPr>
                <w:rFonts w:ascii="宋体" w:hAnsi="宋体" w:eastAsia="宋体" w:cs="宋体"/>
                <w:color w:val="auto"/>
                <w:szCs w:val="21"/>
              </w:rPr>
              <w:t>GB</w:t>
            </w:r>
            <w:r>
              <w:rPr>
                <w:rFonts w:ascii="宋体" w:hAnsi="宋体" w:eastAsia="宋体" w:cs="宋体"/>
                <w:color w:val="auto"/>
                <w:spacing w:val="3"/>
                <w:szCs w:val="21"/>
              </w:rPr>
              <w:t>12710-2024) 10.2.15</w:t>
            </w:r>
          </w:p>
        </w:tc>
        <w:tc>
          <w:tcPr>
            <w:tcW w:w="1560" w:type="dxa"/>
          </w:tcPr>
          <w:p>
            <w:pPr>
              <w:spacing w:line="299" w:lineRule="auto"/>
              <w:rPr>
                <w:rFonts w:ascii="Calibri" w:hAnsi="Calibri" w:eastAsia="宋体" w:cs="Times New Roman"/>
                <w:color w:val="auto"/>
              </w:rPr>
            </w:pPr>
          </w:p>
          <w:p>
            <w:pPr>
              <w:jc w:val="center"/>
              <w:rPr>
                <w:rFonts w:ascii="Times New Roman" w:hAnsi="Times New Roman" w:eastAsia="宋体" w:cs="Times New Roman"/>
                <w:color w:val="auto"/>
                <w:szCs w:val="21"/>
              </w:rPr>
            </w:pPr>
            <w:r>
              <w:rPr>
                <w:rFonts w:ascii="宋体" w:hAnsi="宋体" w:eastAsia="宋体" w:cs="宋体"/>
                <w:color w:val="auto"/>
                <w:spacing w:val="-2"/>
                <w:szCs w:val="21"/>
              </w:rPr>
              <w:t>查现</w:t>
            </w:r>
            <w:r>
              <w:rPr>
                <w:rFonts w:ascii="宋体" w:hAnsi="宋体" w:eastAsia="宋体" w:cs="宋体"/>
                <w:color w:val="auto"/>
                <w:spacing w:val="-1"/>
                <w:szCs w:val="21"/>
              </w:rPr>
              <w:t>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85" w:type="dxa"/>
          </w:tcPr>
          <w:p>
            <w:pPr>
              <w:jc w:val="center"/>
              <w:rPr>
                <w:rFonts w:ascii="Times New Roman" w:hAnsi="Times New Roman" w:eastAsia="宋体" w:cs="Times New Roman"/>
                <w:color w:val="auto"/>
                <w:szCs w:val="21"/>
              </w:rPr>
            </w:pPr>
          </w:p>
        </w:tc>
        <w:tc>
          <w:tcPr>
            <w:tcW w:w="737"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29</w:t>
            </w:r>
          </w:p>
        </w:tc>
        <w:tc>
          <w:tcPr>
            <w:tcW w:w="2430" w:type="dxa"/>
          </w:tcPr>
          <w:p>
            <w:pPr>
              <w:rPr>
                <w:rFonts w:ascii="Times New Roman" w:hAnsi="Times New Roman" w:eastAsia="宋体" w:cs="Times New Roman"/>
                <w:color w:val="auto"/>
                <w:szCs w:val="21"/>
              </w:rPr>
            </w:pPr>
            <w:r>
              <w:rPr>
                <w:rFonts w:ascii="宋体" w:hAnsi="宋体" w:eastAsia="宋体" w:cs="宋体"/>
                <w:color w:val="auto"/>
                <w:spacing w:val="-1"/>
                <w:szCs w:val="21"/>
              </w:rPr>
              <w:t>查氨分解炉</w:t>
            </w:r>
            <w:r>
              <w:rPr>
                <w:rFonts w:ascii="宋体" w:hAnsi="宋体" w:eastAsia="宋体" w:cs="宋体"/>
                <w:color w:val="auto"/>
                <w:szCs w:val="21"/>
              </w:rPr>
              <w:t>、克劳斯炉系统是否存在超温、超压操作现象。</w:t>
            </w:r>
          </w:p>
        </w:tc>
        <w:tc>
          <w:tcPr>
            <w:tcW w:w="2409" w:type="dxa"/>
          </w:tcPr>
          <w:p>
            <w:pPr>
              <w:jc w:val="center"/>
              <w:rPr>
                <w:rFonts w:ascii="Times New Roman" w:hAnsi="Times New Roman" w:eastAsia="宋体" w:cs="Times New Roman"/>
                <w:color w:val="auto"/>
                <w:szCs w:val="21"/>
              </w:rPr>
            </w:pPr>
            <w:r>
              <w:rPr>
                <w:rFonts w:ascii="宋体" w:hAnsi="宋体" w:eastAsia="宋体" w:cs="宋体"/>
                <w:color w:val="auto"/>
                <w:spacing w:val="6"/>
                <w:szCs w:val="21"/>
              </w:rPr>
              <w:t>《焦化安全</w:t>
            </w:r>
            <w:r>
              <w:rPr>
                <w:rFonts w:ascii="宋体" w:hAnsi="宋体" w:eastAsia="宋体" w:cs="宋体"/>
                <w:color w:val="auto"/>
                <w:spacing w:val="5"/>
                <w:szCs w:val="21"/>
              </w:rPr>
              <w:t>规</w:t>
            </w:r>
            <w:r>
              <w:rPr>
                <w:rFonts w:ascii="宋体" w:hAnsi="宋体" w:eastAsia="宋体" w:cs="宋体"/>
                <w:color w:val="auto"/>
                <w:spacing w:val="3"/>
                <w:szCs w:val="21"/>
              </w:rPr>
              <w:t>程》(</w:t>
            </w:r>
            <w:r>
              <w:rPr>
                <w:rFonts w:ascii="宋体" w:hAnsi="宋体" w:eastAsia="宋体" w:cs="宋体"/>
                <w:color w:val="auto"/>
                <w:szCs w:val="21"/>
              </w:rPr>
              <w:t>GB</w:t>
            </w:r>
            <w:r>
              <w:rPr>
                <w:rFonts w:ascii="宋体" w:hAnsi="宋体" w:eastAsia="宋体" w:cs="宋体"/>
                <w:color w:val="auto"/>
                <w:spacing w:val="3"/>
                <w:szCs w:val="21"/>
              </w:rPr>
              <w:t>12710-2024) 10.4.8</w:t>
            </w:r>
          </w:p>
        </w:tc>
        <w:tc>
          <w:tcPr>
            <w:tcW w:w="1560" w:type="dxa"/>
          </w:tcPr>
          <w:p>
            <w:pPr>
              <w:jc w:val="center"/>
              <w:rPr>
                <w:rFonts w:ascii="Times New Roman" w:hAnsi="Times New Roman" w:eastAsia="宋体" w:cs="Times New Roman"/>
                <w:color w:val="auto"/>
                <w:szCs w:val="21"/>
              </w:rPr>
            </w:pPr>
            <w:r>
              <w:rPr>
                <w:rFonts w:ascii="宋体" w:hAnsi="宋体" w:eastAsia="宋体" w:cs="宋体"/>
                <w:color w:val="auto"/>
                <w:spacing w:val="-7"/>
                <w:szCs w:val="21"/>
              </w:rPr>
              <w:t>查</w:t>
            </w:r>
            <w:r>
              <w:rPr>
                <w:rFonts w:ascii="宋体" w:hAnsi="宋体" w:eastAsia="宋体" w:cs="宋体"/>
                <w:color w:val="auto"/>
                <w:spacing w:val="-4"/>
                <w:szCs w:val="21"/>
              </w:rPr>
              <w:t>现场、查DCS、</w:t>
            </w:r>
            <w:r>
              <w:rPr>
                <w:rFonts w:ascii="宋体" w:hAnsi="宋体" w:eastAsia="宋体" w:cs="宋体"/>
                <w:color w:val="auto"/>
                <w:szCs w:val="21"/>
              </w:rPr>
              <w:t xml:space="preserve"> </w:t>
            </w:r>
            <w:r>
              <w:rPr>
                <w:rFonts w:ascii="宋体" w:hAnsi="宋体" w:eastAsia="宋体" w:cs="宋体"/>
                <w:color w:val="auto"/>
                <w:spacing w:val="-2"/>
                <w:szCs w:val="21"/>
              </w:rPr>
              <w:t>查操作</w:t>
            </w:r>
            <w:r>
              <w:rPr>
                <w:rFonts w:ascii="宋体" w:hAnsi="宋体" w:eastAsia="宋体" w:cs="宋体"/>
                <w:color w:val="auto"/>
                <w:spacing w:val="-1"/>
                <w:szCs w:val="21"/>
              </w:rPr>
              <w:t>规程</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85" w:type="dxa"/>
          </w:tcPr>
          <w:p>
            <w:pPr>
              <w:jc w:val="center"/>
              <w:rPr>
                <w:rFonts w:ascii="Times New Roman" w:hAnsi="Times New Roman" w:eastAsia="宋体" w:cs="Times New Roman"/>
                <w:color w:val="auto"/>
                <w:szCs w:val="21"/>
              </w:rPr>
            </w:pPr>
          </w:p>
        </w:tc>
        <w:tc>
          <w:tcPr>
            <w:tcW w:w="737"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30</w:t>
            </w:r>
          </w:p>
        </w:tc>
        <w:tc>
          <w:tcPr>
            <w:tcW w:w="2430" w:type="dxa"/>
          </w:tcPr>
          <w:p>
            <w:pPr>
              <w:rPr>
                <w:rFonts w:ascii="Calibri" w:hAnsi="Calibri" w:eastAsia="宋体" w:cs="Times New Roman"/>
                <w:color w:val="auto"/>
                <w:szCs w:val="21"/>
              </w:rPr>
            </w:pPr>
            <w:r>
              <w:rPr>
                <w:rFonts w:ascii="宋体" w:hAnsi="宋体" w:eastAsia="宋体" w:cs="宋体"/>
                <w:color w:val="auto"/>
                <w:spacing w:val="-1"/>
                <w:szCs w:val="21"/>
              </w:rPr>
              <w:t>黄血盐吸收塔需要开盖或长期停塔时,应采取降温或隔绝空气等措施，吸收塔进口管道上应装设泄爆装置。</w:t>
            </w:r>
          </w:p>
        </w:tc>
        <w:tc>
          <w:tcPr>
            <w:tcW w:w="2409" w:type="dxa"/>
          </w:tcPr>
          <w:p>
            <w:pPr>
              <w:jc w:val="center"/>
              <w:rPr>
                <w:rFonts w:ascii="Times New Roman" w:hAnsi="Times New Roman" w:eastAsia="宋体" w:cs="Times New Roman"/>
                <w:color w:val="auto"/>
                <w:szCs w:val="21"/>
              </w:rPr>
            </w:pPr>
            <w:r>
              <w:rPr>
                <w:rFonts w:ascii="宋体" w:hAnsi="宋体" w:eastAsia="宋体" w:cs="宋体"/>
                <w:color w:val="auto"/>
                <w:spacing w:val="6"/>
                <w:szCs w:val="21"/>
              </w:rPr>
              <w:t>《焦化安</w:t>
            </w:r>
            <w:r>
              <w:rPr>
                <w:rFonts w:ascii="宋体" w:hAnsi="宋体" w:eastAsia="宋体" w:cs="宋体"/>
                <w:color w:val="auto"/>
                <w:spacing w:val="5"/>
                <w:szCs w:val="21"/>
              </w:rPr>
              <w:t>全</w:t>
            </w:r>
            <w:r>
              <w:rPr>
                <w:rFonts w:ascii="宋体" w:hAnsi="宋体" w:eastAsia="宋体" w:cs="宋体"/>
                <w:color w:val="auto"/>
                <w:spacing w:val="3"/>
                <w:szCs w:val="21"/>
              </w:rPr>
              <w:t>规程》(</w:t>
            </w:r>
            <w:r>
              <w:rPr>
                <w:rFonts w:ascii="宋体" w:hAnsi="宋体" w:eastAsia="宋体" w:cs="宋体"/>
                <w:color w:val="auto"/>
                <w:szCs w:val="21"/>
              </w:rPr>
              <w:t>GB</w:t>
            </w:r>
            <w:r>
              <w:rPr>
                <w:rFonts w:ascii="宋体" w:hAnsi="宋体" w:eastAsia="宋体" w:cs="宋体"/>
                <w:color w:val="auto"/>
                <w:spacing w:val="3"/>
                <w:szCs w:val="21"/>
              </w:rPr>
              <w:t>12710-2024) 11.2.19、11.2.20</w:t>
            </w:r>
          </w:p>
        </w:tc>
        <w:tc>
          <w:tcPr>
            <w:tcW w:w="1560" w:type="dxa"/>
          </w:tcPr>
          <w:p>
            <w:pPr>
              <w:jc w:val="center"/>
              <w:rPr>
                <w:rFonts w:ascii="Times New Roman" w:hAnsi="Times New Roman" w:eastAsia="宋体" w:cs="Times New Roman"/>
                <w:color w:val="auto"/>
                <w:szCs w:val="21"/>
              </w:rPr>
            </w:pPr>
            <w:r>
              <w:rPr>
                <w:rFonts w:ascii="宋体" w:hAnsi="宋体" w:eastAsia="宋体" w:cs="宋体"/>
                <w:color w:val="auto"/>
                <w:spacing w:val="-2"/>
                <w:szCs w:val="21"/>
              </w:rPr>
              <w:t>查现</w:t>
            </w:r>
            <w:r>
              <w:rPr>
                <w:rFonts w:ascii="宋体" w:hAnsi="宋体" w:eastAsia="宋体" w:cs="宋体"/>
                <w:color w:val="auto"/>
                <w:spacing w:val="-1"/>
                <w:szCs w:val="21"/>
              </w:rPr>
              <w:t>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85" w:type="dxa"/>
          </w:tcPr>
          <w:p>
            <w:pPr>
              <w:jc w:val="center"/>
              <w:rPr>
                <w:rFonts w:ascii="Times New Roman" w:hAnsi="Times New Roman" w:eastAsia="宋体" w:cs="Times New Roman"/>
                <w:color w:val="auto"/>
                <w:szCs w:val="21"/>
              </w:rPr>
            </w:pPr>
          </w:p>
        </w:tc>
        <w:tc>
          <w:tcPr>
            <w:tcW w:w="737"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97"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31</w:t>
            </w:r>
          </w:p>
        </w:tc>
        <w:tc>
          <w:tcPr>
            <w:tcW w:w="2430" w:type="dxa"/>
          </w:tcPr>
          <w:p>
            <w:pPr>
              <w:rPr>
                <w:rFonts w:hint="eastAsia" w:ascii="宋体" w:hAnsi="宋体" w:eastAsia="宋体" w:cs="宋体"/>
                <w:color w:val="auto"/>
                <w:spacing w:val="-2"/>
                <w:szCs w:val="21"/>
              </w:rPr>
            </w:pPr>
            <w:r>
              <w:rPr>
                <w:rFonts w:ascii="宋体" w:hAnsi="宋体" w:eastAsia="宋体" w:cs="宋体"/>
                <w:color w:val="auto"/>
                <w:spacing w:val="-2"/>
                <w:szCs w:val="21"/>
              </w:rPr>
              <w:t>苯加氢装置应设置独立的火炬，高架火炬的设置应符合下列规定:</w:t>
            </w:r>
            <w:r>
              <w:rPr>
                <w:rFonts w:ascii="宋体" w:hAnsi="宋体" w:eastAsia="宋体" w:cs="宋体"/>
                <w:color w:val="auto"/>
                <w:spacing w:val="-2"/>
                <w:szCs w:val="21"/>
              </w:rPr>
              <w:cr/>
            </w:r>
            <w:r>
              <w:rPr>
                <w:rFonts w:ascii="宋体" w:hAnsi="宋体" w:eastAsia="宋体" w:cs="宋体"/>
                <w:color w:val="auto"/>
                <w:spacing w:val="-2"/>
                <w:szCs w:val="21"/>
              </w:rPr>
              <w:t>a)火炬高度的确定,应符合SH3009的规定;</w:t>
            </w:r>
          </w:p>
          <w:p>
            <w:pPr>
              <w:rPr>
                <w:rFonts w:hint="eastAsia" w:ascii="宋体" w:hAnsi="宋体" w:eastAsia="宋体" w:cs="宋体"/>
                <w:color w:val="auto"/>
                <w:spacing w:val="-2"/>
                <w:szCs w:val="21"/>
              </w:rPr>
            </w:pPr>
            <w:r>
              <w:rPr>
                <w:rFonts w:ascii="宋体" w:hAnsi="宋体" w:eastAsia="宋体" w:cs="宋体"/>
                <w:color w:val="auto"/>
                <w:spacing w:val="-2"/>
                <w:szCs w:val="21"/>
              </w:rPr>
              <w:t>b)火炬的辐射热不应影响人身及设备的安全;</w:t>
            </w:r>
          </w:p>
          <w:p>
            <w:pPr>
              <w:rPr>
                <w:rFonts w:hint="eastAsia" w:ascii="宋体" w:hAnsi="宋体" w:eastAsia="宋体" w:cs="宋体"/>
                <w:color w:val="auto"/>
                <w:spacing w:val="-2"/>
                <w:szCs w:val="21"/>
              </w:rPr>
            </w:pPr>
            <w:r>
              <w:rPr>
                <w:rFonts w:ascii="宋体" w:hAnsi="宋体" w:eastAsia="宋体" w:cs="宋体"/>
                <w:color w:val="auto"/>
                <w:spacing w:val="-2"/>
                <w:szCs w:val="21"/>
              </w:rPr>
              <w:t>c)应设置高空电点火器和地面传燃式点火器,点火器应配备不间断电源;</w:t>
            </w:r>
          </w:p>
          <w:p>
            <w:pPr>
              <w:rPr>
                <w:rFonts w:hint="eastAsia" w:ascii="宋体" w:hAnsi="宋体" w:eastAsia="宋体" w:cs="宋体"/>
                <w:color w:val="auto"/>
                <w:spacing w:val="-2"/>
                <w:szCs w:val="21"/>
              </w:rPr>
            </w:pPr>
            <w:r>
              <w:rPr>
                <w:rFonts w:ascii="宋体" w:hAnsi="宋体" w:eastAsia="宋体" w:cs="宋体"/>
                <w:color w:val="auto"/>
                <w:spacing w:val="-2"/>
                <w:szCs w:val="21"/>
              </w:rPr>
              <w:t>d)高空电点火器的数量应与长明灯的数量相同,每个火炬头应设置一台地面传燃式点火器,其引火管应从点火器至每个长明灯单独设置;</w:t>
            </w:r>
            <w:r>
              <w:rPr>
                <w:rFonts w:ascii="宋体" w:hAnsi="宋体" w:eastAsia="宋体" w:cs="宋体"/>
                <w:color w:val="auto"/>
                <w:spacing w:val="-2"/>
                <w:szCs w:val="21"/>
              </w:rPr>
              <w:cr/>
            </w:r>
            <w:r>
              <w:rPr>
                <w:rFonts w:ascii="宋体" w:hAnsi="宋体" w:eastAsia="宋体" w:cs="宋体"/>
                <w:color w:val="auto"/>
                <w:spacing w:val="-2"/>
                <w:szCs w:val="21"/>
              </w:rPr>
              <w:t>e)火炬系统应采取防止回火措施;</w:t>
            </w:r>
          </w:p>
          <w:p>
            <w:pPr>
              <w:rPr>
                <w:rFonts w:ascii="Calibri" w:hAnsi="Calibri" w:eastAsia="宋体" w:cs="Times New Roman"/>
                <w:color w:val="auto"/>
                <w:szCs w:val="21"/>
              </w:rPr>
            </w:pPr>
            <w:r>
              <w:rPr>
                <w:rFonts w:ascii="宋体" w:hAnsi="宋体" w:eastAsia="宋体" w:cs="宋体"/>
                <w:color w:val="auto"/>
                <w:spacing w:val="-2"/>
                <w:szCs w:val="21"/>
              </w:rPr>
              <w:t>f)距火炬筒30m 范围内,不应有可燃气体放空</w:t>
            </w:r>
            <w:r>
              <w:rPr>
                <w:rFonts w:ascii="宋体" w:hAnsi="宋体" w:eastAsia="宋体" w:cs="宋体"/>
                <w:color w:val="auto"/>
                <w:spacing w:val="-1"/>
                <w:szCs w:val="21"/>
              </w:rPr>
              <w:t>。</w:t>
            </w:r>
          </w:p>
        </w:tc>
        <w:tc>
          <w:tcPr>
            <w:tcW w:w="2409" w:type="dxa"/>
          </w:tcPr>
          <w:p>
            <w:pPr>
              <w:jc w:val="center"/>
              <w:rPr>
                <w:rFonts w:hint="eastAsia" w:ascii="宋体" w:hAnsi="宋体" w:eastAsia="宋体" w:cs="宋体"/>
                <w:color w:val="auto"/>
                <w:spacing w:val="-4"/>
                <w:szCs w:val="21"/>
              </w:rPr>
            </w:pPr>
            <w:r>
              <w:rPr>
                <w:rFonts w:ascii="宋体" w:hAnsi="宋体" w:eastAsia="宋体" w:cs="宋体"/>
                <w:color w:val="auto"/>
                <w:spacing w:val="-4"/>
                <w:szCs w:val="21"/>
              </w:rPr>
              <w:t xml:space="preserve">《焦化安全规程》(GB12710-2024) </w:t>
            </w:r>
          </w:p>
          <w:p>
            <w:pPr>
              <w:jc w:val="center"/>
              <w:rPr>
                <w:rFonts w:ascii="Times New Roman" w:hAnsi="Times New Roman" w:eastAsia="宋体" w:cs="Times New Roman"/>
                <w:color w:val="auto"/>
                <w:szCs w:val="21"/>
              </w:rPr>
            </w:pPr>
            <w:r>
              <w:rPr>
                <w:rFonts w:ascii="宋体" w:hAnsi="宋体" w:eastAsia="宋体" w:cs="宋体"/>
                <w:color w:val="auto"/>
                <w:spacing w:val="-4"/>
                <w:szCs w:val="21"/>
              </w:rPr>
              <w:t>11.5.1、11.5.2</w:t>
            </w:r>
          </w:p>
        </w:tc>
        <w:tc>
          <w:tcPr>
            <w:tcW w:w="1560" w:type="dxa"/>
          </w:tcPr>
          <w:p>
            <w:pPr>
              <w:jc w:val="center"/>
              <w:rPr>
                <w:rFonts w:ascii="Times New Roman" w:hAnsi="Times New Roman" w:eastAsia="宋体" w:cs="Times New Roman"/>
                <w:color w:val="auto"/>
                <w:szCs w:val="21"/>
              </w:rPr>
            </w:pPr>
            <w:r>
              <w:rPr>
                <w:rFonts w:ascii="宋体" w:hAnsi="宋体" w:eastAsia="宋体" w:cs="宋体"/>
                <w:color w:val="auto"/>
                <w:spacing w:val="-2"/>
                <w:szCs w:val="21"/>
              </w:rPr>
              <w:t>查现</w:t>
            </w:r>
            <w:r>
              <w:rPr>
                <w:rFonts w:ascii="宋体" w:hAnsi="宋体" w:eastAsia="宋体" w:cs="宋体"/>
                <w:color w:val="auto"/>
                <w:spacing w:val="-1"/>
                <w:szCs w:val="21"/>
              </w:rPr>
              <w:t>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85" w:type="dxa"/>
          </w:tcPr>
          <w:p>
            <w:pPr>
              <w:jc w:val="center"/>
              <w:rPr>
                <w:rFonts w:ascii="Times New Roman" w:hAnsi="Times New Roman" w:eastAsia="宋体" w:cs="Times New Roman"/>
                <w:color w:val="auto"/>
                <w:szCs w:val="21"/>
              </w:rPr>
            </w:pPr>
          </w:p>
        </w:tc>
        <w:tc>
          <w:tcPr>
            <w:tcW w:w="737"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32</w:t>
            </w:r>
          </w:p>
        </w:tc>
        <w:tc>
          <w:tcPr>
            <w:tcW w:w="2430" w:type="dxa"/>
          </w:tcPr>
          <w:p>
            <w:pPr>
              <w:rPr>
                <w:rFonts w:ascii="Calibri" w:hAnsi="Calibri" w:eastAsia="宋体" w:cs="Times New Roman"/>
                <w:color w:val="auto"/>
                <w:szCs w:val="21"/>
              </w:rPr>
            </w:pPr>
            <w:r>
              <w:rPr>
                <w:rFonts w:ascii="宋体" w:hAnsi="宋体" w:eastAsia="宋体" w:cs="宋体"/>
                <w:color w:val="auto"/>
                <w:spacing w:val="-1"/>
                <w:szCs w:val="21"/>
              </w:rPr>
              <w:t>可燃、有毒介质装车应采用带有放散气收集密封式装料臂。</w:t>
            </w:r>
          </w:p>
        </w:tc>
        <w:tc>
          <w:tcPr>
            <w:tcW w:w="2409" w:type="dxa"/>
          </w:tcPr>
          <w:p>
            <w:pPr>
              <w:jc w:val="center"/>
              <w:rPr>
                <w:rFonts w:ascii="Times New Roman" w:hAnsi="Times New Roman" w:eastAsia="宋体" w:cs="Times New Roman"/>
                <w:color w:val="auto"/>
                <w:szCs w:val="21"/>
              </w:rPr>
            </w:pPr>
            <w:r>
              <w:rPr>
                <w:rFonts w:ascii="宋体" w:hAnsi="宋体" w:eastAsia="宋体" w:cs="宋体"/>
                <w:color w:val="auto"/>
                <w:spacing w:val="4"/>
                <w:szCs w:val="21"/>
              </w:rPr>
              <w:t>《焦化安全规程》(</w:t>
            </w:r>
            <w:r>
              <w:rPr>
                <w:rFonts w:ascii="宋体" w:hAnsi="宋体" w:eastAsia="宋体" w:cs="宋体"/>
                <w:color w:val="auto"/>
                <w:szCs w:val="21"/>
              </w:rPr>
              <w:t>GB</w:t>
            </w:r>
            <w:r>
              <w:rPr>
                <w:rFonts w:ascii="宋体" w:hAnsi="宋体" w:eastAsia="宋体" w:cs="宋体"/>
                <w:color w:val="auto"/>
                <w:spacing w:val="4"/>
                <w:szCs w:val="21"/>
              </w:rPr>
              <w:t>12710-2024) 14.8</w:t>
            </w:r>
          </w:p>
        </w:tc>
        <w:tc>
          <w:tcPr>
            <w:tcW w:w="1560" w:type="dxa"/>
          </w:tcPr>
          <w:p>
            <w:pPr>
              <w:jc w:val="center"/>
              <w:rPr>
                <w:rFonts w:ascii="Times New Roman" w:hAnsi="Times New Roman" w:eastAsia="宋体" w:cs="Times New Roman"/>
                <w:color w:val="auto"/>
                <w:szCs w:val="21"/>
              </w:rPr>
            </w:pPr>
            <w:r>
              <w:rPr>
                <w:rFonts w:ascii="宋体" w:hAnsi="宋体" w:eastAsia="宋体" w:cs="宋体"/>
                <w:color w:val="auto"/>
                <w:spacing w:val="-2"/>
                <w:szCs w:val="21"/>
              </w:rPr>
              <w:t>查现</w:t>
            </w:r>
            <w:r>
              <w:rPr>
                <w:rFonts w:ascii="宋体" w:hAnsi="宋体" w:eastAsia="宋体" w:cs="宋体"/>
                <w:color w:val="auto"/>
                <w:spacing w:val="-1"/>
                <w:szCs w:val="21"/>
              </w:rPr>
              <w:t>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85" w:type="dxa"/>
          </w:tcPr>
          <w:p>
            <w:pPr>
              <w:jc w:val="center"/>
              <w:rPr>
                <w:rFonts w:ascii="Times New Roman" w:hAnsi="Times New Roman" w:eastAsia="宋体" w:cs="Times New Roman"/>
                <w:color w:val="auto"/>
                <w:szCs w:val="21"/>
              </w:rPr>
            </w:pPr>
          </w:p>
        </w:tc>
        <w:tc>
          <w:tcPr>
            <w:tcW w:w="737"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33</w:t>
            </w:r>
          </w:p>
        </w:tc>
        <w:tc>
          <w:tcPr>
            <w:tcW w:w="2430" w:type="dxa"/>
          </w:tcPr>
          <w:p>
            <w:pPr>
              <w:rPr>
                <w:rFonts w:ascii="Calibri" w:hAnsi="Calibri" w:eastAsia="宋体" w:cs="Times New Roman"/>
                <w:color w:val="auto"/>
                <w:szCs w:val="21"/>
              </w:rPr>
            </w:pPr>
            <w:r>
              <w:rPr>
                <w:rFonts w:ascii="宋体" w:hAnsi="宋体" w:eastAsia="宋体" w:cs="宋体"/>
                <w:color w:val="auto"/>
                <w:spacing w:val="-1"/>
                <w:szCs w:val="21"/>
              </w:rPr>
              <w:t>连续操作的可</w:t>
            </w:r>
            <w:r>
              <w:rPr>
                <w:rFonts w:ascii="宋体" w:hAnsi="宋体" w:eastAsia="宋体" w:cs="宋体"/>
                <w:color w:val="auto"/>
                <w:szCs w:val="21"/>
              </w:rPr>
              <w:t xml:space="preserve">燃气体管道的低点应设两道排液阀，排出的液体应 </w:t>
            </w:r>
            <w:r>
              <w:rPr>
                <w:rFonts w:ascii="宋体" w:hAnsi="宋体" w:eastAsia="宋体" w:cs="宋体"/>
                <w:color w:val="auto"/>
                <w:spacing w:val="-1"/>
                <w:szCs w:val="21"/>
              </w:rPr>
              <w:t>排放至密闭</w:t>
            </w:r>
            <w:r>
              <w:rPr>
                <w:rFonts w:ascii="宋体" w:hAnsi="宋体" w:eastAsia="宋体" w:cs="宋体"/>
                <w:color w:val="auto"/>
                <w:szCs w:val="21"/>
              </w:rPr>
              <w:t xml:space="preserve">系统；仅在开停工时使用的排液阀，可设一道阀门， </w:t>
            </w:r>
            <w:r>
              <w:rPr>
                <w:rFonts w:ascii="宋体" w:hAnsi="宋体" w:eastAsia="宋体" w:cs="宋体"/>
                <w:color w:val="auto"/>
                <w:spacing w:val="-1"/>
                <w:szCs w:val="21"/>
              </w:rPr>
              <w:t>并加丝堵</w:t>
            </w:r>
            <w:r>
              <w:rPr>
                <w:rFonts w:ascii="宋体" w:hAnsi="宋体" w:eastAsia="宋体" w:cs="宋体"/>
                <w:color w:val="auto"/>
                <w:szCs w:val="21"/>
              </w:rPr>
              <w:t>、管帽、盲板或法兰盖。</w:t>
            </w:r>
          </w:p>
        </w:tc>
        <w:tc>
          <w:tcPr>
            <w:tcW w:w="2409" w:type="dxa"/>
          </w:tcPr>
          <w:p>
            <w:pPr>
              <w:jc w:val="center"/>
              <w:rPr>
                <w:rFonts w:ascii="Times New Roman" w:hAnsi="Times New Roman" w:eastAsia="宋体" w:cs="Times New Roman"/>
                <w:color w:val="auto"/>
                <w:szCs w:val="21"/>
              </w:rPr>
            </w:pPr>
            <w:r>
              <w:rPr>
                <w:rFonts w:ascii="宋体" w:hAnsi="宋体" w:eastAsia="宋体" w:cs="宋体"/>
                <w:color w:val="auto"/>
                <w:spacing w:val="-4"/>
                <w:szCs w:val="21"/>
              </w:rPr>
              <w:t>《石油化工企业设计防火标准》 (</w:t>
            </w:r>
            <w:r>
              <w:rPr>
                <w:rFonts w:ascii="宋体" w:hAnsi="宋体" w:eastAsia="宋体" w:cs="宋体"/>
                <w:color w:val="auto"/>
                <w:spacing w:val="-3"/>
                <w:szCs w:val="21"/>
              </w:rPr>
              <w:t>G</w:t>
            </w:r>
            <w:r>
              <w:rPr>
                <w:rFonts w:ascii="宋体" w:hAnsi="宋体" w:eastAsia="宋体" w:cs="宋体"/>
                <w:color w:val="auto"/>
                <w:szCs w:val="21"/>
              </w:rPr>
              <w:t>B</w:t>
            </w:r>
            <w:r>
              <w:rPr>
                <w:rFonts w:ascii="宋体" w:hAnsi="宋体" w:eastAsia="宋体" w:cs="宋体"/>
                <w:color w:val="auto"/>
                <w:spacing w:val="-4"/>
                <w:szCs w:val="21"/>
              </w:rPr>
              <w:t>50160-2008)</w:t>
            </w:r>
            <w:r>
              <w:rPr>
                <w:rFonts w:ascii="宋体" w:hAnsi="宋体" w:eastAsia="宋体" w:cs="宋体"/>
                <w:color w:val="auto"/>
                <w:szCs w:val="21"/>
              </w:rPr>
              <w:t xml:space="preserve"> </w:t>
            </w:r>
            <w:r>
              <w:rPr>
                <w:rFonts w:ascii="宋体" w:hAnsi="宋体" w:eastAsia="宋体" w:cs="宋体"/>
                <w:color w:val="auto"/>
                <w:spacing w:val="4"/>
                <w:szCs w:val="21"/>
              </w:rPr>
              <w:t>(2018</w:t>
            </w:r>
            <w:r>
              <w:rPr>
                <w:rFonts w:ascii="宋体" w:hAnsi="宋体" w:eastAsia="宋体" w:cs="宋体"/>
                <w:color w:val="auto"/>
                <w:spacing w:val="3"/>
                <w:szCs w:val="21"/>
              </w:rPr>
              <w:t xml:space="preserve"> </w:t>
            </w:r>
            <w:r>
              <w:rPr>
                <w:rFonts w:ascii="宋体" w:hAnsi="宋体" w:eastAsia="宋体" w:cs="宋体"/>
                <w:color w:val="auto"/>
                <w:spacing w:val="2"/>
                <w:szCs w:val="21"/>
              </w:rPr>
              <w:t>年版) 7.2.8</w:t>
            </w:r>
          </w:p>
        </w:tc>
        <w:tc>
          <w:tcPr>
            <w:tcW w:w="1560" w:type="dxa"/>
          </w:tcPr>
          <w:p>
            <w:pPr>
              <w:spacing w:line="301" w:lineRule="auto"/>
              <w:rPr>
                <w:rFonts w:ascii="Calibri" w:hAnsi="Calibri" w:eastAsia="宋体" w:cs="Times New Roman"/>
                <w:color w:val="auto"/>
              </w:rPr>
            </w:pPr>
          </w:p>
          <w:p>
            <w:pPr>
              <w:jc w:val="center"/>
              <w:rPr>
                <w:rFonts w:ascii="Times New Roman" w:hAnsi="Times New Roman" w:eastAsia="宋体" w:cs="Times New Roman"/>
                <w:color w:val="auto"/>
                <w:szCs w:val="21"/>
              </w:rPr>
            </w:pPr>
            <w:r>
              <w:rPr>
                <w:rFonts w:ascii="宋体" w:hAnsi="宋体" w:eastAsia="宋体" w:cs="宋体"/>
                <w:color w:val="auto"/>
                <w:spacing w:val="-2"/>
                <w:szCs w:val="21"/>
              </w:rPr>
              <w:t>查现</w:t>
            </w:r>
            <w:r>
              <w:rPr>
                <w:rFonts w:ascii="宋体" w:hAnsi="宋体" w:eastAsia="宋体" w:cs="宋体"/>
                <w:color w:val="auto"/>
                <w:spacing w:val="-1"/>
                <w:szCs w:val="21"/>
              </w:rPr>
              <w:t>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85" w:type="dxa"/>
          </w:tcPr>
          <w:p>
            <w:pPr>
              <w:jc w:val="center"/>
              <w:rPr>
                <w:rFonts w:ascii="Times New Roman" w:hAnsi="Times New Roman" w:eastAsia="宋体" w:cs="Times New Roman"/>
                <w:color w:val="auto"/>
                <w:szCs w:val="21"/>
              </w:rPr>
            </w:pPr>
          </w:p>
        </w:tc>
        <w:tc>
          <w:tcPr>
            <w:tcW w:w="737"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34</w:t>
            </w:r>
          </w:p>
        </w:tc>
        <w:tc>
          <w:tcPr>
            <w:tcW w:w="2430" w:type="dxa"/>
          </w:tcPr>
          <w:p>
            <w:pPr>
              <w:rPr>
                <w:rFonts w:ascii="Calibri" w:hAnsi="Calibri" w:eastAsia="宋体" w:cs="Times New Roman"/>
                <w:color w:val="auto"/>
                <w:szCs w:val="21"/>
              </w:rPr>
            </w:pPr>
            <w:r>
              <w:rPr>
                <w:rFonts w:ascii="宋体" w:hAnsi="宋体" w:eastAsia="宋体" w:cs="宋体"/>
                <w:color w:val="auto"/>
                <w:spacing w:val="14"/>
                <w:szCs w:val="21"/>
              </w:rPr>
              <w:t>对</w:t>
            </w:r>
            <w:r>
              <w:rPr>
                <w:rFonts w:ascii="宋体" w:hAnsi="宋体" w:eastAsia="宋体" w:cs="宋体"/>
                <w:color w:val="auto"/>
                <w:spacing w:val="13"/>
                <w:szCs w:val="21"/>
              </w:rPr>
              <w:t>存</w:t>
            </w:r>
            <w:r>
              <w:rPr>
                <w:rFonts w:ascii="宋体" w:hAnsi="宋体" w:eastAsia="宋体" w:cs="宋体"/>
                <w:color w:val="auto"/>
                <w:spacing w:val="7"/>
                <w:szCs w:val="21"/>
              </w:rPr>
              <w:t>在剧毒及高毒类物质的工艺环节要采用密闭取样系统，有</w:t>
            </w:r>
            <w:r>
              <w:rPr>
                <w:rFonts w:ascii="宋体" w:hAnsi="宋体" w:eastAsia="宋体" w:cs="宋体"/>
                <w:color w:val="auto"/>
                <w:szCs w:val="21"/>
              </w:rPr>
              <w:t xml:space="preserve"> </w:t>
            </w:r>
            <w:r>
              <w:rPr>
                <w:rFonts w:ascii="宋体" w:hAnsi="宋体" w:eastAsia="宋体" w:cs="宋体"/>
                <w:color w:val="auto"/>
                <w:spacing w:val="-1"/>
                <w:szCs w:val="21"/>
              </w:rPr>
              <w:t>毒、可燃气</w:t>
            </w:r>
            <w:r>
              <w:rPr>
                <w:rFonts w:ascii="宋体" w:hAnsi="宋体" w:eastAsia="宋体" w:cs="宋体"/>
                <w:color w:val="auto"/>
                <w:szCs w:val="21"/>
              </w:rPr>
              <w:t>体的安全泄压排放要采取密闭措施。</w:t>
            </w:r>
          </w:p>
        </w:tc>
        <w:tc>
          <w:tcPr>
            <w:tcW w:w="2409" w:type="dxa"/>
          </w:tcPr>
          <w:p>
            <w:pPr>
              <w:jc w:val="center"/>
              <w:rPr>
                <w:rFonts w:ascii="Times New Roman" w:hAnsi="Times New Roman" w:eastAsia="宋体" w:cs="Times New Roman"/>
                <w:color w:val="auto"/>
                <w:szCs w:val="21"/>
              </w:rPr>
            </w:pPr>
            <w:r>
              <w:rPr>
                <w:rFonts w:ascii="宋体" w:hAnsi="宋体" w:eastAsia="宋体" w:cs="宋体"/>
                <w:color w:val="auto"/>
                <w:spacing w:val="8"/>
                <w:szCs w:val="21"/>
              </w:rPr>
              <w:t>《关于</w:t>
            </w:r>
            <w:r>
              <w:rPr>
                <w:rFonts w:ascii="宋体" w:hAnsi="宋体" w:eastAsia="宋体" w:cs="宋体"/>
                <w:color w:val="auto"/>
                <w:spacing w:val="7"/>
                <w:szCs w:val="21"/>
              </w:rPr>
              <w:t>加</w:t>
            </w:r>
            <w:r>
              <w:rPr>
                <w:rFonts w:ascii="宋体" w:hAnsi="宋体" w:eastAsia="宋体" w:cs="宋体"/>
                <w:color w:val="auto"/>
                <w:spacing w:val="4"/>
                <w:szCs w:val="21"/>
              </w:rPr>
              <w:t>强化工企业泄漏管理的指导意见》(安</w:t>
            </w:r>
            <w:r>
              <w:rPr>
                <w:rFonts w:ascii="宋体" w:hAnsi="宋体" w:eastAsia="宋体" w:cs="宋体"/>
                <w:color w:val="auto"/>
                <w:szCs w:val="21"/>
              </w:rPr>
              <w:t xml:space="preserve"> </w:t>
            </w:r>
            <w:r>
              <w:rPr>
                <w:rFonts w:ascii="宋体" w:hAnsi="宋体" w:eastAsia="宋体" w:cs="宋体"/>
                <w:color w:val="auto"/>
                <w:spacing w:val="-8"/>
                <w:szCs w:val="21"/>
              </w:rPr>
              <w:t>监</w:t>
            </w:r>
            <w:r>
              <w:rPr>
                <w:rFonts w:ascii="宋体" w:hAnsi="宋体" w:eastAsia="宋体" w:cs="宋体"/>
                <w:color w:val="auto"/>
                <w:spacing w:val="-6"/>
                <w:szCs w:val="21"/>
              </w:rPr>
              <w:t>总</w:t>
            </w:r>
            <w:r>
              <w:rPr>
                <w:rFonts w:ascii="宋体" w:hAnsi="宋体" w:eastAsia="宋体" w:cs="宋体"/>
                <w:color w:val="auto"/>
                <w:spacing w:val="-4"/>
                <w:szCs w:val="21"/>
              </w:rPr>
              <w:t>管三〔2014〕94 号)</w:t>
            </w:r>
          </w:p>
        </w:tc>
        <w:tc>
          <w:tcPr>
            <w:tcW w:w="1560" w:type="dxa"/>
          </w:tcPr>
          <w:p>
            <w:pPr>
              <w:jc w:val="center"/>
              <w:rPr>
                <w:rFonts w:ascii="Times New Roman" w:hAnsi="Times New Roman" w:eastAsia="宋体" w:cs="Times New Roman"/>
                <w:color w:val="auto"/>
                <w:szCs w:val="21"/>
              </w:rPr>
            </w:pPr>
            <w:r>
              <w:rPr>
                <w:rFonts w:ascii="宋体" w:hAnsi="宋体" w:eastAsia="宋体" w:cs="宋体"/>
                <w:color w:val="auto"/>
                <w:spacing w:val="-2"/>
                <w:szCs w:val="21"/>
              </w:rPr>
              <w:t>查现</w:t>
            </w:r>
            <w:r>
              <w:rPr>
                <w:rFonts w:ascii="宋体" w:hAnsi="宋体" w:eastAsia="宋体" w:cs="宋体"/>
                <w:color w:val="auto"/>
                <w:spacing w:val="-1"/>
                <w:szCs w:val="21"/>
              </w:rPr>
              <w:t>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85" w:type="dxa"/>
          </w:tcPr>
          <w:p>
            <w:pPr>
              <w:jc w:val="center"/>
              <w:rPr>
                <w:rFonts w:ascii="Times New Roman" w:hAnsi="Times New Roman" w:eastAsia="宋体" w:cs="Times New Roman"/>
                <w:color w:val="auto"/>
                <w:szCs w:val="21"/>
              </w:rPr>
            </w:pPr>
          </w:p>
        </w:tc>
        <w:tc>
          <w:tcPr>
            <w:tcW w:w="737"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97"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35</w:t>
            </w:r>
          </w:p>
        </w:tc>
        <w:tc>
          <w:tcPr>
            <w:tcW w:w="2430" w:type="dxa"/>
          </w:tcPr>
          <w:p>
            <w:pPr>
              <w:rPr>
                <w:rFonts w:ascii="Calibri" w:hAnsi="Calibri" w:eastAsia="宋体" w:cs="Times New Roman"/>
                <w:color w:val="auto"/>
                <w:szCs w:val="21"/>
              </w:rPr>
            </w:pPr>
            <w:r>
              <w:rPr>
                <w:rFonts w:ascii="宋体" w:hAnsi="宋体" w:eastAsia="宋体" w:cs="宋体"/>
                <w:color w:val="auto"/>
                <w:spacing w:val="-6"/>
                <w:szCs w:val="21"/>
              </w:rPr>
              <w:t>涉及重大危险源</w:t>
            </w:r>
            <w:r>
              <w:rPr>
                <w:rFonts w:ascii="宋体" w:hAnsi="宋体" w:eastAsia="宋体" w:cs="宋体"/>
                <w:color w:val="auto"/>
                <w:spacing w:val="-4"/>
                <w:szCs w:val="21"/>
              </w:rPr>
              <w:t>及</w:t>
            </w:r>
            <w:r>
              <w:rPr>
                <w:rFonts w:ascii="宋体" w:hAnsi="宋体" w:eastAsia="宋体" w:cs="宋体"/>
                <w:color w:val="auto"/>
                <w:spacing w:val="-3"/>
                <w:szCs w:val="21"/>
              </w:rPr>
              <w:t>重点监管的危险化学品的储罐区应每 3 年开</w:t>
            </w:r>
            <w:r>
              <w:rPr>
                <w:rFonts w:ascii="宋体" w:hAnsi="宋体" w:eastAsia="宋体" w:cs="宋体"/>
                <w:color w:val="auto"/>
                <w:szCs w:val="21"/>
              </w:rPr>
              <w:t xml:space="preserve"> </w:t>
            </w:r>
            <w:r>
              <w:rPr>
                <w:rFonts w:ascii="宋体" w:hAnsi="宋体" w:eastAsia="宋体" w:cs="宋体"/>
                <w:color w:val="auto"/>
                <w:spacing w:val="-18"/>
                <w:szCs w:val="21"/>
              </w:rPr>
              <w:t>展</w:t>
            </w:r>
            <w:r>
              <w:rPr>
                <w:rFonts w:ascii="宋体" w:hAnsi="宋体" w:eastAsia="宋体" w:cs="宋体"/>
                <w:color w:val="auto"/>
                <w:spacing w:val="-9"/>
                <w:szCs w:val="21"/>
              </w:rPr>
              <w:t xml:space="preserve"> 1 次 HAZOP 分析， 并根据分析结果及提出的措施建议进行改</w:t>
            </w:r>
            <w:r>
              <w:rPr>
                <w:rFonts w:ascii="宋体" w:hAnsi="宋体" w:eastAsia="宋体" w:cs="宋体"/>
                <w:color w:val="auto"/>
                <w:szCs w:val="21"/>
              </w:rPr>
              <w:t xml:space="preserve"> </w:t>
            </w:r>
            <w:r>
              <w:rPr>
                <w:rFonts w:ascii="宋体" w:hAnsi="宋体" w:eastAsia="宋体" w:cs="宋体"/>
                <w:color w:val="auto"/>
                <w:spacing w:val="-9"/>
                <w:szCs w:val="21"/>
              </w:rPr>
              <w:t>进。</w:t>
            </w:r>
          </w:p>
        </w:tc>
        <w:tc>
          <w:tcPr>
            <w:tcW w:w="2409" w:type="dxa"/>
          </w:tcPr>
          <w:p>
            <w:pPr>
              <w:jc w:val="center"/>
              <w:rPr>
                <w:rFonts w:ascii="Times New Roman" w:hAnsi="Times New Roman" w:eastAsia="宋体" w:cs="Times New Roman"/>
                <w:color w:val="auto"/>
                <w:szCs w:val="21"/>
              </w:rPr>
            </w:pPr>
            <w:r>
              <w:rPr>
                <w:rFonts w:ascii="宋体" w:hAnsi="宋体" w:eastAsia="宋体" w:cs="宋体"/>
                <w:color w:val="auto"/>
                <w:spacing w:val="8"/>
                <w:szCs w:val="21"/>
              </w:rPr>
              <w:t>《关于</w:t>
            </w:r>
            <w:r>
              <w:rPr>
                <w:rFonts w:ascii="宋体" w:hAnsi="宋体" w:eastAsia="宋体" w:cs="宋体"/>
                <w:color w:val="auto"/>
                <w:spacing w:val="7"/>
                <w:szCs w:val="21"/>
              </w:rPr>
              <w:t>加</w:t>
            </w:r>
            <w:r>
              <w:rPr>
                <w:rFonts w:ascii="宋体" w:hAnsi="宋体" w:eastAsia="宋体" w:cs="宋体"/>
                <w:color w:val="auto"/>
                <w:spacing w:val="4"/>
                <w:szCs w:val="21"/>
              </w:rPr>
              <w:t>强化工过程安全管理的指导意见》(安</w:t>
            </w:r>
            <w:r>
              <w:rPr>
                <w:rFonts w:ascii="宋体" w:hAnsi="宋体" w:eastAsia="宋体" w:cs="宋体"/>
                <w:color w:val="auto"/>
                <w:szCs w:val="21"/>
              </w:rPr>
              <w:t xml:space="preserve"> </w:t>
            </w:r>
            <w:r>
              <w:rPr>
                <w:rFonts w:ascii="宋体" w:hAnsi="宋体" w:eastAsia="宋体" w:cs="宋体"/>
                <w:color w:val="auto"/>
                <w:spacing w:val="-8"/>
                <w:szCs w:val="21"/>
              </w:rPr>
              <w:t>监</w:t>
            </w:r>
            <w:r>
              <w:rPr>
                <w:rFonts w:ascii="宋体" w:hAnsi="宋体" w:eastAsia="宋体" w:cs="宋体"/>
                <w:color w:val="auto"/>
                <w:spacing w:val="-6"/>
                <w:szCs w:val="21"/>
              </w:rPr>
              <w:t>总</w:t>
            </w:r>
            <w:r>
              <w:rPr>
                <w:rFonts w:ascii="宋体" w:hAnsi="宋体" w:eastAsia="宋体" w:cs="宋体"/>
                <w:color w:val="auto"/>
                <w:spacing w:val="-4"/>
                <w:szCs w:val="21"/>
              </w:rPr>
              <w:t>管三〔2013〕88 号)</w:t>
            </w:r>
          </w:p>
        </w:tc>
        <w:tc>
          <w:tcPr>
            <w:tcW w:w="1560" w:type="dxa"/>
          </w:tcPr>
          <w:p>
            <w:pPr>
              <w:spacing w:line="300" w:lineRule="auto"/>
              <w:rPr>
                <w:rFonts w:ascii="Calibri" w:hAnsi="Calibri" w:eastAsia="宋体" w:cs="Times New Roman"/>
                <w:color w:val="auto"/>
              </w:rPr>
            </w:pPr>
          </w:p>
          <w:p>
            <w:pPr>
              <w:jc w:val="center"/>
              <w:rPr>
                <w:rFonts w:ascii="Times New Roman" w:hAnsi="Times New Roman" w:eastAsia="宋体" w:cs="Times New Roman"/>
                <w:color w:val="auto"/>
                <w:szCs w:val="21"/>
              </w:rPr>
            </w:pPr>
            <w:r>
              <w:rPr>
                <w:rFonts w:ascii="宋体" w:hAnsi="宋体" w:eastAsia="宋体" w:cs="宋体"/>
                <w:color w:val="auto"/>
                <w:spacing w:val="-2"/>
                <w:szCs w:val="21"/>
              </w:rPr>
              <w:t>查现</w:t>
            </w:r>
            <w:r>
              <w:rPr>
                <w:rFonts w:ascii="宋体" w:hAnsi="宋体" w:eastAsia="宋体" w:cs="宋体"/>
                <w:color w:val="auto"/>
                <w:spacing w:val="-1"/>
                <w:szCs w:val="21"/>
              </w:rPr>
              <w:t>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85" w:type="dxa"/>
          </w:tcPr>
          <w:p>
            <w:pPr>
              <w:jc w:val="center"/>
              <w:rPr>
                <w:rFonts w:ascii="Times New Roman" w:hAnsi="Times New Roman" w:eastAsia="宋体" w:cs="Times New Roman"/>
                <w:color w:val="auto"/>
                <w:szCs w:val="21"/>
              </w:rPr>
            </w:pPr>
          </w:p>
        </w:tc>
        <w:tc>
          <w:tcPr>
            <w:tcW w:w="737" w:type="dxa"/>
          </w:tcPr>
          <w:p>
            <w:pPr>
              <w:jc w:val="center"/>
              <w:rPr>
                <w:rFonts w:ascii="Times New Roman" w:hAnsi="Times New Roman" w:eastAsia="宋体" w:cs="Times New Roman"/>
                <w:color w:val="auto"/>
                <w:szCs w:val="21"/>
              </w:rPr>
            </w:pPr>
          </w:p>
        </w:tc>
      </w:tr>
    </w:tbl>
    <w:p>
      <w:pPr>
        <w:widowControl/>
        <w:kinsoku w:val="0"/>
        <w:autoSpaceDE w:val="0"/>
        <w:autoSpaceDN w:val="0"/>
        <w:adjustRightInd w:val="0"/>
        <w:snapToGrid w:val="0"/>
        <w:spacing w:before="68"/>
        <w:ind w:right="153"/>
        <w:jc w:val="left"/>
        <w:textAlignment w:val="baseline"/>
        <w:rPr>
          <w:rFonts w:ascii="Times New Roman" w:hAnsi="Times New Roman" w:eastAsia="宋体" w:cs="Times New Roman"/>
          <w:snapToGrid w:val="0"/>
          <w:color w:val="auto"/>
          <w:spacing w:val="-1"/>
          <w:kern w:val="0"/>
          <w:sz w:val="28"/>
          <w:szCs w:val="28"/>
        </w:rPr>
      </w:pPr>
    </w:p>
    <w:p>
      <w:pPr>
        <w:widowControl/>
        <w:jc w:val="left"/>
        <w:rPr>
          <w:rFonts w:hint="eastAsia" w:ascii="宋体" w:hAnsi="宋体" w:eastAsia="宋体"/>
          <w:b/>
          <w:bCs/>
          <w:color w:val="auto"/>
          <w:sz w:val="30"/>
          <w:szCs w:val="30"/>
        </w:rPr>
      </w:pPr>
      <w:r>
        <w:rPr>
          <w:rFonts w:hint="eastAsia" w:ascii="宋体" w:hAnsi="宋体" w:eastAsia="宋体"/>
          <w:b/>
          <w:bCs/>
          <w:color w:val="auto"/>
          <w:sz w:val="30"/>
          <w:szCs w:val="30"/>
        </w:rPr>
        <w:br w:type="page"/>
      </w:r>
    </w:p>
    <w:p>
      <w:pPr>
        <w:jc w:val="left"/>
        <w:outlineLvl w:val="1"/>
        <w:rPr>
          <w:rFonts w:hint="eastAsia" w:ascii="宋体" w:hAnsi="宋体" w:eastAsia="宋体"/>
          <w:b/>
          <w:bCs/>
          <w:color w:val="auto"/>
          <w:sz w:val="30"/>
          <w:szCs w:val="30"/>
        </w:rPr>
      </w:pPr>
      <w:bookmarkStart w:id="130" w:name="_Toc237556470"/>
      <w:r>
        <w:rPr>
          <w:rFonts w:hint="eastAsia" w:ascii="宋体" w:hAnsi="宋体" w:eastAsia="宋体"/>
          <w:b/>
          <w:bCs/>
          <w:color w:val="auto"/>
          <w:sz w:val="30"/>
          <w:szCs w:val="30"/>
        </w:rPr>
        <w:t>附件5-9</w:t>
      </w:r>
      <w:r>
        <w:rPr>
          <w:rFonts w:ascii="宋体" w:hAnsi="宋体" w:eastAsia="宋体"/>
          <w:b/>
          <w:bCs/>
          <w:color w:val="auto"/>
          <w:sz w:val="30"/>
          <w:szCs w:val="30"/>
        </w:rPr>
        <w:t>：</w:t>
      </w:r>
      <w:r>
        <w:rPr>
          <w:rFonts w:hint="eastAsia" w:ascii="宋体" w:hAnsi="宋体" w:eastAsia="宋体"/>
          <w:b/>
          <w:bCs/>
          <w:color w:val="auto"/>
          <w:sz w:val="30"/>
          <w:szCs w:val="30"/>
        </w:rPr>
        <w:t>黄磷</w:t>
      </w:r>
      <w:r>
        <w:rPr>
          <w:rFonts w:ascii="宋体" w:hAnsi="宋体" w:eastAsia="宋体"/>
          <w:b/>
          <w:bCs/>
          <w:color w:val="auto"/>
          <w:sz w:val="30"/>
          <w:szCs w:val="30"/>
        </w:rPr>
        <w:t>企业检查表</w:t>
      </w:r>
      <w:bookmarkEnd w:id="130"/>
    </w:p>
    <w:tbl>
      <w:tblPr>
        <w:tblStyle w:val="5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4"/>
        <w:gridCol w:w="2268"/>
        <w:gridCol w:w="2409"/>
        <w:gridCol w:w="1560"/>
        <w:gridCol w:w="1984"/>
        <w:gridCol w:w="1843"/>
        <w:gridCol w:w="2785"/>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序号</w:t>
            </w:r>
          </w:p>
        </w:tc>
        <w:tc>
          <w:tcPr>
            <w:tcW w:w="2268"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检查内容</w:t>
            </w:r>
          </w:p>
        </w:tc>
        <w:tc>
          <w:tcPr>
            <w:tcW w:w="2409"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检查依据</w:t>
            </w:r>
          </w:p>
        </w:tc>
        <w:tc>
          <w:tcPr>
            <w:tcW w:w="1560"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检查方式</w:t>
            </w:r>
          </w:p>
        </w:tc>
        <w:tc>
          <w:tcPr>
            <w:tcW w:w="1984"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检查情况</w:t>
            </w:r>
          </w:p>
        </w:tc>
        <w:tc>
          <w:tcPr>
            <w:tcW w:w="1843"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检查问题</w:t>
            </w:r>
          </w:p>
        </w:tc>
        <w:tc>
          <w:tcPr>
            <w:tcW w:w="2785"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整改建议</w:t>
            </w:r>
          </w:p>
        </w:tc>
        <w:tc>
          <w:tcPr>
            <w:tcW w:w="737"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重大</w:t>
            </w:r>
          </w:p>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隐患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Cs/>
                <w:color w:val="auto"/>
                <w:szCs w:val="21"/>
              </w:rPr>
              <w:t>1</w:t>
            </w:r>
          </w:p>
        </w:tc>
        <w:tc>
          <w:tcPr>
            <w:tcW w:w="2268" w:type="dxa"/>
          </w:tcPr>
          <w:p>
            <w:pPr>
              <w:jc w:val="center"/>
              <w:rPr>
                <w:rFonts w:ascii="Times New Roman" w:hAnsi="Times New Roman" w:eastAsia="宋体" w:cs="Times New Roman"/>
                <w:b/>
                <w:color w:val="auto"/>
                <w:szCs w:val="21"/>
              </w:rPr>
            </w:pPr>
            <w:r>
              <w:rPr>
                <w:rFonts w:ascii="宋体" w:hAnsi="宋体" w:eastAsia="宋体" w:cs="宋体"/>
                <w:color w:val="auto"/>
                <w:spacing w:val="-1"/>
                <w:szCs w:val="21"/>
              </w:rPr>
              <w:t>新建、扩建黄磷生产建设项目应当进入化工园区。</w:t>
            </w:r>
          </w:p>
        </w:tc>
        <w:tc>
          <w:tcPr>
            <w:tcW w:w="2409" w:type="dxa"/>
          </w:tcPr>
          <w:p>
            <w:pPr>
              <w:jc w:val="center"/>
              <w:rPr>
                <w:rFonts w:ascii="Times New Roman" w:hAnsi="Times New Roman" w:eastAsia="宋体" w:cs="Times New Roman"/>
                <w:b/>
                <w:color w:val="auto"/>
                <w:szCs w:val="21"/>
              </w:rPr>
            </w:pPr>
            <w:r>
              <w:rPr>
                <w:rFonts w:ascii="宋体" w:hAnsi="宋体" w:eastAsia="宋体" w:cs="宋体"/>
                <w:color w:val="auto"/>
                <w:spacing w:val="6"/>
                <w:szCs w:val="21"/>
              </w:rPr>
              <w:t>《黄磷安全规程》(2026-7-1征求意见稿)5.1</w:t>
            </w:r>
          </w:p>
        </w:tc>
        <w:tc>
          <w:tcPr>
            <w:tcW w:w="1560" w:type="dxa"/>
          </w:tcPr>
          <w:p>
            <w:pPr>
              <w:jc w:val="center"/>
              <w:rPr>
                <w:rFonts w:ascii="Times New Roman" w:hAnsi="Times New Roman" w:eastAsia="宋体" w:cs="Times New Roman"/>
                <w:b/>
                <w:color w:val="auto"/>
                <w:szCs w:val="21"/>
              </w:rPr>
            </w:pPr>
            <w:r>
              <w:rPr>
                <w:rFonts w:ascii="宋体" w:hAnsi="宋体" w:eastAsia="宋体" w:cs="宋体"/>
                <w:color w:val="auto"/>
                <w:spacing w:val="-2"/>
                <w:szCs w:val="21"/>
              </w:rPr>
              <w:t>查设计、安全评价报告</w:t>
            </w:r>
          </w:p>
        </w:tc>
        <w:tc>
          <w:tcPr>
            <w:tcW w:w="1984" w:type="dxa"/>
            <w:vAlign w:val="center"/>
          </w:tcPr>
          <w:p>
            <w:pPr>
              <w:jc w:val="center"/>
              <w:rPr>
                <w:rFonts w:ascii="Times New Roman" w:hAnsi="Times New Roman" w:eastAsia="宋体" w:cs="Times New Roman"/>
                <w:b/>
                <w:color w:val="auto"/>
                <w:szCs w:val="21"/>
              </w:rPr>
            </w:pPr>
          </w:p>
        </w:tc>
        <w:tc>
          <w:tcPr>
            <w:tcW w:w="1843" w:type="dxa"/>
            <w:vAlign w:val="center"/>
          </w:tcPr>
          <w:p>
            <w:pPr>
              <w:jc w:val="center"/>
              <w:rPr>
                <w:rFonts w:ascii="Times New Roman" w:hAnsi="Times New Roman" w:eastAsia="宋体" w:cs="Times New Roman"/>
                <w:b/>
                <w:color w:val="auto"/>
                <w:szCs w:val="21"/>
              </w:rPr>
            </w:pPr>
          </w:p>
        </w:tc>
        <w:tc>
          <w:tcPr>
            <w:tcW w:w="2785" w:type="dxa"/>
            <w:vAlign w:val="center"/>
          </w:tcPr>
          <w:p>
            <w:pPr>
              <w:jc w:val="center"/>
              <w:rPr>
                <w:rFonts w:ascii="Times New Roman" w:hAnsi="Times New Roman" w:eastAsia="宋体" w:cs="Times New Roman"/>
                <w:b/>
                <w:color w:val="auto"/>
                <w:szCs w:val="21"/>
              </w:rPr>
            </w:pPr>
          </w:p>
        </w:tc>
        <w:tc>
          <w:tcPr>
            <w:tcW w:w="737" w:type="dxa"/>
            <w:vAlign w:val="center"/>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2</w:t>
            </w:r>
          </w:p>
        </w:tc>
        <w:tc>
          <w:tcPr>
            <w:tcW w:w="2268" w:type="dxa"/>
          </w:tcPr>
          <w:p>
            <w:pPr>
              <w:jc w:val="center"/>
              <w:rPr>
                <w:rFonts w:hint="eastAsia" w:ascii="宋体" w:hAnsi="宋体" w:eastAsia="宋体" w:cs="宋体"/>
                <w:color w:val="auto"/>
                <w:spacing w:val="-1"/>
                <w:szCs w:val="21"/>
              </w:rPr>
            </w:pPr>
            <w:r>
              <w:rPr>
                <w:rFonts w:ascii="宋体" w:hAnsi="宋体" w:eastAsia="宋体" w:cs="宋体"/>
                <w:color w:val="auto"/>
                <w:spacing w:val="-1"/>
                <w:szCs w:val="21"/>
              </w:rPr>
              <w:t>新建黄磷生产装置应</w:t>
            </w:r>
          </w:p>
          <w:p>
            <w:pPr>
              <w:rPr>
                <w:rFonts w:hint="eastAsia" w:ascii="宋体" w:hAnsi="宋体" w:eastAsia="宋体" w:cs="宋体"/>
                <w:color w:val="auto"/>
                <w:spacing w:val="-1"/>
                <w:szCs w:val="21"/>
              </w:rPr>
            </w:pPr>
            <w:r>
              <w:rPr>
                <w:rFonts w:ascii="宋体" w:hAnsi="宋体" w:eastAsia="宋体" w:cs="宋体"/>
                <w:color w:val="auto"/>
                <w:spacing w:val="-1"/>
                <w:szCs w:val="21"/>
              </w:rPr>
              <w:t>满足以下要求：</w:t>
            </w:r>
          </w:p>
          <w:p>
            <w:pPr>
              <w:rPr>
                <w:rFonts w:hint="eastAsia" w:ascii="宋体" w:hAnsi="宋体" w:eastAsia="宋体" w:cs="宋体"/>
                <w:color w:val="auto"/>
                <w:spacing w:val="-1"/>
                <w:szCs w:val="21"/>
              </w:rPr>
            </w:pPr>
            <w:r>
              <w:rPr>
                <w:rFonts w:ascii="宋体" w:hAnsi="宋体" w:eastAsia="宋体" w:cs="宋体"/>
                <w:color w:val="auto"/>
                <w:spacing w:val="-1"/>
                <w:szCs w:val="21"/>
              </w:rPr>
              <w:t>a)不得采用国家明令淘汰、禁止使用和危及生产的工艺、设备；</w:t>
            </w:r>
          </w:p>
          <w:p>
            <w:pPr>
              <w:rPr>
                <w:rFonts w:hint="eastAsia" w:ascii="宋体" w:hAnsi="宋体" w:eastAsia="宋体" w:cs="宋体"/>
                <w:color w:val="auto"/>
                <w:spacing w:val="-1"/>
                <w:szCs w:val="21"/>
              </w:rPr>
            </w:pPr>
            <w:r>
              <w:rPr>
                <w:rFonts w:ascii="宋体" w:hAnsi="宋体" w:eastAsia="宋体" w:cs="宋体"/>
                <w:color w:val="auto"/>
                <w:spacing w:val="-1"/>
                <w:szCs w:val="21"/>
              </w:rPr>
              <w:t>b)新建黄磷电炉，单台黄磷电炉变压器容量应满足《产业结构调整目录》的要求；</w:t>
            </w:r>
          </w:p>
          <w:p>
            <w:pPr>
              <w:rPr>
                <w:rFonts w:hint="eastAsia" w:ascii="宋体" w:hAnsi="宋体" w:eastAsia="宋体" w:cs="宋体"/>
                <w:color w:val="auto"/>
                <w:spacing w:val="-1"/>
                <w:szCs w:val="21"/>
              </w:rPr>
            </w:pPr>
            <w:r>
              <w:rPr>
                <w:rFonts w:ascii="宋体" w:hAnsi="宋体" w:eastAsia="宋体" w:cs="宋体"/>
                <w:color w:val="auto"/>
                <w:spacing w:val="-1"/>
                <w:szCs w:val="21"/>
              </w:rPr>
              <w:t>c)在生产界区内应建设泥磷回收装置，泥磷回收应采用不产生二次污染的回收处理技术；</w:t>
            </w:r>
          </w:p>
          <w:p>
            <w:pPr>
              <w:rPr>
                <w:rFonts w:hint="eastAsia" w:ascii="宋体" w:hAnsi="宋体" w:eastAsia="宋体" w:cs="宋体"/>
                <w:color w:val="auto"/>
                <w:spacing w:val="-1"/>
                <w:szCs w:val="21"/>
              </w:rPr>
            </w:pPr>
            <w:r>
              <w:rPr>
                <w:rFonts w:ascii="宋体" w:hAnsi="宋体" w:eastAsia="宋体" w:cs="宋体"/>
                <w:color w:val="auto"/>
                <w:spacing w:val="-1"/>
                <w:szCs w:val="21"/>
              </w:rPr>
              <w:t>d)黄磷尾气应实现能源化或资源化回收利用，开停车和应急放空的黄磷尾气可燃烧排放。</w:t>
            </w:r>
          </w:p>
        </w:tc>
        <w:tc>
          <w:tcPr>
            <w:tcW w:w="2409" w:type="dxa"/>
          </w:tcPr>
          <w:p>
            <w:pPr>
              <w:jc w:val="center"/>
              <w:rPr>
                <w:rFonts w:hint="eastAsia" w:ascii="宋体" w:hAnsi="宋体" w:eastAsia="宋体" w:cs="宋体"/>
                <w:color w:val="auto"/>
                <w:spacing w:val="6"/>
                <w:szCs w:val="21"/>
              </w:rPr>
            </w:pPr>
            <w:r>
              <w:rPr>
                <w:rFonts w:ascii="宋体" w:hAnsi="宋体" w:eastAsia="宋体" w:cs="宋体"/>
                <w:color w:val="auto"/>
                <w:spacing w:val="6"/>
                <w:szCs w:val="21"/>
              </w:rPr>
              <w:t>《黄磷安全规程》(2026-7-1征求意见稿)7.2.1</w:t>
            </w:r>
          </w:p>
        </w:tc>
        <w:tc>
          <w:tcPr>
            <w:tcW w:w="1560" w:type="dxa"/>
          </w:tcPr>
          <w:p>
            <w:pPr>
              <w:jc w:val="center"/>
              <w:rPr>
                <w:rFonts w:hint="eastAsia" w:ascii="宋体" w:hAnsi="宋体" w:eastAsia="宋体" w:cs="宋体"/>
                <w:color w:val="auto"/>
                <w:spacing w:val="-2"/>
                <w:szCs w:val="21"/>
              </w:rPr>
            </w:pPr>
            <w:r>
              <w:rPr>
                <w:rFonts w:ascii="宋体" w:hAnsi="宋体" w:eastAsia="宋体" w:cs="宋体"/>
                <w:color w:val="auto"/>
                <w:spacing w:val="-2"/>
                <w:szCs w:val="21"/>
              </w:rPr>
              <w:t>查设计、现场</w:t>
            </w:r>
          </w:p>
        </w:tc>
        <w:tc>
          <w:tcPr>
            <w:tcW w:w="1984" w:type="dxa"/>
            <w:vAlign w:val="center"/>
          </w:tcPr>
          <w:p>
            <w:pPr>
              <w:jc w:val="center"/>
              <w:rPr>
                <w:rFonts w:ascii="Times New Roman" w:hAnsi="Times New Roman" w:eastAsia="宋体" w:cs="Times New Roman"/>
                <w:b/>
                <w:color w:val="auto"/>
                <w:szCs w:val="21"/>
              </w:rPr>
            </w:pPr>
          </w:p>
        </w:tc>
        <w:tc>
          <w:tcPr>
            <w:tcW w:w="1843" w:type="dxa"/>
            <w:vAlign w:val="center"/>
          </w:tcPr>
          <w:p>
            <w:pPr>
              <w:jc w:val="center"/>
              <w:rPr>
                <w:rFonts w:ascii="Times New Roman" w:hAnsi="Times New Roman" w:eastAsia="宋体" w:cs="Times New Roman"/>
                <w:b/>
                <w:color w:val="auto"/>
                <w:szCs w:val="21"/>
              </w:rPr>
            </w:pPr>
          </w:p>
        </w:tc>
        <w:tc>
          <w:tcPr>
            <w:tcW w:w="2785" w:type="dxa"/>
            <w:vAlign w:val="center"/>
          </w:tcPr>
          <w:p>
            <w:pPr>
              <w:jc w:val="center"/>
              <w:rPr>
                <w:rFonts w:ascii="Times New Roman" w:hAnsi="Times New Roman" w:eastAsia="宋体" w:cs="Times New Roman"/>
                <w:b/>
                <w:color w:val="auto"/>
                <w:szCs w:val="21"/>
              </w:rPr>
            </w:pPr>
          </w:p>
        </w:tc>
        <w:tc>
          <w:tcPr>
            <w:tcW w:w="737" w:type="dxa"/>
            <w:vAlign w:val="center"/>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4"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3</w:t>
            </w:r>
          </w:p>
        </w:tc>
        <w:tc>
          <w:tcPr>
            <w:tcW w:w="2268" w:type="dxa"/>
          </w:tcPr>
          <w:p>
            <w:pPr>
              <w:jc w:val="center"/>
              <w:rPr>
                <w:rFonts w:ascii="Times New Roman" w:hAnsi="Times New Roman" w:eastAsia="宋体" w:cs="Times New Roman"/>
                <w:b/>
                <w:color w:val="auto"/>
                <w:szCs w:val="21"/>
              </w:rPr>
            </w:pPr>
            <w:r>
              <w:rPr>
                <w:rFonts w:ascii="宋体" w:hAnsi="宋体" w:eastAsia="宋体" w:cs="宋体"/>
                <w:color w:val="auto"/>
                <w:spacing w:val="6"/>
                <w:szCs w:val="21"/>
              </w:rPr>
              <w:t>在总图布置中应设置高位水池或水塔</w:t>
            </w:r>
          </w:p>
        </w:tc>
        <w:tc>
          <w:tcPr>
            <w:tcW w:w="2409" w:type="dxa"/>
          </w:tcPr>
          <w:p>
            <w:pPr>
              <w:jc w:val="center"/>
              <w:rPr>
                <w:rFonts w:ascii="Times New Roman" w:hAnsi="Times New Roman" w:eastAsia="宋体" w:cs="Times New Roman"/>
                <w:b/>
                <w:color w:val="auto"/>
                <w:szCs w:val="21"/>
              </w:rPr>
            </w:pPr>
            <w:r>
              <w:rPr>
                <w:rFonts w:ascii="宋体" w:hAnsi="宋体" w:eastAsia="宋体" w:cs="宋体"/>
                <w:color w:val="auto"/>
                <w:spacing w:val="6"/>
                <w:szCs w:val="21"/>
              </w:rPr>
              <w:t>《黄磷安</w:t>
            </w:r>
            <w:r>
              <w:rPr>
                <w:rFonts w:ascii="宋体" w:hAnsi="宋体" w:eastAsia="宋体" w:cs="宋体"/>
                <w:color w:val="auto"/>
                <w:spacing w:val="5"/>
                <w:szCs w:val="21"/>
              </w:rPr>
              <w:t>全</w:t>
            </w:r>
            <w:r>
              <w:rPr>
                <w:rFonts w:ascii="宋体" w:hAnsi="宋体" w:eastAsia="宋体" w:cs="宋体"/>
                <w:color w:val="auto"/>
                <w:spacing w:val="3"/>
                <w:szCs w:val="21"/>
              </w:rPr>
              <w:t>规程》(</w:t>
            </w:r>
            <w:r>
              <w:rPr>
                <w:rFonts w:ascii="宋体" w:hAnsi="宋体" w:eastAsia="宋体" w:cs="宋体"/>
                <w:color w:val="auto"/>
                <w:szCs w:val="21"/>
              </w:rPr>
              <w:t>GB/Z</w:t>
            </w:r>
            <w:r>
              <w:rPr>
                <w:rFonts w:ascii="宋体" w:hAnsi="宋体" w:eastAsia="宋体" w:cs="宋体"/>
                <w:color w:val="auto"/>
                <w:spacing w:val="3"/>
                <w:szCs w:val="21"/>
              </w:rPr>
              <w:t>24784-2009) 5.9</w:t>
            </w:r>
          </w:p>
        </w:tc>
        <w:tc>
          <w:tcPr>
            <w:tcW w:w="1560" w:type="dxa"/>
          </w:tcPr>
          <w:p>
            <w:pPr>
              <w:jc w:val="center"/>
              <w:rPr>
                <w:rFonts w:ascii="Times New Roman" w:hAnsi="Times New Roman" w:eastAsia="宋体" w:cs="Times New Roman"/>
                <w:b/>
                <w:color w:val="auto"/>
                <w:szCs w:val="21"/>
              </w:rPr>
            </w:pPr>
            <w:r>
              <w:rPr>
                <w:rFonts w:ascii="宋体" w:hAnsi="宋体" w:eastAsia="宋体" w:cs="宋体"/>
                <w:color w:val="auto"/>
                <w:spacing w:val="-2"/>
                <w:szCs w:val="21"/>
              </w:rPr>
              <w:t>查设计、现</w:t>
            </w:r>
            <w:r>
              <w:rPr>
                <w:rFonts w:ascii="宋体" w:hAnsi="宋体" w:eastAsia="宋体" w:cs="宋体"/>
                <w:color w:val="auto"/>
                <w:spacing w:val="-1"/>
                <w:szCs w:val="21"/>
              </w:rPr>
              <w:t>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4</w:t>
            </w:r>
          </w:p>
        </w:tc>
        <w:tc>
          <w:tcPr>
            <w:tcW w:w="2268" w:type="dxa"/>
          </w:tcPr>
          <w:p>
            <w:pPr>
              <w:rPr>
                <w:rFonts w:hint="eastAsia" w:ascii="宋体" w:hAnsi="宋体" w:eastAsia="宋体" w:cs="宋体"/>
                <w:color w:val="auto"/>
                <w:spacing w:val="-1"/>
                <w:szCs w:val="21"/>
              </w:rPr>
            </w:pPr>
            <w:r>
              <w:rPr>
                <w:rFonts w:ascii="宋体" w:hAnsi="宋体" w:eastAsia="宋体" w:cs="宋体"/>
                <w:color w:val="auto"/>
                <w:spacing w:val="-1"/>
                <w:szCs w:val="21"/>
              </w:rPr>
              <w:t>黄磷生产企业应有专用渣场，并进行规范设计和防渗处理。</w:t>
            </w:r>
          </w:p>
        </w:tc>
        <w:tc>
          <w:tcPr>
            <w:tcW w:w="2409" w:type="dxa"/>
          </w:tcPr>
          <w:p>
            <w:pPr>
              <w:jc w:val="center"/>
              <w:rPr>
                <w:rFonts w:hint="eastAsia" w:ascii="宋体" w:hAnsi="宋体" w:eastAsia="宋体" w:cs="宋体"/>
                <w:color w:val="auto"/>
                <w:spacing w:val="6"/>
                <w:szCs w:val="21"/>
              </w:rPr>
            </w:pPr>
            <w:r>
              <w:rPr>
                <w:rFonts w:ascii="宋体" w:hAnsi="宋体" w:eastAsia="宋体" w:cs="宋体"/>
                <w:color w:val="auto"/>
                <w:spacing w:val="6"/>
                <w:szCs w:val="21"/>
              </w:rPr>
              <w:t>《黄磷安全规程》(GB/Z247842009)5.10</w:t>
            </w:r>
          </w:p>
        </w:tc>
        <w:tc>
          <w:tcPr>
            <w:tcW w:w="1560" w:type="dxa"/>
          </w:tcPr>
          <w:p>
            <w:pPr>
              <w:jc w:val="center"/>
              <w:rPr>
                <w:rFonts w:hint="eastAsia" w:ascii="宋体" w:hAnsi="宋体" w:eastAsia="宋体" w:cs="宋体"/>
                <w:color w:val="auto"/>
                <w:spacing w:val="-2"/>
                <w:szCs w:val="21"/>
              </w:rPr>
            </w:pPr>
            <w:r>
              <w:rPr>
                <w:rFonts w:ascii="宋体" w:hAnsi="宋体" w:eastAsia="宋体" w:cs="宋体"/>
                <w:color w:val="auto"/>
                <w:spacing w:val="-2"/>
                <w:szCs w:val="21"/>
              </w:rPr>
              <w:t>查</w:t>
            </w:r>
            <w:r>
              <w:rPr>
                <w:rFonts w:ascii="宋体" w:hAnsi="宋体" w:eastAsia="宋体" w:cs="宋体"/>
                <w:color w:val="auto"/>
                <w:spacing w:val="-1"/>
                <w:szCs w:val="21"/>
              </w:rPr>
              <w:t>设计、现场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5</w:t>
            </w:r>
          </w:p>
        </w:tc>
        <w:tc>
          <w:tcPr>
            <w:tcW w:w="2268" w:type="dxa"/>
          </w:tcPr>
          <w:p>
            <w:pPr>
              <w:rPr>
                <w:rFonts w:hint="eastAsia" w:ascii="宋体" w:hAnsi="宋体" w:eastAsia="宋体" w:cs="宋体"/>
                <w:color w:val="auto"/>
                <w:spacing w:val="-1"/>
                <w:szCs w:val="21"/>
              </w:rPr>
            </w:pPr>
            <w:r>
              <w:rPr>
                <w:rFonts w:ascii="宋体" w:hAnsi="宋体" w:eastAsia="宋体" w:cs="宋体"/>
                <w:color w:val="auto"/>
                <w:spacing w:val="-1"/>
                <w:szCs w:val="21"/>
              </w:rPr>
              <w:t>根据火灾危险性等级和防火、防爆要求，建筑物按一、二级耐火等级设计，满足建筑防火要求，主要生产场所的火灾危险性分类见表2。</w:t>
            </w:r>
          </w:p>
        </w:tc>
        <w:tc>
          <w:tcPr>
            <w:tcW w:w="2409" w:type="dxa"/>
          </w:tcPr>
          <w:p>
            <w:pPr>
              <w:jc w:val="center"/>
              <w:rPr>
                <w:rFonts w:hint="eastAsia" w:ascii="宋体" w:hAnsi="宋体" w:eastAsia="宋体" w:cs="宋体"/>
                <w:color w:val="auto"/>
                <w:spacing w:val="6"/>
                <w:szCs w:val="21"/>
              </w:rPr>
            </w:pPr>
            <w:r>
              <w:rPr>
                <w:rFonts w:ascii="宋体" w:hAnsi="宋体" w:eastAsia="宋体" w:cs="宋体"/>
                <w:color w:val="auto"/>
                <w:spacing w:val="6"/>
                <w:szCs w:val="21"/>
              </w:rPr>
              <w:t>《黄磷安全规程》(GB/Z24784-2009) 6.3</w:t>
            </w:r>
          </w:p>
        </w:tc>
        <w:tc>
          <w:tcPr>
            <w:tcW w:w="1560" w:type="dxa"/>
          </w:tcPr>
          <w:p>
            <w:pPr>
              <w:jc w:val="center"/>
              <w:rPr>
                <w:rFonts w:hint="eastAsia" w:ascii="宋体" w:hAnsi="宋体" w:eastAsia="宋体" w:cs="宋体"/>
                <w:color w:val="auto"/>
                <w:spacing w:val="-2"/>
                <w:szCs w:val="21"/>
              </w:rPr>
            </w:pPr>
            <w:r>
              <w:rPr>
                <w:rFonts w:ascii="宋体" w:hAnsi="宋体" w:eastAsia="宋体" w:cs="宋体"/>
                <w:color w:val="auto"/>
                <w:spacing w:val="-2"/>
                <w:szCs w:val="21"/>
              </w:rPr>
              <w:t>查设计、现场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6</w:t>
            </w:r>
          </w:p>
        </w:tc>
        <w:tc>
          <w:tcPr>
            <w:tcW w:w="2268" w:type="dxa"/>
          </w:tcPr>
          <w:p>
            <w:pPr>
              <w:rPr>
                <w:rFonts w:hint="eastAsia" w:ascii="宋体" w:hAnsi="宋体" w:eastAsia="宋体" w:cs="宋体"/>
                <w:color w:val="auto"/>
                <w:spacing w:val="-1"/>
                <w:szCs w:val="21"/>
              </w:rPr>
            </w:pPr>
            <w:r>
              <w:rPr>
                <w:rFonts w:ascii="宋体" w:hAnsi="宋体" w:eastAsia="宋体" w:cs="宋体"/>
                <w:color w:val="auto"/>
                <w:spacing w:val="-1"/>
                <w:szCs w:val="21"/>
              </w:rPr>
              <w:t>黄磷电炉出渣区域应采取防止磷渣外溢至其他区域的安全措施，且应做好防水措施，防止该区域在出渣过程中有水进入。</w:t>
            </w:r>
          </w:p>
        </w:tc>
        <w:tc>
          <w:tcPr>
            <w:tcW w:w="2409" w:type="dxa"/>
          </w:tcPr>
          <w:p>
            <w:pPr>
              <w:jc w:val="center"/>
              <w:rPr>
                <w:rFonts w:hint="eastAsia" w:ascii="宋体" w:hAnsi="宋体" w:eastAsia="宋体" w:cs="宋体"/>
                <w:color w:val="auto"/>
                <w:spacing w:val="6"/>
                <w:szCs w:val="21"/>
              </w:rPr>
            </w:pPr>
            <w:r>
              <w:rPr>
                <w:rFonts w:ascii="宋体" w:hAnsi="宋体" w:eastAsia="宋体" w:cs="宋体"/>
                <w:color w:val="auto"/>
                <w:spacing w:val="6"/>
                <w:szCs w:val="21"/>
              </w:rPr>
              <w:t>《黄磷安全规程》(2026-7-1征求意见稿)6.7</w:t>
            </w:r>
          </w:p>
        </w:tc>
        <w:tc>
          <w:tcPr>
            <w:tcW w:w="1560" w:type="dxa"/>
          </w:tcPr>
          <w:p>
            <w:pPr>
              <w:jc w:val="center"/>
              <w:rPr>
                <w:rFonts w:hint="eastAsia" w:ascii="宋体" w:hAnsi="宋体" w:eastAsia="宋体" w:cs="宋体"/>
                <w:color w:val="auto"/>
                <w:spacing w:val="-2"/>
                <w:szCs w:val="21"/>
              </w:rPr>
            </w:pPr>
            <w:r>
              <w:rPr>
                <w:rFonts w:ascii="宋体" w:hAnsi="宋体" w:eastAsia="宋体" w:cs="宋体"/>
                <w:color w:val="auto"/>
                <w:spacing w:val="-2"/>
                <w:szCs w:val="21"/>
              </w:rPr>
              <w:t>查现场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4"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7</w:t>
            </w:r>
          </w:p>
        </w:tc>
        <w:tc>
          <w:tcPr>
            <w:tcW w:w="2268" w:type="dxa"/>
          </w:tcPr>
          <w:p>
            <w:pPr>
              <w:rPr>
                <w:rFonts w:hint="eastAsia" w:ascii="宋体" w:hAnsi="宋体" w:eastAsia="宋体" w:cs="宋体"/>
                <w:color w:val="auto"/>
                <w:spacing w:val="-1"/>
                <w:szCs w:val="21"/>
              </w:rPr>
            </w:pPr>
            <w:r>
              <w:rPr>
                <w:rFonts w:ascii="宋体" w:hAnsi="宋体" w:eastAsia="宋体" w:cs="宋体"/>
                <w:color w:val="auto"/>
                <w:spacing w:val="-4"/>
                <w:szCs w:val="21"/>
              </w:rPr>
              <w:t>黄磷电炉变压器短网电缆宜采用水冷电缆，动力电缆和控制电缆采用电缆桥架和穿管敷设。</w:t>
            </w:r>
          </w:p>
        </w:tc>
        <w:tc>
          <w:tcPr>
            <w:tcW w:w="2409" w:type="dxa"/>
          </w:tcPr>
          <w:p>
            <w:pPr>
              <w:jc w:val="center"/>
              <w:rPr>
                <w:rFonts w:hint="eastAsia" w:ascii="宋体" w:hAnsi="宋体" w:eastAsia="宋体" w:cs="宋体"/>
                <w:color w:val="auto"/>
                <w:spacing w:val="6"/>
                <w:szCs w:val="21"/>
              </w:rPr>
            </w:pPr>
            <w:r>
              <w:rPr>
                <w:rFonts w:ascii="宋体" w:hAnsi="宋体" w:eastAsia="宋体" w:cs="宋体"/>
                <w:color w:val="auto"/>
                <w:spacing w:val="4"/>
                <w:szCs w:val="21"/>
              </w:rPr>
              <w:t>《黄磷安全规程》(2026-7-1征求意见稿)7.2.3</w:t>
            </w:r>
          </w:p>
        </w:tc>
        <w:tc>
          <w:tcPr>
            <w:tcW w:w="1560" w:type="dxa"/>
          </w:tcPr>
          <w:p>
            <w:pPr>
              <w:jc w:val="center"/>
              <w:rPr>
                <w:rFonts w:hint="eastAsia" w:ascii="宋体" w:hAnsi="宋体" w:eastAsia="宋体" w:cs="宋体"/>
                <w:color w:val="auto"/>
                <w:spacing w:val="-2"/>
                <w:szCs w:val="21"/>
              </w:rPr>
            </w:pPr>
            <w:r>
              <w:rPr>
                <w:rFonts w:ascii="宋体" w:hAnsi="宋体" w:eastAsia="宋体" w:cs="宋体"/>
                <w:color w:val="auto"/>
                <w:spacing w:val="-2"/>
                <w:szCs w:val="21"/>
              </w:rPr>
              <w:t>查现</w:t>
            </w:r>
            <w:r>
              <w:rPr>
                <w:rFonts w:ascii="宋体" w:hAnsi="宋体" w:eastAsia="宋体" w:cs="宋体"/>
                <w:color w:val="auto"/>
                <w:spacing w:val="-1"/>
                <w:szCs w:val="21"/>
              </w:rPr>
              <w:t>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8</w:t>
            </w:r>
          </w:p>
        </w:tc>
        <w:tc>
          <w:tcPr>
            <w:tcW w:w="2268" w:type="dxa"/>
          </w:tcPr>
          <w:p>
            <w:pPr>
              <w:rPr>
                <w:rFonts w:hint="eastAsia" w:ascii="宋体" w:hAnsi="宋体" w:eastAsia="宋体" w:cs="宋体"/>
                <w:color w:val="auto"/>
                <w:spacing w:val="-8"/>
                <w:szCs w:val="21"/>
              </w:rPr>
            </w:pPr>
            <w:r>
              <w:rPr>
                <w:rFonts w:ascii="宋体" w:hAnsi="宋体" w:eastAsia="宋体" w:cs="宋体"/>
                <w:color w:val="auto"/>
                <w:spacing w:val="-1"/>
                <w:szCs w:val="21"/>
              </w:rPr>
              <w:t>冷凝塔用0.3Mpa～0.4 Mpa、20℃～60℃工艺水喷淋，塔体材料内壁采用防腐钢板制作或作防腐处理，外壁涂防腐涂料。</w:t>
            </w:r>
          </w:p>
        </w:tc>
        <w:tc>
          <w:tcPr>
            <w:tcW w:w="2409" w:type="dxa"/>
          </w:tcPr>
          <w:p>
            <w:pPr>
              <w:jc w:val="center"/>
              <w:rPr>
                <w:rFonts w:hint="eastAsia" w:ascii="宋体" w:hAnsi="宋体" w:eastAsia="宋体" w:cs="宋体"/>
                <w:color w:val="auto"/>
                <w:spacing w:val="-1"/>
                <w:position w:val="7"/>
                <w:szCs w:val="21"/>
              </w:rPr>
            </w:pPr>
            <w:r>
              <w:rPr>
                <w:rFonts w:ascii="宋体" w:hAnsi="宋体" w:eastAsia="宋体" w:cs="宋体"/>
                <w:color w:val="auto"/>
                <w:spacing w:val="-1"/>
                <w:position w:val="7"/>
                <w:szCs w:val="21"/>
              </w:rPr>
              <w:t xml:space="preserve">《黄磷安全规程》(GB/Z24784-2009) </w:t>
            </w:r>
          </w:p>
          <w:p>
            <w:pPr>
              <w:jc w:val="center"/>
              <w:rPr>
                <w:rFonts w:hint="eastAsia" w:ascii="宋体" w:hAnsi="宋体" w:eastAsia="宋体" w:cs="宋体"/>
                <w:color w:val="auto"/>
                <w:spacing w:val="4"/>
                <w:szCs w:val="21"/>
              </w:rPr>
            </w:pPr>
            <w:r>
              <w:rPr>
                <w:rFonts w:ascii="宋体" w:hAnsi="宋体" w:eastAsia="宋体" w:cs="宋体"/>
                <w:color w:val="auto"/>
                <w:spacing w:val="-1"/>
                <w:position w:val="7"/>
                <w:szCs w:val="21"/>
              </w:rPr>
              <w:t>7.3</w:t>
            </w:r>
          </w:p>
        </w:tc>
        <w:tc>
          <w:tcPr>
            <w:tcW w:w="1560" w:type="dxa"/>
          </w:tcPr>
          <w:p>
            <w:pPr>
              <w:spacing w:line="451" w:lineRule="auto"/>
              <w:rPr>
                <w:rFonts w:ascii="Calibri" w:hAnsi="Calibri" w:eastAsia="宋体" w:cs="Times New Roman"/>
                <w:color w:val="auto"/>
              </w:rPr>
            </w:pPr>
          </w:p>
          <w:p>
            <w:pPr>
              <w:jc w:val="center"/>
              <w:rPr>
                <w:rFonts w:hint="eastAsia" w:ascii="宋体" w:hAnsi="宋体" w:eastAsia="宋体" w:cs="宋体"/>
                <w:color w:val="auto"/>
                <w:spacing w:val="-2"/>
                <w:szCs w:val="21"/>
              </w:rPr>
            </w:pPr>
            <w:r>
              <w:rPr>
                <w:rFonts w:ascii="宋体" w:hAnsi="宋体" w:eastAsia="宋体" w:cs="宋体"/>
                <w:color w:val="auto"/>
                <w:spacing w:val="-2"/>
                <w:szCs w:val="21"/>
              </w:rPr>
              <w:t>查现</w:t>
            </w:r>
            <w:r>
              <w:rPr>
                <w:rFonts w:ascii="宋体" w:hAnsi="宋体" w:eastAsia="宋体" w:cs="宋体"/>
                <w:color w:val="auto"/>
                <w:spacing w:val="-1"/>
                <w:szCs w:val="21"/>
              </w:rPr>
              <w:t>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9</w:t>
            </w:r>
          </w:p>
        </w:tc>
        <w:tc>
          <w:tcPr>
            <w:tcW w:w="2268" w:type="dxa"/>
          </w:tcPr>
          <w:p>
            <w:pPr>
              <w:rPr>
                <w:rFonts w:hint="eastAsia" w:ascii="宋体" w:hAnsi="宋体" w:eastAsia="宋体" w:cs="宋体"/>
                <w:color w:val="auto"/>
                <w:spacing w:val="-1"/>
                <w:szCs w:val="21"/>
              </w:rPr>
            </w:pPr>
            <w:r>
              <w:rPr>
                <w:rFonts w:ascii="宋体" w:hAnsi="宋体" w:eastAsia="宋体" w:cs="宋体"/>
                <w:color w:val="auto"/>
                <w:spacing w:val="-1"/>
                <w:szCs w:val="21"/>
              </w:rPr>
              <w:t>黄磷精制槽材质应满足介质腐蚀要求，并设有保温层，储槽应定期进行壁厚检测，储槽内黄磷表面应设置不小于0.5m高的水封以隔绝空气，并设置水位监测和自动补水措施。精制黄磷时槽内部稳定不大于90℃。</w:t>
            </w:r>
          </w:p>
        </w:tc>
        <w:tc>
          <w:tcPr>
            <w:tcW w:w="2409" w:type="dxa"/>
          </w:tcPr>
          <w:p>
            <w:pPr>
              <w:jc w:val="center"/>
              <w:rPr>
                <w:rFonts w:hint="eastAsia" w:ascii="宋体" w:hAnsi="宋体" w:eastAsia="宋体" w:cs="宋体"/>
                <w:color w:val="auto"/>
                <w:spacing w:val="-1"/>
                <w:position w:val="7"/>
                <w:szCs w:val="21"/>
              </w:rPr>
            </w:pPr>
            <w:r>
              <w:rPr>
                <w:rFonts w:ascii="宋体" w:hAnsi="宋体" w:eastAsia="宋体" w:cs="宋体"/>
                <w:color w:val="auto"/>
                <w:spacing w:val="-1"/>
                <w:position w:val="7"/>
                <w:szCs w:val="21"/>
              </w:rPr>
              <w:t>《黄磷安全规程》(2026-7-1征求意见稿)7.3.2、7.3.3</w:t>
            </w:r>
          </w:p>
        </w:tc>
        <w:tc>
          <w:tcPr>
            <w:tcW w:w="1560" w:type="dxa"/>
          </w:tcPr>
          <w:p>
            <w:pPr>
              <w:spacing w:line="451" w:lineRule="auto"/>
              <w:rPr>
                <w:rFonts w:ascii="Calibri" w:hAnsi="Calibri" w:eastAsia="宋体" w:cs="Times New Roman"/>
                <w:color w:val="auto"/>
              </w:rPr>
            </w:pPr>
            <w:r>
              <w:rPr>
                <w:rFonts w:ascii="Calibri" w:hAnsi="Calibri" w:eastAsia="宋体" w:cs="Times New Roman"/>
                <w:color w:val="auto"/>
              </w:rPr>
              <w:t>查现场、台账</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10</w:t>
            </w:r>
          </w:p>
        </w:tc>
        <w:tc>
          <w:tcPr>
            <w:tcW w:w="2268" w:type="dxa"/>
          </w:tcPr>
          <w:p>
            <w:pPr>
              <w:rPr>
                <w:rFonts w:hint="eastAsia" w:ascii="宋体" w:hAnsi="宋体" w:eastAsia="宋体" w:cs="宋体"/>
                <w:color w:val="auto"/>
                <w:spacing w:val="-1"/>
                <w:szCs w:val="21"/>
              </w:rPr>
            </w:pPr>
            <w:r>
              <w:rPr>
                <w:rFonts w:ascii="宋体" w:hAnsi="宋体" w:eastAsia="宋体" w:cs="宋体"/>
                <w:color w:val="auto"/>
                <w:spacing w:val="-1"/>
                <w:szCs w:val="21"/>
              </w:rPr>
              <w:t>地上黄磷储罐不应采用单端面机封和填料密封离心泵（液下泵除外），地下黄磷储罐可采用液下泵进行物料输送。</w:t>
            </w:r>
          </w:p>
        </w:tc>
        <w:tc>
          <w:tcPr>
            <w:tcW w:w="2409" w:type="dxa"/>
          </w:tcPr>
          <w:p>
            <w:pPr>
              <w:jc w:val="center"/>
              <w:rPr>
                <w:rFonts w:hint="eastAsia" w:ascii="宋体" w:hAnsi="宋体" w:eastAsia="宋体" w:cs="宋体"/>
                <w:color w:val="auto"/>
                <w:spacing w:val="8"/>
                <w:szCs w:val="21"/>
              </w:rPr>
            </w:pPr>
            <w:r>
              <w:rPr>
                <w:rFonts w:ascii="宋体" w:hAnsi="宋体" w:eastAsia="宋体" w:cs="宋体"/>
                <w:color w:val="auto"/>
                <w:spacing w:val="8"/>
                <w:szCs w:val="21"/>
              </w:rPr>
              <w:t>《黄磷安全规程》(2026-7-1征求意见稿)7.4.6</w:t>
            </w:r>
          </w:p>
        </w:tc>
        <w:tc>
          <w:tcPr>
            <w:tcW w:w="1560" w:type="dxa"/>
          </w:tcPr>
          <w:p>
            <w:pPr>
              <w:jc w:val="center"/>
              <w:rPr>
                <w:rFonts w:hint="eastAsia" w:ascii="宋体" w:hAnsi="宋体" w:eastAsia="宋体" w:cs="宋体"/>
                <w:color w:val="auto"/>
                <w:spacing w:val="-2"/>
                <w:szCs w:val="21"/>
              </w:rPr>
            </w:pPr>
            <w:r>
              <w:rPr>
                <w:rFonts w:ascii="宋体" w:hAnsi="宋体" w:eastAsia="宋体" w:cs="宋体"/>
                <w:color w:val="auto"/>
                <w:spacing w:val="-2"/>
                <w:szCs w:val="21"/>
              </w:rPr>
              <w:t>查现场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4"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11</w:t>
            </w:r>
          </w:p>
        </w:tc>
        <w:tc>
          <w:tcPr>
            <w:tcW w:w="2268" w:type="dxa"/>
          </w:tcPr>
          <w:p>
            <w:pPr>
              <w:rPr>
                <w:rFonts w:hint="eastAsia" w:ascii="宋体" w:hAnsi="宋体" w:eastAsia="宋体" w:cs="宋体"/>
                <w:color w:val="auto"/>
                <w:spacing w:val="-8"/>
                <w:szCs w:val="21"/>
              </w:rPr>
            </w:pPr>
            <w:r>
              <w:rPr>
                <w:rFonts w:ascii="宋体" w:hAnsi="宋体" w:eastAsia="宋体" w:cs="宋体"/>
                <w:color w:val="auto"/>
                <w:spacing w:val="-1"/>
                <w:szCs w:val="21"/>
              </w:rPr>
              <w:t>黄磷储罐应设置安全围堰，并配备相应安全设施，黄磷储罐应定期进行壁厚检测。</w:t>
            </w:r>
          </w:p>
        </w:tc>
        <w:tc>
          <w:tcPr>
            <w:tcW w:w="2409" w:type="dxa"/>
          </w:tcPr>
          <w:p>
            <w:pPr>
              <w:jc w:val="center"/>
              <w:rPr>
                <w:rFonts w:hint="eastAsia" w:ascii="宋体" w:hAnsi="宋体" w:eastAsia="宋体" w:cs="宋体"/>
                <w:color w:val="auto"/>
                <w:spacing w:val="8"/>
                <w:szCs w:val="21"/>
              </w:rPr>
            </w:pPr>
            <w:r>
              <w:rPr>
                <w:rFonts w:ascii="宋体" w:hAnsi="宋体" w:eastAsia="宋体" w:cs="宋体"/>
                <w:color w:val="auto"/>
                <w:spacing w:val="8"/>
                <w:szCs w:val="21"/>
              </w:rPr>
              <w:t xml:space="preserve">《黄磷安全规程》(GB/Z24784-2009) </w:t>
            </w:r>
          </w:p>
          <w:p>
            <w:pPr>
              <w:jc w:val="center"/>
              <w:rPr>
                <w:rFonts w:hint="eastAsia" w:ascii="宋体" w:hAnsi="宋体" w:eastAsia="宋体" w:cs="宋体"/>
                <w:color w:val="auto"/>
                <w:spacing w:val="4"/>
                <w:szCs w:val="21"/>
              </w:rPr>
            </w:pPr>
            <w:r>
              <w:rPr>
                <w:rFonts w:ascii="宋体" w:hAnsi="宋体" w:eastAsia="宋体" w:cs="宋体"/>
                <w:color w:val="auto"/>
                <w:spacing w:val="8"/>
                <w:szCs w:val="21"/>
              </w:rPr>
              <w:t>7.5</w:t>
            </w:r>
          </w:p>
        </w:tc>
        <w:tc>
          <w:tcPr>
            <w:tcW w:w="1560" w:type="dxa"/>
          </w:tcPr>
          <w:p>
            <w:pPr>
              <w:jc w:val="center"/>
              <w:rPr>
                <w:rFonts w:hint="eastAsia" w:ascii="宋体" w:hAnsi="宋体" w:eastAsia="宋体" w:cs="宋体"/>
                <w:color w:val="auto"/>
                <w:spacing w:val="-2"/>
                <w:szCs w:val="21"/>
              </w:rPr>
            </w:pPr>
            <w:r>
              <w:rPr>
                <w:rFonts w:ascii="宋体" w:hAnsi="宋体" w:eastAsia="宋体" w:cs="宋体"/>
                <w:color w:val="auto"/>
                <w:spacing w:val="-2"/>
                <w:szCs w:val="21"/>
              </w:rPr>
              <w:t>查现</w:t>
            </w:r>
            <w:r>
              <w:rPr>
                <w:rFonts w:ascii="宋体" w:hAnsi="宋体" w:eastAsia="宋体" w:cs="宋体"/>
                <w:color w:val="auto"/>
                <w:spacing w:val="-1"/>
                <w:szCs w:val="21"/>
              </w:rPr>
              <w:t>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12</w:t>
            </w:r>
          </w:p>
        </w:tc>
        <w:tc>
          <w:tcPr>
            <w:tcW w:w="2268" w:type="dxa"/>
          </w:tcPr>
          <w:p>
            <w:pPr>
              <w:jc w:val="center"/>
              <w:rPr>
                <w:rFonts w:hint="eastAsia" w:ascii="宋体" w:hAnsi="宋体" w:eastAsia="宋体" w:cs="宋体"/>
                <w:color w:val="auto"/>
                <w:spacing w:val="-1"/>
                <w:szCs w:val="21"/>
              </w:rPr>
            </w:pPr>
            <w:r>
              <w:rPr>
                <w:rFonts w:ascii="宋体" w:hAnsi="宋体" w:eastAsia="宋体" w:cs="宋体"/>
                <w:color w:val="auto"/>
                <w:spacing w:val="-1"/>
                <w:szCs w:val="21"/>
              </w:rPr>
              <w:t>采用湿式脱硫的黄磷尾气净化工艺，应采取防止脱硫液产生结晶或固体沉淀的措施。</w:t>
            </w:r>
          </w:p>
        </w:tc>
        <w:tc>
          <w:tcPr>
            <w:tcW w:w="2409" w:type="dxa"/>
          </w:tcPr>
          <w:p>
            <w:pPr>
              <w:jc w:val="center"/>
              <w:rPr>
                <w:rFonts w:hint="eastAsia" w:ascii="宋体" w:hAnsi="宋体" w:eastAsia="宋体" w:cs="宋体"/>
                <w:color w:val="auto"/>
                <w:spacing w:val="8"/>
                <w:szCs w:val="21"/>
              </w:rPr>
            </w:pPr>
            <w:r>
              <w:rPr>
                <w:rFonts w:ascii="宋体" w:hAnsi="宋体" w:eastAsia="宋体" w:cs="宋体"/>
                <w:color w:val="auto"/>
                <w:spacing w:val="8"/>
                <w:szCs w:val="21"/>
              </w:rPr>
              <w:t>《黄磷安全规程》(2026-7-1征求意见稿)7.5.5</w:t>
            </w:r>
          </w:p>
        </w:tc>
        <w:tc>
          <w:tcPr>
            <w:tcW w:w="1560" w:type="dxa"/>
          </w:tcPr>
          <w:p>
            <w:pPr>
              <w:jc w:val="center"/>
              <w:rPr>
                <w:rFonts w:hint="eastAsia" w:ascii="宋体" w:hAnsi="宋体" w:eastAsia="宋体" w:cs="宋体"/>
                <w:color w:val="auto"/>
                <w:spacing w:val="-2"/>
                <w:szCs w:val="21"/>
              </w:rPr>
            </w:pPr>
            <w:r>
              <w:rPr>
                <w:rFonts w:ascii="宋体" w:hAnsi="宋体" w:eastAsia="宋体" w:cs="宋体"/>
                <w:color w:val="auto"/>
                <w:spacing w:val="-2"/>
                <w:szCs w:val="21"/>
              </w:rPr>
              <w:t>查现场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13</w:t>
            </w:r>
          </w:p>
        </w:tc>
        <w:tc>
          <w:tcPr>
            <w:tcW w:w="2268" w:type="dxa"/>
          </w:tcPr>
          <w:p>
            <w:pPr>
              <w:rPr>
                <w:rFonts w:hint="eastAsia" w:ascii="宋体" w:hAnsi="宋体" w:eastAsia="宋体" w:cs="宋体"/>
                <w:color w:val="auto"/>
                <w:spacing w:val="-1"/>
                <w:szCs w:val="21"/>
              </w:rPr>
            </w:pPr>
            <w:r>
              <w:rPr>
                <w:rFonts w:ascii="宋体" w:hAnsi="宋体" w:eastAsia="宋体" w:cs="宋体"/>
                <w:color w:val="auto"/>
                <w:spacing w:val="-1"/>
                <w:szCs w:val="21"/>
              </w:rPr>
              <w:t>尾气管道应设压力自动调节和事故紧急切断装置，尾气管道上的防爆孔、闸阀、放散管，应与其他管道保持一定距离，并应设有冲洗管内残存尾气的设施</w:t>
            </w:r>
            <w:r>
              <w:rPr>
                <w:rFonts w:ascii="宋体" w:hAnsi="宋体" w:eastAsia="宋体" w:cs="宋体"/>
                <w:color w:val="auto"/>
                <w:spacing w:val="-9"/>
                <w:szCs w:val="21"/>
              </w:rPr>
              <w:t>。</w:t>
            </w:r>
          </w:p>
        </w:tc>
        <w:tc>
          <w:tcPr>
            <w:tcW w:w="2409" w:type="dxa"/>
          </w:tcPr>
          <w:p>
            <w:pPr>
              <w:spacing w:line="268" w:lineRule="auto"/>
              <w:jc w:val="center"/>
              <w:rPr>
                <w:rFonts w:hint="eastAsia" w:ascii="宋体" w:hAnsi="宋体" w:eastAsia="宋体" w:cs="宋体"/>
                <w:color w:val="auto"/>
                <w:spacing w:val="6"/>
                <w:szCs w:val="21"/>
              </w:rPr>
            </w:pPr>
            <w:r>
              <w:rPr>
                <w:rFonts w:ascii="宋体" w:hAnsi="宋体" w:eastAsia="宋体" w:cs="宋体"/>
                <w:color w:val="auto"/>
                <w:spacing w:val="6"/>
                <w:szCs w:val="21"/>
              </w:rPr>
              <w:t>《黄磷安全规程》(GB/Z24784-2009)</w:t>
            </w:r>
          </w:p>
          <w:p>
            <w:pPr>
              <w:spacing w:line="268" w:lineRule="auto"/>
              <w:jc w:val="center"/>
              <w:rPr>
                <w:rFonts w:ascii="Calibri" w:hAnsi="Calibri" w:eastAsia="宋体" w:cs="Times New Roman"/>
                <w:color w:val="auto"/>
              </w:rPr>
            </w:pPr>
            <w:r>
              <w:rPr>
                <w:rFonts w:ascii="宋体" w:hAnsi="宋体" w:eastAsia="宋体" w:cs="宋体"/>
                <w:color w:val="auto"/>
                <w:spacing w:val="6"/>
                <w:szCs w:val="21"/>
              </w:rPr>
              <w:t>8.3.2</w:t>
            </w:r>
          </w:p>
        </w:tc>
        <w:tc>
          <w:tcPr>
            <w:tcW w:w="1560" w:type="dxa"/>
          </w:tcPr>
          <w:p>
            <w:pPr>
              <w:spacing w:line="268" w:lineRule="auto"/>
              <w:ind w:firstLine="412" w:firstLineChars="200"/>
              <w:rPr>
                <w:rFonts w:ascii="Calibri" w:hAnsi="Calibri" w:eastAsia="宋体" w:cs="Times New Roman"/>
                <w:color w:val="auto"/>
              </w:rPr>
            </w:pPr>
            <w:r>
              <w:rPr>
                <w:rFonts w:ascii="宋体" w:hAnsi="宋体" w:eastAsia="宋体" w:cs="宋体"/>
                <w:color w:val="auto"/>
                <w:spacing w:val="-2"/>
                <w:szCs w:val="21"/>
              </w:rPr>
              <w:t>查现</w:t>
            </w:r>
            <w:r>
              <w:rPr>
                <w:rFonts w:ascii="宋体" w:hAnsi="宋体" w:eastAsia="宋体" w:cs="宋体"/>
                <w:color w:val="auto"/>
                <w:spacing w:val="-1"/>
                <w:szCs w:val="21"/>
              </w:rPr>
              <w:t>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14</w:t>
            </w:r>
          </w:p>
        </w:tc>
        <w:tc>
          <w:tcPr>
            <w:tcW w:w="2268" w:type="dxa"/>
            <w:vAlign w:val="center"/>
          </w:tcPr>
          <w:p>
            <w:pPr>
              <w:rPr>
                <w:rFonts w:hint="eastAsia" w:ascii="宋体" w:hAnsi="宋体" w:eastAsia="宋体" w:cs="宋体"/>
                <w:color w:val="auto"/>
                <w:spacing w:val="-1"/>
                <w:szCs w:val="21"/>
              </w:rPr>
            </w:pPr>
            <w:r>
              <w:rPr>
                <w:rFonts w:ascii="Times New Roman" w:hAnsi="Times New Roman" w:eastAsia="宋体" w:cs="Times New Roman"/>
                <w:color w:val="auto"/>
                <w:szCs w:val="21"/>
              </w:rPr>
              <w:t>点火口装有紧急切断阀，在尾气调节操作地点，应设有一氧化碳检测报警装置。</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《黄磷安全规程》(GB/Z24784-2009)</w:t>
            </w:r>
          </w:p>
          <w:p>
            <w:pPr>
              <w:jc w:val="center"/>
              <w:rPr>
                <w:rFonts w:hint="eastAsia" w:ascii="宋体" w:hAnsi="宋体" w:eastAsia="宋体" w:cs="宋体"/>
                <w:color w:val="auto"/>
                <w:spacing w:val="8"/>
                <w:szCs w:val="21"/>
              </w:rPr>
            </w:pPr>
            <w:r>
              <w:rPr>
                <w:rFonts w:ascii="Times New Roman" w:hAnsi="Times New Roman" w:eastAsia="宋体" w:cs="Times New Roman"/>
                <w:color w:val="auto"/>
                <w:szCs w:val="21"/>
              </w:rPr>
              <w:t>8.3.5</w:t>
            </w:r>
          </w:p>
        </w:tc>
        <w:tc>
          <w:tcPr>
            <w:tcW w:w="1560" w:type="dxa"/>
            <w:vAlign w:val="center"/>
          </w:tcPr>
          <w:p>
            <w:pPr>
              <w:jc w:val="center"/>
              <w:rPr>
                <w:rFonts w:hint="eastAsia" w:ascii="宋体" w:hAnsi="宋体" w:eastAsia="宋体" w:cs="宋体"/>
                <w:color w:val="auto"/>
                <w:spacing w:val="-2"/>
                <w:szCs w:val="21"/>
              </w:rPr>
            </w:pPr>
            <w:r>
              <w:rPr>
                <w:rFonts w:ascii="Times New Roman" w:hAnsi="Times New Roman" w:eastAsia="宋体" w:cs="Times New Roman"/>
                <w:color w:val="auto"/>
                <w:szCs w:val="21"/>
              </w:rPr>
              <w:t>查现场、DCS</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4"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15</w:t>
            </w:r>
          </w:p>
        </w:tc>
        <w:tc>
          <w:tcPr>
            <w:tcW w:w="2268" w:type="dxa"/>
          </w:tcPr>
          <w:p>
            <w:pPr>
              <w:rPr>
                <w:rFonts w:hint="eastAsia" w:ascii="宋体" w:hAnsi="宋体" w:eastAsia="宋体" w:cs="宋体"/>
                <w:color w:val="auto"/>
                <w:spacing w:val="-1"/>
                <w:szCs w:val="21"/>
              </w:rPr>
            </w:pPr>
            <w:r>
              <w:rPr>
                <w:rFonts w:ascii="宋体" w:hAnsi="宋体" w:eastAsia="宋体" w:cs="宋体"/>
                <w:color w:val="auto"/>
                <w:spacing w:val="-1"/>
                <w:szCs w:val="21"/>
              </w:rPr>
              <w:t>尾气从磷炉输送到烘干系统应采取微正压0.1Kpa～0.35Kp操作。</w:t>
            </w:r>
          </w:p>
        </w:tc>
        <w:tc>
          <w:tcPr>
            <w:tcW w:w="2409" w:type="dxa"/>
          </w:tcPr>
          <w:p>
            <w:pPr>
              <w:jc w:val="center"/>
              <w:rPr>
                <w:rFonts w:hint="eastAsia" w:ascii="宋体" w:hAnsi="宋体" w:eastAsia="宋体" w:cs="宋体"/>
                <w:color w:val="auto"/>
                <w:spacing w:val="8"/>
                <w:szCs w:val="21"/>
              </w:rPr>
            </w:pPr>
            <w:r>
              <w:rPr>
                <w:rFonts w:ascii="宋体" w:hAnsi="宋体" w:eastAsia="宋体" w:cs="宋体"/>
                <w:color w:val="auto"/>
                <w:spacing w:val="6"/>
                <w:szCs w:val="21"/>
              </w:rPr>
              <w:t>《黄磷安全规程》(GB/Z24784-2009)</w:t>
            </w:r>
            <w:r>
              <w:rPr>
                <w:rFonts w:ascii="宋体" w:hAnsi="宋体" w:eastAsia="宋体" w:cs="宋体"/>
                <w:color w:val="auto"/>
                <w:spacing w:val="3"/>
                <w:szCs w:val="21"/>
              </w:rPr>
              <w:t xml:space="preserve"> 8.3.6</w:t>
            </w:r>
          </w:p>
        </w:tc>
        <w:tc>
          <w:tcPr>
            <w:tcW w:w="1560" w:type="dxa"/>
          </w:tcPr>
          <w:p>
            <w:pPr>
              <w:jc w:val="center"/>
              <w:rPr>
                <w:rFonts w:hint="eastAsia" w:ascii="宋体" w:hAnsi="宋体" w:eastAsia="宋体" w:cs="宋体"/>
                <w:color w:val="auto"/>
                <w:spacing w:val="-2"/>
                <w:szCs w:val="21"/>
              </w:rPr>
            </w:pPr>
            <w:r>
              <w:rPr>
                <w:rFonts w:ascii="宋体" w:hAnsi="宋体" w:eastAsia="宋体" w:cs="宋体"/>
                <w:color w:val="auto"/>
                <w:spacing w:val="-2"/>
                <w:szCs w:val="21"/>
              </w:rPr>
              <w:t>查现</w:t>
            </w:r>
            <w:r>
              <w:rPr>
                <w:rFonts w:ascii="宋体" w:hAnsi="宋体" w:eastAsia="宋体" w:cs="宋体"/>
                <w:color w:val="auto"/>
                <w:spacing w:val="-1"/>
                <w:szCs w:val="21"/>
              </w:rPr>
              <w:t>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16</w:t>
            </w:r>
          </w:p>
        </w:tc>
        <w:tc>
          <w:tcPr>
            <w:tcW w:w="2268" w:type="dxa"/>
          </w:tcPr>
          <w:p>
            <w:pPr>
              <w:rPr>
                <w:rFonts w:hint="eastAsia" w:ascii="宋体" w:hAnsi="宋体" w:eastAsia="宋体" w:cs="宋体"/>
                <w:color w:val="auto"/>
                <w:spacing w:val="-1"/>
                <w:szCs w:val="21"/>
              </w:rPr>
            </w:pPr>
            <w:r>
              <w:rPr>
                <w:rFonts w:ascii="宋体" w:hAnsi="宋体" w:eastAsia="宋体" w:cs="宋体"/>
                <w:color w:val="auto"/>
                <w:spacing w:val="-1"/>
                <w:szCs w:val="21"/>
              </w:rPr>
              <w:t>黄磷罐区应配置喷淋装置、安全桶、消防栓等安全设施。灭火时应采用雾状（开花）水</w:t>
            </w:r>
            <w:r>
              <w:rPr>
                <w:rFonts w:ascii="宋体" w:hAnsi="宋体" w:eastAsia="宋体" w:cs="宋体"/>
                <w:color w:val="auto"/>
                <w:spacing w:val="-5"/>
                <w:szCs w:val="21"/>
              </w:rPr>
              <w:t>。</w:t>
            </w:r>
          </w:p>
        </w:tc>
        <w:tc>
          <w:tcPr>
            <w:tcW w:w="2409" w:type="dxa"/>
          </w:tcPr>
          <w:p>
            <w:pPr>
              <w:jc w:val="center"/>
              <w:rPr>
                <w:rFonts w:hint="eastAsia" w:ascii="宋体" w:hAnsi="宋体" w:eastAsia="宋体" w:cs="宋体"/>
                <w:color w:val="auto"/>
                <w:spacing w:val="6"/>
                <w:szCs w:val="21"/>
              </w:rPr>
            </w:pPr>
            <w:r>
              <w:rPr>
                <w:rFonts w:ascii="宋体" w:hAnsi="宋体" w:eastAsia="宋体" w:cs="宋体"/>
                <w:color w:val="auto"/>
                <w:spacing w:val="6"/>
                <w:szCs w:val="21"/>
              </w:rPr>
              <w:t>《黄磷安全规程》(GB/Z24784-2009)</w:t>
            </w:r>
          </w:p>
          <w:p>
            <w:pPr>
              <w:jc w:val="center"/>
              <w:rPr>
                <w:rFonts w:hint="eastAsia" w:ascii="宋体" w:hAnsi="宋体" w:eastAsia="宋体" w:cs="宋体"/>
                <w:color w:val="auto"/>
                <w:spacing w:val="6"/>
                <w:szCs w:val="21"/>
              </w:rPr>
            </w:pPr>
            <w:r>
              <w:rPr>
                <w:rFonts w:ascii="宋体" w:hAnsi="宋体" w:eastAsia="宋体" w:cs="宋体"/>
                <w:color w:val="auto"/>
                <w:spacing w:val="6"/>
                <w:szCs w:val="21"/>
              </w:rPr>
              <w:t>10.5</w:t>
            </w:r>
          </w:p>
        </w:tc>
        <w:tc>
          <w:tcPr>
            <w:tcW w:w="1560" w:type="dxa"/>
          </w:tcPr>
          <w:p>
            <w:pPr>
              <w:jc w:val="center"/>
              <w:rPr>
                <w:rFonts w:hint="eastAsia" w:ascii="宋体" w:hAnsi="宋体" w:eastAsia="宋体" w:cs="宋体"/>
                <w:color w:val="auto"/>
                <w:spacing w:val="-2"/>
                <w:szCs w:val="21"/>
              </w:rPr>
            </w:pPr>
            <w:r>
              <w:rPr>
                <w:rFonts w:ascii="宋体" w:hAnsi="宋体" w:eastAsia="宋体" w:cs="宋体"/>
                <w:color w:val="auto"/>
                <w:spacing w:val="-2"/>
                <w:szCs w:val="21"/>
              </w:rPr>
              <w:t>查现</w:t>
            </w:r>
            <w:r>
              <w:rPr>
                <w:rFonts w:ascii="宋体" w:hAnsi="宋体" w:eastAsia="宋体" w:cs="宋体"/>
                <w:color w:val="auto"/>
                <w:spacing w:val="-1"/>
                <w:szCs w:val="21"/>
              </w:rPr>
              <w:t>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17</w:t>
            </w:r>
          </w:p>
        </w:tc>
        <w:tc>
          <w:tcPr>
            <w:tcW w:w="2268" w:type="dxa"/>
          </w:tcPr>
          <w:p>
            <w:pPr>
              <w:rPr>
                <w:rFonts w:hint="eastAsia" w:ascii="宋体" w:hAnsi="宋体" w:eastAsia="宋体" w:cs="宋体"/>
                <w:color w:val="auto"/>
                <w:spacing w:val="-1"/>
                <w:szCs w:val="21"/>
              </w:rPr>
            </w:pPr>
            <w:r>
              <w:rPr>
                <w:rFonts w:ascii="宋体" w:hAnsi="宋体" w:eastAsia="宋体" w:cs="宋体"/>
                <w:color w:val="auto"/>
                <w:spacing w:val="-1"/>
                <w:szCs w:val="21"/>
              </w:rPr>
              <w:t>电炉制磷系统的电气设备和线路的设计、安装、运行应符合GB50058的要求。</w:t>
            </w:r>
          </w:p>
        </w:tc>
        <w:tc>
          <w:tcPr>
            <w:tcW w:w="2409" w:type="dxa"/>
          </w:tcPr>
          <w:p>
            <w:pPr>
              <w:jc w:val="center"/>
              <w:rPr>
                <w:rFonts w:hint="eastAsia" w:ascii="宋体" w:hAnsi="宋体" w:eastAsia="宋体" w:cs="宋体"/>
                <w:color w:val="auto"/>
                <w:spacing w:val="6"/>
                <w:szCs w:val="21"/>
              </w:rPr>
            </w:pPr>
            <w:r>
              <w:rPr>
                <w:rFonts w:ascii="宋体" w:hAnsi="宋体" w:eastAsia="宋体" w:cs="宋体"/>
                <w:color w:val="auto"/>
                <w:spacing w:val="6"/>
                <w:szCs w:val="21"/>
              </w:rPr>
              <w:t>《黄磷安全规程》(GB/Z24784-2009)</w:t>
            </w:r>
          </w:p>
          <w:p>
            <w:pPr>
              <w:jc w:val="center"/>
              <w:rPr>
                <w:rFonts w:hint="eastAsia" w:ascii="宋体" w:hAnsi="宋体" w:eastAsia="宋体" w:cs="宋体"/>
                <w:color w:val="auto"/>
                <w:spacing w:val="6"/>
                <w:szCs w:val="21"/>
              </w:rPr>
            </w:pPr>
            <w:r>
              <w:rPr>
                <w:rFonts w:ascii="宋体" w:hAnsi="宋体" w:eastAsia="宋体" w:cs="宋体"/>
                <w:color w:val="auto"/>
                <w:spacing w:val="6"/>
                <w:szCs w:val="21"/>
              </w:rPr>
              <w:t>11.1</w:t>
            </w:r>
          </w:p>
        </w:tc>
        <w:tc>
          <w:tcPr>
            <w:tcW w:w="1560" w:type="dxa"/>
          </w:tcPr>
          <w:p>
            <w:pPr>
              <w:spacing w:line="298" w:lineRule="auto"/>
              <w:rPr>
                <w:rFonts w:ascii="Calibri" w:hAnsi="Calibri" w:eastAsia="宋体" w:cs="Times New Roman"/>
                <w:color w:val="auto"/>
              </w:rPr>
            </w:pPr>
          </w:p>
          <w:p>
            <w:pPr>
              <w:jc w:val="center"/>
              <w:rPr>
                <w:rFonts w:hint="eastAsia" w:ascii="宋体" w:hAnsi="宋体" w:eastAsia="宋体" w:cs="宋体"/>
                <w:color w:val="auto"/>
                <w:spacing w:val="-2"/>
                <w:szCs w:val="21"/>
              </w:rPr>
            </w:pPr>
            <w:r>
              <w:rPr>
                <w:rFonts w:ascii="宋体" w:hAnsi="宋体" w:eastAsia="宋体" w:cs="宋体"/>
                <w:color w:val="auto"/>
                <w:spacing w:val="-2"/>
                <w:szCs w:val="21"/>
              </w:rPr>
              <w:t>查现</w:t>
            </w:r>
            <w:r>
              <w:rPr>
                <w:rFonts w:ascii="宋体" w:hAnsi="宋体" w:eastAsia="宋体" w:cs="宋体"/>
                <w:color w:val="auto"/>
                <w:spacing w:val="-1"/>
                <w:szCs w:val="21"/>
              </w:rPr>
              <w:t>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18</w:t>
            </w:r>
          </w:p>
        </w:tc>
        <w:tc>
          <w:tcPr>
            <w:tcW w:w="2268" w:type="dxa"/>
          </w:tcPr>
          <w:p>
            <w:pPr>
              <w:rPr>
                <w:rFonts w:hint="eastAsia" w:ascii="宋体" w:hAnsi="宋体" w:eastAsia="宋体" w:cs="宋体"/>
                <w:color w:val="auto"/>
                <w:spacing w:val="-4"/>
                <w:szCs w:val="21"/>
              </w:rPr>
            </w:pPr>
            <w:r>
              <w:rPr>
                <w:rFonts w:ascii="宋体" w:hAnsi="宋体" w:eastAsia="宋体" w:cs="宋体"/>
                <w:color w:val="auto"/>
                <w:spacing w:val="-4"/>
                <w:szCs w:val="21"/>
              </w:rPr>
              <w:t>胶带运输机应设有下列装置：</w:t>
            </w:r>
          </w:p>
          <w:p>
            <w:pPr>
              <w:rPr>
                <w:rFonts w:hint="eastAsia" w:ascii="宋体" w:hAnsi="宋体" w:eastAsia="宋体" w:cs="宋体"/>
                <w:color w:val="auto"/>
                <w:spacing w:val="-4"/>
                <w:szCs w:val="21"/>
              </w:rPr>
            </w:pPr>
            <w:r>
              <w:rPr>
                <w:rFonts w:ascii="宋体" w:hAnsi="宋体" w:eastAsia="宋体" w:cs="宋体"/>
                <w:color w:val="auto"/>
                <w:spacing w:val="-4"/>
                <w:szCs w:val="21"/>
              </w:rPr>
              <w:t>a)安全绳等胶带事故停车装置；</w:t>
            </w:r>
          </w:p>
          <w:p>
            <w:pPr>
              <w:rPr>
                <w:rFonts w:hint="eastAsia" w:ascii="宋体" w:hAnsi="宋体" w:eastAsia="宋体" w:cs="宋体"/>
                <w:color w:val="auto"/>
                <w:spacing w:val="-4"/>
                <w:szCs w:val="21"/>
              </w:rPr>
            </w:pPr>
            <w:r>
              <w:rPr>
                <w:rFonts w:ascii="宋体" w:hAnsi="宋体" w:eastAsia="宋体" w:cs="宋体"/>
                <w:color w:val="auto"/>
                <w:spacing w:val="-4"/>
                <w:szCs w:val="21"/>
              </w:rPr>
              <w:t>b)倾斜胶带的逆止装置；</w:t>
            </w:r>
          </w:p>
          <w:p>
            <w:pPr>
              <w:rPr>
                <w:rFonts w:hint="eastAsia" w:ascii="宋体" w:hAnsi="宋体" w:eastAsia="宋体" w:cs="宋体"/>
                <w:color w:val="auto"/>
                <w:spacing w:val="-4"/>
                <w:szCs w:val="21"/>
              </w:rPr>
            </w:pPr>
            <w:r>
              <w:rPr>
                <w:rFonts w:ascii="宋体" w:hAnsi="宋体" w:eastAsia="宋体" w:cs="宋体"/>
                <w:color w:val="auto"/>
                <w:spacing w:val="-4"/>
                <w:szCs w:val="21"/>
              </w:rPr>
              <w:t>c)启动信号装置；</w:t>
            </w:r>
          </w:p>
          <w:p>
            <w:pPr>
              <w:rPr>
                <w:rFonts w:hint="eastAsia" w:ascii="宋体" w:hAnsi="宋体" w:eastAsia="宋体" w:cs="宋体"/>
                <w:color w:val="auto"/>
                <w:spacing w:val="-4"/>
                <w:szCs w:val="21"/>
              </w:rPr>
            </w:pPr>
            <w:r>
              <w:rPr>
                <w:rFonts w:ascii="宋体" w:hAnsi="宋体" w:eastAsia="宋体" w:cs="宋体"/>
                <w:color w:val="auto"/>
                <w:spacing w:val="-4"/>
                <w:szCs w:val="21"/>
              </w:rPr>
              <w:t>d)头、尾轮清扫器；</w:t>
            </w:r>
          </w:p>
          <w:p>
            <w:pPr>
              <w:rPr>
                <w:rFonts w:hint="eastAsia" w:ascii="宋体" w:hAnsi="宋体" w:eastAsia="宋体" w:cs="宋体"/>
                <w:color w:val="auto"/>
                <w:spacing w:val="-1"/>
                <w:szCs w:val="21"/>
              </w:rPr>
            </w:pPr>
            <w:r>
              <w:rPr>
                <w:rFonts w:ascii="宋体" w:hAnsi="宋体" w:eastAsia="宋体" w:cs="宋体"/>
                <w:color w:val="auto"/>
                <w:spacing w:val="-4"/>
                <w:szCs w:val="21"/>
              </w:rPr>
              <w:t>e)密封罩。</w:t>
            </w:r>
          </w:p>
        </w:tc>
        <w:tc>
          <w:tcPr>
            <w:tcW w:w="2409" w:type="dxa"/>
          </w:tcPr>
          <w:p>
            <w:pPr>
              <w:jc w:val="center"/>
              <w:rPr>
                <w:rFonts w:hint="eastAsia" w:ascii="宋体" w:hAnsi="宋体" w:eastAsia="宋体" w:cs="宋体"/>
                <w:color w:val="auto"/>
                <w:spacing w:val="6"/>
                <w:szCs w:val="21"/>
              </w:rPr>
            </w:pPr>
            <w:r>
              <w:rPr>
                <w:rFonts w:ascii="宋体" w:hAnsi="宋体" w:eastAsia="宋体" w:cs="宋体"/>
                <w:color w:val="auto"/>
                <w:spacing w:val="6"/>
                <w:szCs w:val="21"/>
              </w:rPr>
              <w:t>《黄磷安全规程》(GB/Z24784-2009)</w:t>
            </w:r>
          </w:p>
          <w:p>
            <w:pPr>
              <w:spacing w:line="298" w:lineRule="auto"/>
              <w:jc w:val="center"/>
              <w:rPr>
                <w:rFonts w:ascii="Calibri" w:hAnsi="Calibri" w:eastAsia="宋体" w:cs="Times New Roman"/>
                <w:color w:val="auto"/>
              </w:rPr>
            </w:pPr>
            <w:r>
              <w:rPr>
                <w:rFonts w:ascii="宋体" w:hAnsi="宋体" w:eastAsia="宋体" w:cs="宋体"/>
                <w:color w:val="auto"/>
                <w:spacing w:val="6"/>
                <w:szCs w:val="21"/>
              </w:rPr>
              <w:t>12.2</w:t>
            </w:r>
          </w:p>
        </w:tc>
        <w:tc>
          <w:tcPr>
            <w:tcW w:w="1560" w:type="dxa"/>
          </w:tcPr>
          <w:p>
            <w:pPr>
              <w:spacing w:line="254" w:lineRule="auto"/>
              <w:rPr>
                <w:rFonts w:ascii="Calibri" w:hAnsi="Calibri" w:eastAsia="宋体" w:cs="Times New Roman"/>
                <w:color w:val="auto"/>
              </w:rPr>
            </w:pPr>
          </w:p>
          <w:p>
            <w:pPr>
              <w:spacing w:line="255" w:lineRule="auto"/>
              <w:rPr>
                <w:rFonts w:ascii="Calibri" w:hAnsi="Calibri" w:eastAsia="宋体" w:cs="Times New Roman"/>
                <w:color w:val="auto"/>
              </w:rPr>
            </w:pPr>
          </w:p>
          <w:p>
            <w:pPr>
              <w:spacing w:line="255" w:lineRule="auto"/>
              <w:rPr>
                <w:rFonts w:ascii="Calibri" w:hAnsi="Calibri" w:eastAsia="宋体" w:cs="Times New Roman"/>
                <w:color w:val="auto"/>
              </w:rPr>
            </w:pPr>
          </w:p>
          <w:p>
            <w:pPr>
              <w:spacing w:line="298" w:lineRule="auto"/>
              <w:rPr>
                <w:rFonts w:ascii="Calibri" w:hAnsi="Calibri" w:eastAsia="宋体" w:cs="Times New Roman"/>
                <w:color w:val="auto"/>
              </w:rPr>
            </w:pPr>
            <w:r>
              <w:rPr>
                <w:rFonts w:ascii="宋体" w:hAnsi="宋体" w:eastAsia="宋体" w:cs="宋体"/>
                <w:color w:val="auto"/>
                <w:spacing w:val="-2"/>
                <w:szCs w:val="21"/>
              </w:rPr>
              <w:t>查现</w:t>
            </w:r>
            <w:r>
              <w:rPr>
                <w:rFonts w:ascii="宋体" w:hAnsi="宋体" w:eastAsia="宋体" w:cs="宋体"/>
                <w:color w:val="auto"/>
                <w:spacing w:val="-1"/>
                <w:szCs w:val="21"/>
              </w:rPr>
              <w:t>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34"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19</w:t>
            </w:r>
          </w:p>
        </w:tc>
        <w:tc>
          <w:tcPr>
            <w:tcW w:w="2268" w:type="dxa"/>
          </w:tcPr>
          <w:p>
            <w:pPr>
              <w:rPr>
                <w:rFonts w:hint="eastAsia" w:ascii="宋体" w:hAnsi="宋体" w:eastAsia="宋体" w:cs="宋体"/>
                <w:color w:val="auto"/>
                <w:spacing w:val="-4"/>
                <w:szCs w:val="21"/>
              </w:rPr>
            </w:pPr>
            <w:r>
              <w:rPr>
                <w:rFonts w:ascii="宋体" w:hAnsi="宋体" w:eastAsia="宋体" w:cs="宋体"/>
                <w:color w:val="auto"/>
                <w:spacing w:val="-2"/>
                <w:szCs w:val="21"/>
              </w:rPr>
              <w:t>黄磷储罐材质应为碳钢，设有保温层，管内设有加热盘管，黄磷表面有约1m高的水封以隔绝空气。</w:t>
            </w:r>
          </w:p>
        </w:tc>
        <w:tc>
          <w:tcPr>
            <w:tcW w:w="2409" w:type="dxa"/>
          </w:tcPr>
          <w:p>
            <w:pPr>
              <w:jc w:val="center"/>
              <w:rPr>
                <w:rFonts w:hint="eastAsia" w:ascii="宋体" w:hAnsi="宋体" w:eastAsia="宋体" w:cs="宋体"/>
                <w:color w:val="auto"/>
                <w:spacing w:val="-4"/>
                <w:szCs w:val="21"/>
              </w:rPr>
            </w:pPr>
            <w:r>
              <w:rPr>
                <w:rFonts w:ascii="宋体" w:hAnsi="宋体" w:eastAsia="宋体" w:cs="宋体"/>
                <w:color w:val="auto"/>
                <w:spacing w:val="-4"/>
                <w:szCs w:val="21"/>
              </w:rPr>
              <w:t>《黄磷安全规程》(GB/Z24784-2009)</w:t>
            </w:r>
          </w:p>
          <w:p>
            <w:pPr>
              <w:spacing w:line="454" w:lineRule="auto"/>
              <w:jc w:val="center"/>
              <w:rPr>
                <w:rFonts w:ascii="Calibri" w:hAnsi="Calibri" w:eastAsia="宋体" w:cs="Times New Roman"/>
                <w:color w:val="auto"/>
              </w:rPr>
            </w:pPr>
            <w:r>
              <w:rPr>
                <w:rFonts w:ascii="宋体" w:hAnsi="宋体" w:eastAsia="宋体" w:cs="宋体"/>
                <w:color w:val="auto"/>
                <w:spacing w:val="-4"/>
                <w:szCs w:val="21"/>
              </w:rPr>
              <w:t>17.4</w:t>
            </w:r>
          </w:p>
        </w:tc>
        <w:tc>
          <w:tcPr>
            <w:tcW w:w="1560" w:type="dxa"/>
          </w:tcPr>
          <w:p>
            <w:pPr>
              <w:spacing w:line="254" w:lineRule="auto"/>
              <w:rPr>
                <w:rFonts w:ascii="Calibri" w:hAnsi="Calibri" w:eastAsia="宋体" w:cs="Times New Roman"/>
                <w:color w:val="auto"/>
              </w:rPr>
            </w:pPr>
            <w:r>
              <w:rPr>
                <w:rFonts w:ascii="Calibri" w:hAnsi="Calibri" w:eastAsia="宋体" w:cs="Times New Roman"/>
                <w:color w:val="auto"/>
              </w:rPr>
              <w:t>查现场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20</w:t>
            </w:r>
          </w:p>
        </w:tc>
        <w:tc>
          <w:tcPr>
            <w:tcW w:w="2268" w:type="dxa"/>
            <w:vAlign w:val="center"/>
          </w:tcPr>
          <w:p>
            <w:pPr>
              <w:rPr>
                <w:rFonts w:hint="eastAsia" w:ascii="宋体" w:hAnsi="宋体" w:eastAsia="宋体" w:cs="宋体"/>
                <w:color w:val="auto"/>
                <w:spacing w:val="-1"/>
                <w:szCs w:val="21"/>
              </w:rPr>
            </w:pPr>
            <w:r>
              <w:rPr>
                <w:rFonts w:ascii="Times New Roman" w:hAnsi="Times New Roman" w:eastAsia="宋体" w:cs="Times New Roman"/>
                <w:color w:val="auto"/>
                <w:szCs w:val="21"/>
              </w:rPr>
              <w:t>围堰容积应满足可以容纳储罐内全部黄磷和黄磷面上保留1m高度液封水的要求。</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《黄磷安全规程》(GB/Z24784-2009)</w:t>
            </w:r>
          </w:p>
          <w:p>
            <w:pPr>
              <w:spacing w:line="298" w:lineRule="auto"/>
              <w:jc w:val="center"/>
              <w:rPr>
                <w:rFonts w:ascii="Calibri" w:hAnsi="Calibri" w:eastAsia="宋体" w:cs="Times New Roman"/>
                <w:color w:val="auto"/>
              </w:rPr>
            </w:pPr>
            <w:r>
              <w:rPr>
                <w:rFonts w:ascii="Times New Roman" w:hAnsi="Times New Roman" w:eastAsia="宋体" w:cs="Times New Roman"/>
                <w:color w:val="auto"/>
                <w:szCs w:val="21"/>
              </w:rPr>
              <w:t>17.6</w:t>
            </w:r>
          </w:p>
        </w:tc>
        <w:tc>
          <w:tcPr>
            <w:tcW w:w="1560" w:type="dxa"/>
            <w:vAlign w:val="center"/>
          </w:tcPr>
          <w:p>
            <w:pPr>
              <w:spacing w:line="298" w:lineRule="auto"/>
              <w:rPr>
                <w:rFonts w:ascii="Calibri" w:hAnsi="Calibri" w:eastAsia="宋体" w:cs="Times New Roman"/>
                <w:color w:val="auto"/>
              </w:rPr>
            </w:pPr>
            <w:r>
              <w:rPr>
                <w:rFonts w:ascii="Times New Roman" w:hAnsi="Times New Roman" w:eastAsia="宋体" w:cs="Times New Roman"/>
                <w:color w:val="auto"/>
                <w:szCs w:val="21"/>
              </w:rPr>
              <w:t>查现场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bl>
    <w:p>
      <w:pPr>
        <w:widowControl/>
        <w:jc w:val="left"/>
        <w:rPr>
          <w:rFonts w:hint="eastAsia" w:ascii="宋体" w:hAnsi="宋体" w:eastAsia="宋体"/>
          <w:b/>
          <w:bCs/>
          <w:color w:val="auto"/>
          <w:sz w:val="30"/>
          <w:szCs w:val="30"/>
        </w:rPr>
      </w:pPr>
    </w:p>
    <w:p>
      <w:pPr>
        <w:widowControl/>
        <w:jc w:val="left"/>
        <w:rPr>
          <w:rFonts w:hint="eastAsia" w:ascii="宋体" w:hAnsi="宋体" w:eastAsia="宋体"/>
          <w:b/>
          <w:bCs/>
          <w:color w:val="auto"/>
          <w:sz w:val="30"/>
          <w:szCs w:val="30"/>
        </w:rPr>
      </w:pPr>
      <w:r>
        <w:rPr>
          <w:rFonts w:hint="eastAsia" w:ascii="宋体" w:hAnsi="宋体" w:eastAsia="宋体"/>
          <w:b/>
          <w:bCs/>
          <w:color w:val="auto"/>
          <w:sz w:val="30"/>
          <w:szCs w:val="30"/>
        </w:rPr>
        <w:br w:type="page"/>
      </w:r>
    </w:p>
    <w:p>
      <w:pPr>
        <w:jc w:val="left"/>
        <w:outlineLvl w:val="1"/>
        <w:rPr>
          <w:rFonts w:hint="eastAsia" w:ascii="宋体" w:hAnsi="宋体" w:eastAsia="宋体"/>
          <w:b/>
          <w:bCs/>
          <w:color w:val="auto"/>
          <w:sz w:val="30"/>
          <w:szCs w:val="30"/>
        </w:rPr>
      </w:pPr>
      <w:bookmarkStart w:id="131" w:name="_Toc237556471"/>
      <w:r>
        <w:rPr>
          <w:rFonts w:hint="eastAsia" w:ascii="宋体" w:hAnsi="宋体" w:eastAsia="宋体"/>
          <w:b/>
          <w:bCs/>
          <w:color w:val="auto"/>
          <w:sz w:val="30"/>
          <w:szCs w:val="30"/>
        </w:rPr>
        <w:t>附件5-10</w:t>
      </w:r>
      <w:r>
        <w:rPr>
          <w:rFonts w:ascii="宋体" w:hAnsi="宋体" w:eastAsia="宋体"/>
          <w:b/>
          <w:bCs/>
          <w:color w:val="auto"/>
          <w:sz w:val="30"/>
          <w:szCs w:val="30"/>
        </w:rPr>
        <w:t>：</w:t>
      </w:r>
      <w:r>
        <w:rPr>
          <w:rFonts w:hint="eastAsia" w:ascii="宋体" w:hAnsi="宋体" w:eastAsia="宋体"/>
          <w:b/>
          <w:bCs/>
          <w:color w:val="auto"/>
          <w:sz w:val="30"/>
          <w:szCs w:val="30"/>
        </w:rPr>
        <w:t>硝化</w:t>
      </w:r>
      <w:r>
        <w:rPr>
          <w:rFonts w:ascii="宋体" w:hAnsi="宋体" w:eastAsia="宋体"/>
          <w:b/>
          <w:bCs/>
          <w:color w:val="auto"/>
          <w:sz w:val="30"/>
          <w:szCs w:val="30"/>
        </w:rPr>
        <w:t>企业检查表</w:t>
      </w:r>
      <w:bookmarkEnd w:id="131"/>
    </w:p>
    <w:tbl>
      <w:tblPr>
        <w:tblStyle w:val="5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5"/>
        <w:gridCol w:w="2572"/>
        <w:gridCol w:w="2409"/>
        <w:gridCol w:w="1560"/>
        <w:gridCol w:w="1984"/>
        <w:gridCol w:w="1843"/>
        <w:gridCol w:w="2785"/>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序号</w:t>
            </w:r>
          </w:p>
        </w:tc>
        <w:tc>
          <w:tcPr>
            <w:tcW w:w="2572"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检查内容</w:t>
            </w:r>
          </w:p>
        </w:tc>
        <w:tc>
          <w:tcPr>
            <w:tcW w:w="2409"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检查依据</w:t>
            </w:r>
          </w:p>
        </w:tc>
        <w:tc>
          <w:tcPr>
            <w:tcW w:w="1560"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检查方式</w:t>
            </w:r>
          </w:p>
        </w:tc>
        <w:tc>
          <w:tcPr>
            <w:tcW w:w="1984"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检查情况</w:t>
            </w:r>
          </w:p>
        </w:tc>
        <w:tc>
          <w:tcPr>
            <w:tcW w:w="1843"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检查问题</w:t>
            </w:r>
          </w:p>
        </w:tc>
        <w:tc>
          <w:tcPr>
            <w:tcW w:w="2785"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整改建议</w:t>
            </w:r>
          </w:p>
        </w:tc>
        <w:tc>
          <w:tcPr>
            <w:tcW w:w="737"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重大</w:t>
            </w:r>
          </w:p>
          <w:p>
            <w:pPr>
              <w:jc w:val="center"/>
              <w:rPr>
                <w:rFonts w:ascii="Times New Roman" w:hAnsi="Times New Roman" w:eastAsia="宋体" w:cs="Times New Roman"/>
                <w:b/>
                <w:color w:val="auto"/>
                <w:szCs w:val="21"/>
              </w:rPr>
            </w:pPr>
            <w:r>
              <w:rPr>
                <w:rFonts w:ascii="Times New Roman" w:hAnsi="Times New Roman" w:eastAsia="宋体" w:cs="Times New Roman"/>
                <w:b/>
                <w:color w:val="auto"/>
                <w:szCs w:val="21"/>
              </w:rPr>
              <w:t>隐患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1</w:t>
            </w:r>
          </w:p>
        </w:tc>
        <w:tc>
          <w:tcPr>
            <w:tcW w:w="2572" w:type="dxa"/>
          </w:tcPr>
          <w:p>
            <w:pPr>
              <w:rPr>
                <w:rFonts w:ascii="Times New Roman" w:hAnsi="Times New Roman" w:eastAsia="宋体" w:cs="Times New Roman"/>
                <w:color w:val="auto"/>
                <w:spacing w:val="-1"/>
                <w:szCs w:val="21"/>
              </w:rPr>
            </w:pPr>
            <w:r>
              <w:rPr>
                <w:rFonts w:ascii="Times New Roman" w:hAnsi="Times New Roman" w:eastAsia="宋体" w:cs="Times New Roman"/>
                <w:color w:val="auto"/>
                <w:spacing w:val="-1"/>
                <w:szCs w:val="21"/>
              </w:rPr>
              <w:t>生产现场应与安全设施设计阶段审查的总平布置图、装置设备布置图、工艺流程图</w:t>
            </w:r>
          </w:p>
          <w:p>
            <w:pPr>
              <w:rPr>
                <w:rFonts w:ascii="Times New Roman" w:hAnsi="Times New Roman" w:eastAsia="宋体" w:cs="Times New Roman"/>
                <w:color w:val="auto"/>
                <w:spacing w:val="-1"/>
                <w:szCs w:val="21"/>
              </w:rPr>
            </w:pPr>
            <w:r>
              <w:rPr>
                <w:rFonts w:ascii="Times New Roman" w:hAnsi="Times New Roman" w:eastAsia="宋体" w:cs="Times New Roman"/>
                <w:color w:val="auto"/>
                <w:spacing w:val="-1"/>
                <w:szCs w:val="21"/>
              </w:rPr>
              <w:t>查PFD）、带控制点的工艺管道和仪表流程图</w:t>
            </w:r>
          </w:p>
          <w:p>
            <w:pPr>
              <w:rPr>
                <w:rFonts w:ascii="Times New Roman" w:hAnsi="Times New Roman" w:eastAsia="宋体" w:cs="Times New Roman"/>
                <w:color w:val="auto"/>
                <w:spacing w:val="-1"/>
                <w:szCs w:val="21"/>
              </w:rPr>
            </w:pPr>
            <w:r>
              <w:rPr>
                <w:rFonts w:ascii="Times New Roman" w:hAnsi="Times New Roman" w:eastAsia="宋体" w:cs="Times New Roman"/>
                <w:color w:val="auto"/>
                <w:spacing w:val="-1"/>
                <w:szCs w:val="21"/>
              </w:rPr>
              <w:t>PID）、联锁逻辑图、可燃/有毒气体检测系警仪布置图、火灾自动报警系统图、自动程水灭火系统图、消防水系统图和消防设施置图、供电系统图等保持一致。</w:t>
            </w:r>
          </w:p>
        </w:tc>
        <w:tc>
          <w:tcPr>
            <w:tcW w:w="2409"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color w:val="auto"/>
                <w:spacing w:val="6"/>
                <w:szCs w:val="21"/>
              </w:rPr>
              <w:t>《危险化学品生产建设项目安全风险防控指南</w:t>
            </w:r>
            <w:r>
              <w:rPr>
                <w:rFonts w:ascii="Times New Roman" w:hAnsi="Times New Roman" w:eastAsia="宋体" w:cs="Times New Roman"/>
                <w:color w:val="auto"/>
                <w:spacing w:val="3"/>
                <w:szCs w:val="21"/>
              </w:rPr>
              <w:t>》(应急[2022]</w:t>
            </w:r>
            <w:r>
              <w:rPr>
                <w:rFonts w:ascii="Times New Roman" w:hAnsi="Times New Roman" w:eastAsia="宋体" w:cs="Times New Roman"/>
                <w:color w:val="auto"/>
                <w:szCs w:val="21"/>
              </w:rPr>
              <w:t>52号</w:t>
            </w:r>
            <w:r>
              <w:rPr>
                <w:rFonts w:ascii="Times New Roman" w:hAnsi="Times New Roman" w:eastAsia="宋体" w:cs="Times New Roman"/>
                <w:color w:val="auto"/>
                <w:spacing w:val="3"/>
                <w:szCs w:val="21"/>
              </w:rPr>
              <w:t>)10.2.2</w:t>
            </w:r>
          </w:p>
        </w:tc>
        <w:tc>
          <w:tcPr>
            <w:tcW w:w="1560" w:type="dxa"/>
            <w:vAlign w:val="center"/>
          </w:tcPr>
          <w:p>
            <w:pPr>
              <w:jc w:val="center"/>
              <w:rPr>
                <w:rFonts w:ascii="Times New Roman" w:hAnsi="Times New Roman" w:eastAsia="宋体" w:cs="Times New Roman"/>
                <w:b/>
                <w:color w:val="auto"/>
                <w:szCs w:val="21"/>
              </w:rPr>
            </w:pPr>
            <w:r>
              <w:rPr>
                <w:rFonts w:ascii="Times New Roman" w:hAnsi="Times New Roman" w:eastAsia="宋体" w:cs="Times New Roman"/>
                <w:color w:val="auto"/>
                <w:spacing w:val="-2"/>
                <w:szCs w:val="21"/>
              </w:rPr>
              <w:t>查工艺流程图、DCS、SIS、GDS系统，操作规程、现</w:t>
            </w:r>
            <w:r>
              <w:rPr>
                <w:rFonts w:ascii="Times New Roman" w:hAnsi="Times New Roman" w:eastAsia="宋体" w:cs="Times New Roman"/>
                <w:color w:val="auto"/>
                <w:spacing w:val="-1"/>
                <w:szCs w:val="21"/>
              </w:rPr>
              <w:t>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2</w:t>
            </w:r>
          </w:p>
        </w:tc>
        <w:tc>
          <w:tcPr>
            <w:tcW w:w="2572" w:type="dxa"/>
          </w:tcPr>
          <w:p>
            <w:pPr>
              <w:rPr>
                <w:rFonts w:ascii="Times New Roman" w:hAnsi="Times New Roman" w:eastAsia="宋体" w:cs="Times New Roman"/>
                <w:color w:val="auto"/>
                <w:spacing w:val="-1"/>
                <w:szCs w:val="21"/>
              </w:rPr>
            </w:pPr>
            <w:r>
              <w:rPr>
                <w:rFonts w:ascii="Times New Roman" w:hAnsi="Times New Roman" w:eastAsia="宋体" w:cs="Times New Roman"/>
                <w:color w:val="auto"/>
                <w:spacing w:val="-1"/>
                <w:szCs w:val="21"/>
              </w:rPr>
              <w:t xml:space="preserve">由间歇釜式改造为管式、微通道等反应器的验应技术应成熟可靠，改造完成后应实现减人、减量的目的。                      </w:t>
            </w:r>
          </w:p>
        </w:tc>
        <w:tc>
          <w:tcPr>
            <w:tcW w:w="2409" w:type="dxa"/>
            <w:vAlign w:val="center"/>
          </w:tcPr>
          <w:p>
            <w:pPr>
              <w:jc w:val="center"/>
              <w:rPr>
                <w:rFonts w:ascii="Times New Roman" w:hAnsi="Times New Roman" w:eastAsia="宋体" w:cs="Times New Roman"/>
                <w:color w:val="auto"/>
                <w:spacing w:val="6"/>
                <w:szCs w:val="21"/>
              </w:rPr>
            </w:pPr>
            <w:r>
              <w:rPr>
                <w:rFonts w:ascii="Times New Roman" w:hAnsi="Times New Roman" w:eastAsia="宋体" w:cs="Times New Roman"/>
                <w:color w:val="auto"/>
                <w:spacing w:val="6"/>
                <w:szCs w:val="21"/>
              </w:rPr>
              <w:t>《精细化工企业安全管理规范》</w:t>
            </w:r>
          </w:p>
          <w:p>
            <w:pPr>
              <w:jc w:val="center"/>
              <w:rPr>
                <w:rFonts w:ascii="Times New Roman" w:hAnsi="Times New Roman" w:eastAsia="宋体" w:cs="Times New Roman"/>
                <w:color w:val="auto"/>
                <w:spacing w:val="6"/>
                <w:szCs w:val="21"/>
              </w:rPr>
            </w:pPr>
            <w:r>
              <w:rPr>
                <w:rFonts w:ascii="Times New Roman" w:hAnsi="Times New Roman" w:eastAsia="宋体" w:cs="Times New Roman"/>
                <w:color w:val="auto"/>
                <w:spacing w:val="6"/>
                <w:szCs w:val="21"/>
              </w:rPr>
              <w:t>（AQ 3062-2025）4.2</w:t>
            </w:r>
          </w:p>
        </w:tc>
        <w:tc>
          <w:tcPr>
            <w:tcW w:w="1560" w:type="dxa"/>
            <w:vAlign w:val="center"/>
          </w:tcPr>
          <w:p>
            <w:pPr>
              <w:jc w:val="center"/>
              <w:rPr>
                <w:rFonts w:ascii="Times New Roman" w:hAnsi="Times New Roman" w:eastAsia="宋体" w:cs="Times New Roman"/>
                <w:color w:val="auto"/>
                <w:spacing w:val="-2"/>
                <w:szCs w:val="21"/>
              </w:rPr>
            </w:pPr>
            <w:r>
              <w:rPr>
                <w:rFonts w:ascii="Times New Roman" w:hAnsi="Times New Roman" w:eastAsia="宋体" w:cs="Times New Roman"/>
                <w:color w:val="auto"/>
                <w:spacing w:val="-2"/>
                <w:szCs w:val="21"/>
              </w:rPr>
              <w:t>查</w:t>
            </w:r>
            <w:r>
              <w:rPr>
                <w:rFonts w:ascii="Times New Roman" w:hAnsi="Times New Roman" w:eastAsia="宋体" w:cs="Times New Roman"/>
                <w:color w:val="auto"/>
                <w:spacing w:val="-1"/>
                <w:szCs w:val="21"/>
              </w:rPr>
              <w:t>操作记录和视频监控、分析化验报告、工艺流程图、DCS系统、核算后处理单元的在线量</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55"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3</w:t>
            </w:r>
          </w:p>
        </w:tc>
        <w:tc>
          <w:tcPr>
            <w:tcW w:w="2572" w:type="dxa"/>
          </w:tcPr>
          <w:p>
            <w:pPr>
              <w:rPr>
                <w:rFonts w:ascii="Times New Roman" w:hAnsi="Times New Roman" w:eastAsia="宋体" w:cs="Times New Roman"/>
                <w:color w:val="auto"/>
                <w:spacing w:val="-1"/>
                <w:szCs w:val="21"/>
              </w:rPr>
            </w:pPr>
            <w:r>
              <w:rPr>
                <w:rFonts w:ascii="Times New Roman" w:hAnsi="Times New Roman" w:eastAsia="宋体" w:cs="Times New Roman"/>
                <w:color w:val="auto"/>
                <w:spacing w:val="-1"/>
                <w:szCs w:val="21"/>
              </w:rPr>
              <w:t>管式、微通道反应器的硝化反应过程应充分，不应在后续的设备（如熟化釜、老化釜、缓录罐、结晶釜等）中添加物料或升温；上述设备存在硝化反应的应按照AQ 3062要求设置温度、搅拌电流等远传、监测及报警、联锁，以及紧急冷却、紧急泄放等安全措施。</w:t>
            </w:r>
          </w:p>
        </w:tc>
        <w:tc>
          <w:tcPr>
            <w:tcW w:w="2409" w:type="dxa"/>
            <w:vAlign w:val="center"/>
          </w:tcPr>
          <w:p>
            <w:pPr>
              <w:jc w:val="center"/>
              <w:rPr>
                <w:rFonts w:ascii="Times New Roman" w:hAnsi="Times New Roman" w:eastAsia="宋体" w:cs="Times New Roman"/>
                <w:color w:val="auto"/>
                <w:spacing w:val="6"/>
                <w:szCs w:val="21"/>
              </w:rPr>
            </w:pPr>
            <w:r>
              <w:rPr>
                <w:rFonts w:ascii="Times New Roman" w:hAnsi="Times New Roman" w:eastAsia="宋体" w:cs="Times New Roman"/>
                <w:color w:val="auto"/>
                <w:spacing w:val="6"/>
                <w:szCs w:val="21"/>
              </w:rPr>
              <w:t>《精细化工企业安全管理规范》（AQ 3062-2025）附录A.1</w:t>
            </w:r>
          </w:p>
          <w:p>
            <w:pPr>
              <w:jc w:val="center"/>
              <w:rPr>
                <w:rFonts w:ascii="Times New Roman" w:hAnsi="Times New Roman" w:eastAsia="宋体" w:cs="Times New Roman"/>
                <w:color w:val="auto"/>
                <w:spacing w:val="6"/>
                <w:szCs w:val="21"/>
              </w:rPr>
            </w:pPr>
            <w:r>
              <w:rPr>
                <w:rFonts w:ascii="Times New Roman" w:hAnsi="Times New Roman" w:eastAsia="宋体" w:cs="Times New Roman"/>
                <w:color w:val="auto"/>
                <w:spacing w:val="6"/>
                <w:szCs w:val="21"/>
              </w:rPr>
              <w:t>《硝化企业安全风险排查重点内容》第3项</w:t>
            </w:r>
          </w:p>
        </w:tc>
        <w:tc>
          <w:tcPr>
            <w:tcW w:w="1560" w:type="dxa"/>
            <w:vAlign w:val="center"/>
          </w:tcPr>
          <w:p>
            <w:pPr>
              <w:jc w:val="center"/>
              <w:rPr>
                <w:rFonts w:ascii="Times New Roman" w:hAnsi="Times New Roman" w:eastAsia="宋体" w:cs="Times New Roman"/>
                <w:color w:val="auto"/>
                <w:spacing w:val="-2"/>
                <w:szCs w:val="21"/>
              </w:rPr>
            </w:pPr>
            <w:r>
              <w:rPr>
                <w:rFonts w:ascii="Times New Roman" w:hAnsi="Times New Roman" w:eastAsia="宋体" w:cs="Times New Roman"/>
                <w:color w:val="auto"/>
                <w:spacing w:val="-2"/>
                <w:szCs w:val="21"/>
              </w:rPr>
              <w:t>查操作记录和视频监控、分析化验报告、工艺流程图、DCS系统、现场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4</w:t>
            </w:r>
          </w:p>
        </w:tc>
        <w:tc>
          <w:tcPr>
            <w:tcW w:w="2572" w:type="dxa"/>
          </w:tcPr>
          <w:p>
            <w:pPr>
              <w:rPr>
                <w:rFonts w:ascii="Times New Roman" w:hAnsi="Times New Roman" w:eastAsia="宋体" w:cs="Times New Roman"/>
                <w:color w:val="auto"/>
                <w:spacing w:val="-1"/>
                <w:szCs w:val="21"/>
              </w:rPr>
            </w:pPr>
            <w:r>
              <w:rPr>
                <w:rFonts w:ascii="Times New Roman" w:hAnsi="Times New Roman" w:eastAsia="宋体" w:cs="Times New Roman"/>
                <w:color w:val="auto"/>
                <w:spacing w:val="-8"/>
                <w:szCs w:val="21"/>
              </w:rPr>
              <w:t>后处理工序在线量不应增加，硝化物暂存、结晶、增稠、中转、蒸馏、分离、粉碎、干燥、输送等环节应进行安全风险分析与管控</w:t>
            </w:r>
            <w:r>
              <w:rPr>
                <w:rFonts w:ascii="Times New Roman" w:hAnsi="Times New Roman" w:eastAsia="宋体" w:cs="Times New Roman"/>
                <w:color w:val="auto"/>
                <w:spacing w:val="-4"/>
                <w:szCs w:val="21"/>
              </w:rPr>
              <w:t>。</w:t>
            </w:r>
          </w:p>
        </w:tc>
        <w:tc>
          <w:tcPr>
            <w:tcW w:w="2409" w:type="dxa"/>
            <w:vAlign w:val="center"/>
          </w:tcPr>
          <w:p>
            <w:pPr>
              <w:jc w:val="center"/>
              <w:rPr>
                <w:rFonts w:ascii="Times New Roman" w:hAnsi="Times New Roman" w:eastAsia="宋体" w:cs="Times New Roman"/>
                <w:color w:val="auto"/>
                <w:spacing w:val="6"/>
                <w:szCs w:val="21"/>
              </w:rPr>
            </w:pPr>
            <w:r>
              <w:rPr>
                <w:rFonts w:ascii="Times New Roman" w:hAnsi="Times New Roman" w:eastAsia="宋体" w:cs="Times New Roman"/>
                <w:color w:val="auto"/>
                <w:spacing w:val="4"/>
                <w:szCs w:val="21"/>
              </w:rPr>
              <w:t>《硝化企业安全风险排查重点内容》第3项</w:t>
            </w:r>
          </w:p>
        </w:tc>
        <w:tc>
          <w:tcPr>
            <w:tcW w:w="1560" w:type="dxa"/>
            <w:vAlign w:val="center"/>
          </w:tcPr>
          <w:p>
            <w:pPr>
              <w:jc w:val="center"/>
              <w:rPr>
                <w:rFonts w:ascii="Times New Roman" w:hAnsi="Times New Roman" w:eastAsia="宋体" w:cs="Times New Roman"/>
                <w:color w:val="auto"/>
                <w:spacing w:val="-2"/>
                <w:szCs w:val="21"/>
              </w:rPr>
            </w:pPr>
            <w:r>
              <w:rPr>
                <w:rFonts w:ascii="Times New Roman" w:hAnsi="Times New Roman" w:eastAsia="宋体" w:cs="Times New Roman"/>
                <w:color w:val="auto"/>
                <w:spacing w:val="-2"/>
                <w:szCs w:val="21"/>
              </w:rPr>
              <w:t>查分析化验报告、工艺流程图、DCS系统、现场、核算后处理单元的在线量</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5</w:t>
            </w:r>
          </w:p>
        </w:tc>
        <w:tc>
          <w:tcPr>
            <w:tcW w:w="2572" w:type="dxa"/>
          </w:tcPr>
          <w:p>
            <w:pPr>
              <w:rPr>
                <w:rFonts w:ascii="Times New Roman" w:hAnsi="Times New Roman" w:eastAsia="宋体" w:cs="Times New Roman"/>
                <w:color w:val="auto"/>
                <w:spacing w:val="-1"/>
                <w:szCs w:val="21"/>
              </w:rPr>
            </w:pPr>
            <w:r>
              <w:rPr>
                <w:rFonts w:ascii="Times New Roman" w:hAnsi="Times New Roman" w:eastAsia="宋体" w:cs="Times New Roman"/>
                <w:color w:val="auto"/>
                <w:spacing w:val="-1"/>
                <w:szCs w:val="21"/>
              </w:rPr>
              <w:t>涉及硝化物的设备管线、尾气管道等应分析</w:t>
            </w:r>
          </w:p>
          <w:p>
            <w:pPr>
              <w:rPr>
                <w:rFonts w:ascii="Times New Roman" w:hAnsi="Times New Roman" w:eastAsia="宋体" w:cs="Times New Roman"/>
                <w:color w:val="auto"/>
                <w:spacing w:val="-1"/>
                <w:szCs w:val="21"/>
              </w:rPr>
            </w:pPr>
            <w:r>
              <w:rPr>
                <w:rFonts w:ascii="Times New Roman" w:hAnsi="Times New Roman" w:eastAsia="宋体" w:cs="Times New Roman"/>
                <w:color w:val="auto"/>
                <w:spacing w:val="-1"/>
                <w:szCs w:val="21"/>
              </w:rPr>
              <w:t>料粘结、挂壁的风险（尤其是涉及投入固</w:t>
            </w:r>
          </w:p>
          <w:p>
            <w:pPr>
              <w:rPr>
                <w:rFonts w:ascii="Times New Roman" w:hAnsi="Times New Roman" w:eastAsia="宋体" w:cs="Times New Roman"/>
                <w:color w:val="auto"/>
                <w:spacing w:val="-1"/>
                <w:szCs w:val="21"/>
              </w:rPr>
            </w:pPr>
            <w:r>
              <w:rPr>
                <w:rFonts w:ascii="Times New Roman" w:hAnsi="Times New Roman" w:eastAsia="宋体" w:cs="Times New Roman"/>
                <w:color w:val="auto"/>
                <w:spacing w:val="-1"/>
                <w:szCs w:val="21"/>
              </w:rPr>
              <w:t>原料或产生固体产物的设备），对粘结、挂壁物料应进行成分分析并定期（原则上每周至少一次）清洗。对存在爆炸危险性的物料，不应使用撞击、摩擦、高热熔融等方式清理。</w:t>
            </w:r>
          </w:p>
        </w:tc>
        <w:tc>
          <w:tcPr>
            <w:tcW w:w="2409" w:type="dxa"/>
            <w:vAlign w:val="center"/>
          </w:tcPr>
          <w:p>
            <w:pPr>
              <w:jc w:val="center"/>
              <w:rPr>
                <w:rFonts w:ascii="Times New Roman" w:hAnsi="Times New Roman" w:eastAsia="宋体" w:cs="Times New Roman"/>
                <w:color w:val="auto"/>
                <w:spacing w:val="4"/>
                <w:szCs w:val="21"/>
              </w:rPr>
            </w:pPr>
            <w:r>
              <w:rPr>
                <w:rFonts w:ascii="Times New Roman" w:hAnsi="Times New Roman" w:eastAsia="宋体" w:cs="Times New Roman"/>
                <w:color w:val="auto"/>
                <w:spacing w:val="-1"/>
                <w:position w:val="7"/>
                <w:szCs w:val="21"/>
              </w:rPr>
              <w:t>基于风险</w:t>
            </w:r>
          </w:p>
        </w:tc>
        <w:tc>
          <w:tcPr>
            <w:tcW w:w="1560" w:type="dxa"/>
            <w:vAlign w:val="center"/>
          </w:tcPr>
          <w:p>
            <w:pPr>
              <w:jc w:val="center"/>
              <w:rPr>
                <w:rFonts w:ascii="Times New Roman" w:hAnsi="Times New Roman" w:eastAsia="宋体" w:cs="Times New Roman"/>
                <w:color w:val="auto"/>
                <w:spacing w:val="-2"/>
                <w:szCs w:val="21"/>
              </w:rPr>
            </w:pPr>
            <w:r>
              <w:rPr>
                <w:rFonts w:ascii="Times New Roman" w:hAnsi="Times New Roman" w:eastAsia="宋体" w:cs="Times New Roman"/>
                <w:color w:val="auto"/>
                <w:spacing w:val="-2"/>
                <w:szCs w:val="21"/>
              </w:rPr>
              <w:t>查现</w:t>
            </w:r>
            <w:r>
              <w:rPr>
                <w:rFonts w:ascii="Times New Roman" w:hAnsi="Times New Roman" w:eastAsia="宋体" w:cs="Times New Roman"/>
                <w:color w:val="auto"/>
                <w:spacing w:val="-1"/>
                <w:szCs w:val="21"/>
              </w:rPr>
              <w:t>场、记录、分析报告</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6</w:t>
            </w:r>
          </w:p>
        </w:tc>
        <w:tc>
          <w:tcPr>
            <w:tcW w:w="2572" w:type="dxa"/>
          </w:tcPr>
          <w:p>
            <w:pPr>
              <w:rPr>
                <w:rFonts w:ascii="Times New Roman" w:hAnsi="Times New Roman" w:eastAsia="宋体" w:cs="Times New Roman"/>
                <w:color w:val="auto"/>
                <w:spacing w:val="-1"/>
                <w:szCs w:val="21"/>
              </w:rPr>
            </w:pPr>
            <w:r>
              <w:rPr>
                <w:rFonts w:ascii="Times New Roman" w:hAnsi="Times New Roman" w:eastAsia="宋体" w:cs="Times New Roman"/>
                <w:color w:val="auto"/>
                <w:spacing w:val="-1"/>
                <w:szCs w:val="21"/>
              </w:rPr>
              <w:t>硝化反应进料应采取双重切断措施（如采用</w:t>
            </w:r>
          </w:p>
          <w:p>
            <w:pPr>
              <w:rPr>
                <w:rFonts w:ascii="Times New Roman" w:hAnsi="Times New Roman" w:eastAsia="宋体" w:cs="Times New Roman"/>
                <w:color w:val="auto"/>
                <w:spacing w:val="-8"/>
                <w:szCs w:val="21"/>
              </w:rPr>
            </w:pPr>
            <w:r>
              <w:rPr>
                <w:rFonts w:ascii="Times New Roman" w:hAnsi="Times New Roman" w:eastAsia="宋体" w:cs="Times New Roman"/>
                <w:color w:val="auto"/>
                <w:spacing w:val="-1"/>
                <w:szCs w:val="21"/>
              </w:rPr>
              <w:t>调节球阀，开关阀、停进料泵等措施的组合）。硝化反应釜应通过限制进料管径、设置限流现板、调节阀物理限位或分批加料等固定不可超调的限流设施来控制最大允许加料速度。</w:t>
            </w:r>
          </w:p>
        </w:tc>
        <w:tc>
          <w:tcPr>
            <w:tcW w:w="2409" w:type="dxa"/>
            <w:vAlign w:val="center"/>
          </w:tcPr>
          <w:p>
            <w:pPr>
              <w:jc w:val="center"/>
              <w:rPr>
                <w:rFonts w:ascii="Times New Roman" w:hAnsi="Times New Roman" w:eastAsia="宋体" w:cs="Times New Roman"/>
                <w:color w:val="auto"/>
                <w:spacing w:val="4"/>
                <w:szCs w:val="21"/>
              </w:rPr>
            </w:pPr>
            <w:r>
              <w:rPr>
                <w:rFonts w:ascii="Times New Roman" w:hAnsi="Times New Roman" w:eastAsia="宋体" w:cs="Times New Roman"/>
                <w:color w:val="auto"/>
                <w:spacing w:val="8"/>
                <w:szCs w:val="21"/>
              </w:rPr>
              <w:t>《精细化工企业安全管理规范》（AQ 3062-2025）附录A.1.6</w:t>
            </w:r>
          </w:p>
        </w:tc>
        <w:tc>
          <w:tcPr>
            <w:tcW w:w="1560" w:type="dxa"/>
            <w:vAlign w:val="center"/>
          </w:tcPr>
          <w:p>
            <w:pPr>
              <w:jc w:val="center"/>
              <w:rPr>
                <w:rFonts w:ascii="Times New Roman" w:hAnsi="Times New Roman" w:eastAsia="宋体" w:cs="Times New Roman"/>
                <w:color w:val="auto"/>
                <w:spacing w:val="-2"/>
                <w:szCs w:val="21"/>
              </w:rPr>
            </w:pPr>
            <w:r>
              <w:rPr>
                <w:rFonts w:ascii="Times New Roman" w:hAnsi="Times New Roman" w:eastAsia="宋体" w:cs="Times New Roman"/>
                <w:color w:val="auto"/>
                <w:spacing w:val="-2"/>
                <w:szCs w:val="21"/>
              </w:rPr>
              <w:t>查工艺流程图、现</w:t>
            </w:r>
            <w:r>
              <w:rPr>
                <w:rFonts w:ascii="Times New Roman" w:hAnsi="Times New Roman" w:eastAsia="宋体" w:cs="Times New Roman"/>
                <w:color w:val="auto"/>
                <w:spacing w:val="-1"/>
                <w:szCs w:val="21"/>
              </w:rPr>
              <w:t>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55"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7</w:t>
            </w:r>
          </w:p>
        </w:tc>
        <w:tc>
          <w:tcPr>
            <w:tcW w:w="2572" w:type="dxa"/>
          </w:tcPr>
          <w:p>
            <w:pPr>
              <w:rPr>
                <w:rFonts w:ascii="Times New Roman" w:hAnsi="Times New Roman" w:eastAsia="宋体" w:cs="Times New Roman"/>
                <w:color w:val="auto"/>
                <w:spacing w:val="-1"/>
                <w:szCs w:val="21"/>
              </w:rPr>
            </w:pPr>
            <w:r>
              <w:rPr>
                <w:rFonts w:ascii="Times New Roman" w:hAnsi="Times New Roman" w:eastAsia="宋体" w:cs="Times New Roman"/>
                <w:color w:val="auto"/>
                <w:spacing w:val="-1"/>
                <w:szCs w:val="21"/>
              </w:rPr>
              <w:t xml:space="preserve">硝化工艺操作规程应包含下列内容： </w:t>
            </w:r>
          </w:p>
          <w:p>
            <w:pPr>
              <w:numPr>
                <w:ilvl w:val="0"/>
                <w:numId w:val="1"/>
              </w:numPr>
              <w:rPr>
                <w:rFonts w:ascii="Times New Roman" w:hAnsi="Times New Roman" w:eastAsia="宋体" w:cs="Times New Roman"/>
                <w:color w:val="auto"/>
                <w:spacing w:val="-1"/>
                <w:szCs w:val="21"/>
              </w:rPr>
            </w:pPr>
            <w:r>
              <w:rPr>
                <w:rFonts w:ascii="Times New Roman" w:hAnsi="Times New Roman" w:eastAsia="宋体" w:cs="Times New Roman"/>
                <w:color w:val="auto"/>
                <w:spacing w:val="-1"/>
                <w:szCs w:val="21"/>
              </w:rPr>
              <w:t>带料停车时的工艺</w:t>
            </w:r>
          </w:p>
          <w:p>
            <w:pPr>
              <w:rPr>
                <w:rFonts w:ascii="Times New Roman" w:hAnsi="Times New Roman" w:eastAsia="宋体" w:cs="Times New Roman"/>
                <w:color w:val="auto"/>
                <w:spacing w:val="-1"/>
                <w:szCs w:val="21"/>
              </w:rPr>
            </w:pPr>
            <w:r>
              <w:rPr>
                <w:rFonts w:ascii="Times New Roman" w:hAnsi="Times New Roman" w:eastAsia="宋体" w:cs="Times New Roman"/>
                <w:color w:val="auto"/>
                <w:spacing w:val="-1"/>
                <w:szCs w:val="21"/>
              </w:rPr>
              <w:t xml:space="preserve">控制指标、报警参数等； </w:t>
            </w:r>
          </w:p>
          <w:p>
            <w:pPr>
              <w:rPr>
                <w:rFonts w:ascii="Times New Roman" w:hAnsi="Times New Roman" w:eastAsia="宋体" w:cs="Times New Roman"/>
                <w:color w:val="auto"/>
                <w:spacing w:val="-1"/>
                <w:szCs w:val="21"/>
              </w:rPr>
            </w:pPr>
            <w:r>
              <w:rPr>
                <w:rFonts w:ascii="Times New Roman" w:hAnsi="Times New Roman" w:eastAsia="宋体" w:cs="Times New Roman"/>
                <w:color w:val="auto"/>
                <w:spacing w:val="-1"/>
                <w:szCs w:val="21"/>
              </w:rPr>
              <w:t>2）针对硝化系统温度、搅拌器（循环泵）、进</w:t>
            </w:r>
          </w:p>
          <w:p>
            <w:pPr>
              <w:rPr>
                <w:rFonts w:ascii="Times New Roman" w:hAnsi="Times New Roman" w:eastAsia="宋体" w:cs="Times New Roman"/>
                <w:color w:val="auto"/>
                <w:spacing w:val="-1"/>
                <w:szCs w:val="21"/>
              </w:rPr>
            </w:pPr>
            <w:r>
              <w:rPr>
                <w:rFonts w:ascii="Times New Roman" w:hAnsi="Times New Roman" w:eastAsia="宋体" w:cs="Times New Roman"/>
                <w:color w:val="auto"/>
                <w:spacing w:val="-1"/>
                <w:szCs w:val="21"/>
              </w:rPr>
              <w:t xml:space="preserve">料、冷却系统等异常的处置措施； </w:t>
            </w:r>
          </w:p>
          <w:p>
            <w:pPr>
              <w:rPr>
                <w:rFonts w:ascii="Times New Roman" w:hAnsi="Times New Roman" w:eastAsia="宋体" w:cs="Times New Roman"/>
                <w:color w:val="auto"/>
                <w:spacing w:val="-1"/>
                <w:szCs w:val="21"/>
              </w:rPr>
            </w:pPr>
            <w:r>
              <w:rPr>
                <w:rFonts w:ascii="Times New Roman" w:hAnsi="Times New Roman" w:eastAsia="宋体" w:cs="Times New Roman"/>
                <w:color w:val="auto"/>
                <w:spacing w:val="-1"/>
                <w:szCs w:val="21"/>
              </w:rPr>
              <w:t xml:space="preserve">3）超温、超压事故场景的应急处置要求； </w:t>
            </w:r>
          </w:p>
          <w:p>
            <w:pPr>
              <w:rPr>
                <w:rFonts w:ascii="Times New Roman" w:hAnsi="Times New Roman" w:eastAsia="宋体" w:cs="Times New Roman"/>
                <w:color w:val="auto"/>
                <w:spacing w:val="-1"/>
                <w:szCs w:val="21"/>
              </w:rPr>
            </w:pPr>
            <w:r>
              <w:rPr>
                <w:rFonts w:ascii="Times New Roman" w:hAnsi="Times New Roman" w:eastAsia="宋体" w:cs="Times New Roman"/>
                <w:color w:val="auto"/>
                <w:spacing w:val="-1"/>
                <w:szCs w:val="21"/>
              </w:rPr>
              <w:t>4）搅拌器（循环泵）开启、停止的操作要求，</w:t>
            </w:r>
          </w:p>
          <w:p>
            <w:pPr>
              <w:rPr>
                <w:rFonts w:ascii="Times New Roman" w:hAnsi="Times New Roman" w:eastAsia="宋体" w:cs="Times New Roman"/>
                <w:color w:val="auto"/>
                <w:spacing w:val="-1"/>
                <w:szCs w:val="21"/>
              </w:rPr>
            </w:pPr>
            <w:r>
              <w:rPr>
                <w:rFonts w:ascii="Times New Roman" w:hAnsi="Times New Roman" w:eastAsia="宋体" w:cs="Times New Roman"/>
                <w:color w:val="auto"/>
                <w:spacing w:val="-1"/>
                <w:szCs w:val="21"/>
              </w:rPr>
              <w:t>特别是反应过程中搅拌器（循环泵）中断后</w:t>
            </w:r>
          </w:p>
          <w:p>
            <w:pPr>
              <w:rPr>
                <w:rFonts w:ascii="Times New Roman" w:hAnsi="Times New Roman" w:eastAsia="宋体" w:cs="Times New Roman"/>
                <w:color w:val="auto"/>
                <w:spacing w:val="-1"/>
                <w:szCs w:val="21"/>
              </w:rPr>
            </w:pPr>
            <w:r>
              <w:rPr>
                <w:rFonts w:ascii="Times New Roman" w:hAnsi="Times New Roman" w:eastAsia="宋体" w:cs="Times New Roman"/>
                <w:color w:val="auto"/>
                <w:spacing w:val="-1"/>
                <w:szCs w:val="21"/>
              </w:rPr>
              <w:t>新开启的条件。</w:t>
            </w:r>
          </w:p>
        </w:tc>
        <w:tc>
          <w:tcPr>
            <w:tcW w:w="2409" w:type="dxa"/>
            <w:vAlign w:val="center"/>
          </w:tcPr>
          <w:p>
            <w:pPr>
              <w:jc w:val="center"/>
              <w:rPr>
                <w:rFonts w:ascii="Times New Roman" w:hAnsi="Times New Roman" w:eastAsia="宋体" w:cs="Times New Roman"/>
                <w:color w:val="auto"/>
                <w:spacing w:val="4"/>
                <w:szCs w:val="21"/>
              </w:rPr>
            </w:pPr>
            <w:r>
              <w:rPr>
                <w:rFonts w:ascii="Times New Roman" w:hAnsi="Times New Roman" w:eastAsia="宋体" w:cs="Times New Roman"/>
                <w:color w:val="auto"/>
                <w:spacing w:val="4"/>
                <w:szCs w:val="21"/>
              </w:rPr>
              <w:t>《精细化工企业安全管理规范》</w:t>
            </w:r>
          </w:p>
          <w:p>
            <w:pPr>
              <w:jc w:val="center"/>
              <w:rPr>
                <w:rFonts w:ascii="Times New Roman" w:hAnsi="Times New Roman" w:eastAsia="宋体" w:cs="Times New Roman"/>
                <w:color w:val="auto"/>
                <w:spacing w:val="8"/>
                <w:szCs w:val="21"/>
              </w:rPr>
            </w:pPr>
            <w:r>
              <w:rPr>
                <w:rFonts w:ascii="Times New Roman" w:hAnsi="Times New Roman" w:eastAsia="宋体" w:cs="Times New Roman"/>
                <w:color w:val="auto"/>
                <w:spacing w:val="4"/>
                <w:szCs w:val="21"/>
              </w:rPr>
              <w:t>（AQ 3062-2025）附录A.1.17</w:t>
            </w:r>
          </w:p>
        </w:tc>
        <w:tc>
          <w:tcPr>
            <w:tcW w:w="1560" w:type="dxa"/>
            <w:vAlign w:val="center"/>
          </w:tcPr>
          <w:p>
            <w:pPr>
              <w:jc w:val="center"/>
              <w:rPr>
                <w:rFonts w:ascii="Times New Roman" w:hAnsi="Times New Roman" w:eastAsia="宋体" w:cs="Times New Roman"/>
                <w:color w:val="auto"/>
                <w:spacing w:val="-2"/>
                <w:szCs w:val="21"/>
              </w:rPr>
            </w:pPr>
            <w:r>
              <w:rPr>
                <w:rFonts w:ascii="Times New Roman" w:hAnsi="Times New Roman" w:eastAsia="宋体" w:cs="Times New Roman"/>
                <w:color w:val="auto"/>
                <w:spacing w:val="-2"/>
                <w:szCs w:val="21"/>
              </w:rPr>
              <w:t>查操作规程</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8</w:t>
            </w:r>
          </w:p>
        </w:tc>
        <w:tc>
          <w:tcPr>
            <w:tcW w:w="2572" w:type="dxa"/>
          </w:tcPr>
          <w:p>
            <w:pPr>
              <w:rPr>
                <w:rFonts w:ascii="Times New Roman" w:hAnsi="Times New Roman" w:eastAsia="宋体" w:cs="Times New Roman"/>
                <w:color w:val="auto"/>
                <w:spacing w:val="-1"/>
                <w:szCs w:val="21"/>
              </w:rPr>
            </w:pPr>
            <w:r>
              <w:rPr>
                <w:rFonts w:ascii="Times New Roman" w:hAnsi="Times New Roman" w:eastAsia="宋体" w:cs="Times New Roman"/>
                <w:color w:val="auto"/>
                <w:spacing w:val="-1"/>
                <w:szCs w:val="21"/>
              </w:rPr>
              <w:t xml:space="preserve">涉及硝化反应和硝化物的冷、热媒，不得使用可能与硝酸、硝化物发生反应的介质。   </w:t>
            </w:r>
          </w:p>
        </w:tc>
        <w:tc>
          <w:tcPr>
            <w:tcW w:w="2409"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pacing w:val="6"/>
                <w:szCs w:val="21"/>
              </w:rPr>
              <w:t>基于风险</w:t>
            </w:r>
          </w:p>
        </w:tc>
        <w:tc>
          <w:tcPr>
            <w:tcW w:w="1560"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pacing w:val="-2"/>
                <w:szCs w:val="21"/>
              </w:rPr>
              <w:t>查设计资料，物流安全信息</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9</w:t>
            </w:r>
          </w:p>
        </w:tc>
        <w:tc>
          <w:tcPr>
            <w:tcW w:w="2572"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连续化硝化工艺的反应、蒸馏（精馏）、浓缩</w:t>
            </w:r>
          </w:p>
          <w:p>
            <w:pPr>
              <w:rPr>
                <w:rFonts w:ascii="Times New Roman" w:hAnsi="Times New Roman" w:eastAsia="宋体" w:cs="Times New Roman"/>
                <w:color w:val="auto"/>
                <w:spacing w:val="-1"/>
                <w:szCs w:val="21"/>
              </w:rPr>
            </w:pPr>
            <w:r>
              <w:rPr>
                <w:rFonts w:ascii="Times New Roman" w:hAnsi="Times New Roman" w:eastAsia="宋体" w:cs="Times New Roman"/>
                <w:color w:val="auto"/>
                <w:szCs w:val="21"/>
              </w:rPr>
              <w:t>单元应定期检测硝化物、副产物的浓度以及物料成分比例，对硝化副产物的危险特性进行风险辨识与评估，并采取相应的安全管控措施，且在操作规程工艺卡片中明确相应场控制指标。</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《精细化工企业安全管理规范》</w:t>
            </w:r>
          </w:p>
          <w:p>
            <w:pPr>
              <w:jc w:val="center"/>
              <w:rPr>
                <w:rFonts w:ascii="Times New Roman" w:hAnsi="Times New Roman" w:eastAsia="宋体" w:cs="Times New Roman"/>
                <w:color w:val="auto"/>
                <w:spacing w:val="8"/>
                <w:szCs w:val="21"/>
              </w:rPr>
            </w:pPr>
            <w:r>
              <w:rPr>
                <w:rFonts w:ascii="Times New Roman" w:hAnsi="Times New Roman" w:eastAsia="宋体" w:cs="Times New Roman"/>
                <w:color w:val="auto"/>
                <w:szCs w:val="21"/>
              </w:rPr>
              <w:t>（AQ 3062-2025）附录A.1.1</w:t>
            </w:r>
          </w:p>
        </w:tc>
        <w:tc>
          <w:tcPr>
            <w:tcW w:w="1560" w:type="dxa"/>
            <w:vAlign w:val="center"/>
          </w:tcPr>
          <w:p>
            <w:pPr>
              <w:jc w:val="center"/>
              <w:rPr>
                <w:rFonts w:ascii="Times New Roman" w:hAnsi="Times New Roman" w:eastAsia="宋体" w:cs="Times New Roman"/>
                <w:color w:val="auto"/>
                <w:spacing w:val="-2"/>
                <w:szCs w:val="21"/>
              </w:rPr>
            </w:pPr>
            <w:r>
              <w:rPr>
                <w:rFonts w:ascii="Times New Roman" w:hAnsi="Times New Roman" w:eastAsia="宋体" w:cs="Times New Roman"/>
                <w:color w:val="auto"/>
                <w:szCs w:val="21"/>
              </w:rPr>
              <w:t>查工艺流程图、DCS、SIS系统、操作规程、现场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10</w:t>
            </w:r>
          </w:p>
        </w:tc>
        <w:tc>
          <w:tcPr>
            <w:tcW w:w="2572" w:type="dxa"/>
          </w:tcPr>
          <w:p>
            <w:pPr>
              <w:rPr>
                <w:rFonts w:ascii="Times New Roman" w:hAnsi="Times New Roman" w:eastAsia="宋体" w:cs="Times New Roman"/>
                <w:color w:val="auto"/>
                <w:spacing w:val="-1"/>
                <w:szCs w:val="21"/>
              </w:rPr>
            </w:pPr>
            <w:r>
              <w:rPr>
                <w:rFonts w:ascii="Times New Roman" w:hAnsi="Times New Roman" w:eastAsia="宋体" w:cs="Times New Roman"/>
                <w:color w:val="auto"/>
                <w:spacing w:val="-1"/>
                <w:szCs w:val="21"/>
              </w:rPr>
              <w:t xml:space="preserve">硝化反应过程中连续或分批加入固体原料的操作应采用预先流体化（熔融、溶解、分散等）、机械输送等密闭方式，并具有联锁停止加料功能。                           </w:t>
            </w:r>
          </w:p>
        </w:tc>
        <w:tc>
          <w:tcPr>
            <w:tcW w:w="2409" w:type="dxa"/>
            <w:vAlign w:val="center"/>
          </w:tcPr>
          <w:p>
            <w:pPr>
              <w:jc w:val="center"/>
              <w:rPr>
                <w:rFonts w:ascii="Times New Roman" w:hAnsi="Times New Roman" w:eastAsia="宋体" w:cs="Times New Roman"/>
                <w:color w:val="auto"/>
                <w:spacing w:val="6"/>
                <w:szCs w:val="21"/>
              </w:rPr>
            </w:pPr>
            <w:r>
              <w:rPr>
                <w:rFonts w:ascii="Times New Roman" w:hAnsi="Times New Roman" w:eastAsia="宋体" w:cs="Times New Roman"/>
                <w:color w:val="auto"/>
                <w:spacing w:val="6"/>
                <w:szCs w:val="21"/>
              </w:rPr>
              <w:t>《精细化工企业安全管理规范》</w:t>
            </w:r>
          </w:p>
          <w:p>
            <w:pPr>
              <w:jc w:val="center"/>
              <w:rPr>
                <w:rFonts w:ascii="Times New Roman" w:hAnsi="Times New Roman" w:eastAsia="宋体" w:cs="Times New Roman"/>
                <w:color w:val="auto"/>
                <w:spacing w:val="8"/>
                <w:szCs w:val="21"/>
              </w:rPr>
            </w:pPr>
            <w:r>
              <w:rPr>
                <w:rFonts w:ascii="Times New Roman" w:hAnsi="Times New Roman" w:eastAsia="宋体" w:cs="Times New Roman"/>
                <w:color w:val="auto"/>
                <w:spacing w:val="6"/>
                <w:szCs w:val="21"/>
              </w:rPr>
              <w:t>（AQ 3062-2025）9.2.2</w:t>
            </w:r>
          </w:p>
        </w:tc>
        <w:tc>
          <w:tcPr>
            <w:tcW w:w="1560" w:type="dxa"/>
            <w:vAlign w:val="center"/>
          </w:tcPr>
          <w:p>
            <w:pPr>
              <w:jc w:val="center"/>
              <w:rPr>
                <w:rFonts w:ascii="Times New Roman" w:hAnsi="Times New Roman" w:eastAsia="宋体" w:cs="Times New Roman"/>
                <w:color w:val="auto"/>
                <w:spacing w:val="-2"/>
                <w:szCs w:val="21"/>
              </w:rPr>
            </w:pPr>
            <w:r>
              <w:rPr>
                <w:rFonts w:ascii="Times New Roman" w:hAnsi="Times New Roman" w:eastAsia="宋体" w:cs="Times New Roman"/>
                <w:color w:val="auto"/>
                <w:spacing w:val="-2"/>
                <w:szCs w:val="21"/>
              </w:rPr>
              <w:t>查工艺流程图、DCS、SIS系统、操作规程、现场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55"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11</w:t>
            </w:r>
          </w:p>
        </w:tc>
        <w:tc>
          <w:tcPr>
            <w:tcW w:w="2572" w:type="dxa"/>
          </w:tcPr>
          <w:p>
            <w:pPr>
              <w:rPr>
                <w:rFonts w:ascii="Times New Roman" w:hAnsi="Times New Roman" w:eastAsia="宋体" w:cs="Times New Roman"/>
                <w:color w:val="auto"/>
                <w:spacing w:val="-1"/>
                <w:szCs w:val="21"/>
              </w:rPr>
            </w:pPr>
            <w:r>
              <w:rPr>
                <w:rFonts w:ascii="Times New Roman" w:hAnsi="Times New Roman" w:eastAsia="宋体" w:cs="Times New Roman"/>
                <w:color w:val="auto"/>
                <w:spacing w:val="-1"/>
                <w:szCs w:val="21"/>
              </w:rPr>
              <w:t>硝化反应器应设置紧急冷却系统（绝热硝化、微通道反应器除外）；热媒温度超过物料T</w:t>
            </w:r>
            <w:r>
              <w:rPr>
                <w:rFonts w:ascii="Times New Roman" w:hAnsi="Times New Roman" w:eastAsia="宋体" w:cs="Times New Roman"/>
                <w:color w:val="auto"/>
                <w:spacing w:val="-1"/>
                <w:szCs w:val="21"/>
                <w:vertAlign w:val="subscript"/>
              </w:rPr>
              <w:t>D24</w:t>
            </w:r>
            <w:r>
              <w:rPr>
                <w:rFonts w:ascii="Times New Roman" w:hAnsi="Times New Roman" w:eastAsia="宋体" w:cs="Times New Roman"/>
                <w:color w:val="auto"/>
                <w:spacing w:val="-1"/>
                <w:szCs w:val="21"/>
              </w:rPr>
              <w:t>的，涉及硝化物的蒸馏釜、蒸馏（精馏）塔再沸器等应设置紧急冷却或紧急泄放等安全设施</w:t>
            </w:r>
            <w:r>
              <w:rPr>
                <w:rFonts w:ascii="Times New Roman" w:hAnsi="Times New Roman" w:eastAsia="宋体" w:cs="Times New Roman"/>
                <w:color w:val="auto"/>
                <w:spacing w:val="-5"/>
                <w:szCs w:val="21"/>
              </w:rPr>
              <w:t>。</w:t>
            </w:r>
          </w:p>
        </w:tc>
        <w:tc>
          <w:tcPr>
            <w:tcW w:w="2409" w:type="dxa"/>
            <w:vAlign w:val="center"/>
          </w:tcPr>
          <w:p>
            <w:pPr>
              <w:jc w:val="center"/>
              <w:rPr>
                <w:rFonts w:ascii="Times New Roman" w:hAnsi="Times New Roman" w:eastAsia="宋体" w:cs="Times New Roman"/>
                <w:color w:val="auto"/>
                <w:spacing w:val="6"/>
                <w:szCs w:val="21"/>
              </w:rPr>
            </w:pPr>
            <w:r>
              <w:rPr>
                <w:rFonts w:ascii="Times New Roman" w:hAnsi="Times New Roman" w:eastAsia="宋体" w:cs="Times New Roman"/>
                <w:color w:val="auto"/>
                <w:spacing w:val="6"/>
                <w:szCs w:val="21"/>
              </w:rPr>
              <w:t>《精细化工企业安全管理规范》</w:t>
            </w:r>
          </w:p>
          <w:p>
            <w:pPr>
              <w:jc w:val="center"/>
              <w:rPr>
                <w:rFonts w:ascii="Times New Roman" w:hAnsi="Times New Roman" w:eastAsia="宋体" w:cs="Times New Roman"/>
                <w:color w:val="auto"/>
                <w:spacing w:val="8"/>
                <w:szCs w:val="21"/>
              </w:rPr>
            </w:pPr>
            <w:r>
              <w:rPr>
                <w:rFonts w:ascii="Times New Roman" w:hAnsi="Times New Roman" w:eastAsia="宋体" w:cs="Times New Roman"/>
                <w:color w:val="auto"/>
                <w:spacing w:val="6"/>
                <w:szCs w:val="21"/>
              </w:rPr>
              <w:t>（AQ 3062-2025）7.2.2.4、附录A1.3</w:t>
            </w:r>
          </w:p>
        </w:tc>
        <w:tc>
          <w:tcPr>
            <w:tcW w:w="1560" w:type="dxa"/>
            <w:vAlign w:val="center"/>
          </w:tcPr>
          <w:p>
            <w:pPr>
              <w:jc w:val="center"/>
              <w:rPr>
                <w:rFonts w:ascii="Times New Roman" w:hAnsi="Times New Roman" w:eastAsia="宋体" w:cs="Times New Roman"/>
                <w:color w:val="auto"/>
                <w:spacing w:val="-2"/>
                <w:szCs w:val="21"/>
              </w:rPr>
            </w:pPr>
            <w:r>
              <w:rPr>
                <w:rFonts w:ascii="Times New Roman" w:hAnsi="Times New Roman" w:eastAsia="宋体" w:cs="Times New Roman"/>
                <w:color w:val="auto"/>
                <w:spacing w:val="-2"/>
                <w:szCs w:val="21"/>
              </w:rPr>
              <w:t>查工艺流程图、DCS、SIS系统、操作规程、现场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12</w:t>
            </w:r>
          </w:p>
        </w:tc>
        <w:tc>
          <w:tcPr>
            <w:tcW w:w="2572" w:type="dxa"/>
          </w:tcPr>
          <w:p>
            <w:pPr>
              <w:rPr>
                <w:rFonts w:ascii="Times New Roman" w:hAnsi="Times New Roman" w:eastAsia="宋体" w:cs="Times New Roman"/>
                <w:color w:val="auto"/>
                <w:spacing w:val="-1"/>
                <w:szCs w:val="21"/>
              </w:rPr>
            </w:pPr>
            <w:r>
              <w:rPr>
                <w:rFonts w:ascii="Times New Roman" w:hAnsi="Times New Roman" w:eastAsia="宋体" w:cs="Times New Roman"/>
                <w:color w:val="auto"/>
                <w:spacing w:val="-1"/>
                <w:szCs w:val="21"/>
              </w:rPr>
              <w:t>硝化工艺应按重点监管的危险化工工艺安全控制要求，针对反应温度、搅拌电机（循环泵）电流（转速）、硝化剂流量（流量比值）、冷媒压力（流量）、冷却水 pH等重点工艺参数，设置具有远传记录和超限报警的在线监测装置。</w:t>
            </w:r>
          </w:p>
        </w:tc>
        <w:tc>
          <w:tcPr>
            <w:tcW w:w="2409" w:type="dxa"/>
            <w:vAlign w:val="center"/>
          </w:tcPr>
          <w:p>
            <w:pPr>
              <w:jc w:val="center"/>
              <w:rPr>
                <w:rFonts w:ascii="Times New Roman" w:hAnsi="Times New Roman" w:eastAsia="宋体" w:cs="Times New Roman"/>
                <w:color w:val="auto"/>
                <w:spacing w:val="6"/>
                <w:szCs w:val="21"/>
              </w:rPr>
            </w:pPr>
            <w:r>
              <w:rPr>
                <w:rFonts w:ascii="Times New Roman" w:hAnsi="Times New Roman" w:eastAsia="宋体" w:cs="Times New Roman"/>
                <w:color w:val="auto"/>
                <w:spacing w:val="6"/>
                <w:szCs w:val="21"/>
              </w:rPr>
              <w:t>《精细化工企业安全管理规范》</w:t>
            </w:r>
          </w:p>
          <w:p>
            <w:pPr>
              <w:jc w:val="center"/>
              <w:rPr>
                <w:rFonts w:ascii="Times New Roman" w:hAnsi="Times New Roman" w:eastAsia="宋体" w:cs="Times New Roman"/>
                <w:color w:val="auto"/>
                <w:spacing w:val="6"/>
                <w:szCs w:val="21"/>
              </w:rPr>
            </w:pPr>
            <w:r>
              <w:rPr>
                <w:rFonts w:ascii="Times New Roman" w:hAnsi="Times New Roman" w:eastAsia="宋体" w:cs="Times New Roman"/>
                <w:color w:val="auto"/>
                <w:spacing w:val="6"/>
                <w:szCs w:val="21"/>
              </w:rPr>
              <w:t>（AQ 3062-2025）附录A1.2</w:t>
            </w:r>
          </w:p>
        </w:tc>
        <w:tc>
          <w:tcPr>
            <w:tcW w:w="1560" w:type="dxa"/>
            <w:vAlign w:val="center"/>
          </w:tcPr>
          <w:p>
            <w:pPr>
              <w:jc w:val="center"/>
              <w:rPr>
                <w:rFonts w:ascii="Times New Roman" w:hAnsi="Times New Roman" w:eastAsia="宋体" w:cs="Times New Roman"/>
                <w:color w:val="auto"/>
                <w:spacing w:val="-2"/>
                <w:szCs w:val="21"/>
              </w:rPr>
            </w:pPr>
            <w:r>
              <w:rPr>
                <w:rFonts w:ascii="Times New Roman" w:hAnsi="Times New Roman" w:eastAsia="宋体" w:cs="Times New Roman"/>
                <w:color w:val="auto"/>
                <w:spacing w:val="-2"/>
                <w:szCs w:val="21"/>
              </w:rPr>
              <w:t>查工艺流程图、DCS、SIS系统、操作规程、现场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13</w:t>
            </w:r>
          </w:p>
        </w:tc>
        <w:tc>
          <w:tcPr>
            <w:tcW w:w="2572" w:type="dxa"/>
          </w:tcPr>
          <w:p>
            <w:pPr>
              <w:rPr>
                <w:rFonts w:ascii="Times New Roman" w:hAnsi="Times New Roman" w:eastAsia="宋体" w:cs="Times New Roman"/>
                <w:color w:val="auto"/>
                <w:spacing w:val="-4"/>
                <w:szCs w:val="21"/>
              </w:rPr>
            </w:pPr>
            <w:r>
              <w:rPr>
                <w:rFonts w:ascii="Times New Roman" w:hAnsi="Times New Roman" w:eastAsia="宋体" w:cs="Times New Roman"/>
                <w:color w:val="auto"/>
                <w:spacing w:val="-4"/>
                <w:szCs w:val="21"/>
              </w:rPr>
              <w:t>硝化工艺应按工艺生产和安全的要求，设置</w:t>
            </w:r>
          </w:p>
          <w:p>
            <w:pPr>
              <w:rPr>
                <w:rFonts w:ascii="Times New Roman" w:hAnsi="Times New Roman" w:eastAsia="宋体" w:cs="Times New Roman"/>
                <w:color w:val="auto"/>
                <w:spacing w:val="-4"/>
                <w:szCs w:val="21"/>
              </w:rPr>
            </w:pPr>
            <w:r>
              <w:rPr>
                <w:rFonts w:ascii="Times New Roman" w:hAnsi="Times New Roman" w:eastAsia="宋体" w:cs="Times New Roman"/>
                <w:color w:val="auto"/>
                <w:spacing w:val="-4"/>
                <w:szCs w:val="21"/>
              </w:rPr>
              <w:t>温度的高、高高报警，高高报警值与进料、加热、冷却等联锁，温度超限时自动切断进料、停止加热，并适时开启紧急冷却系统（绝热反应器和微通道反应器除外）。硝化反应器搅拌电流（速率）或循环泵电流应设置高、低报警和高高、低低报警，高高、低低报警值与进料联锁，搅拌系统故障时应能自动停加料。</w:t>
            </w:r>
          </w:p>
        </w:tc>
        <w:tc>
          <w:tcPr>
            <w:tcW w:w="2409" w:type="dxa"/>
            <w:vAlign w:val="center"/>
          </w:tcPr>
          <w:p>
            <w:pPr>
              <w:jc w:val="center"/>
              <w:rPr>
                <w:rFonts w:ascii="Times New Roman" w:hAnsi="Times New Roman" w:eastAsia="宋体" w:cs="Times New Roman"/>
                <w:color w:val="auto"/>
                <w:spacing w:val="-4"/>
                <w:szCs w:val="21"/>
              </w:rPr>
            </w:pPr>
            <w:r>
              <w:rPr>
                <w:rFonts w:ascii="Times New Roman" w:hAnsi="Times New Roman" w:eastAsia="宋体" w:cs="Times New Roman"/>
                <w:color w:val="auto"/>
                <w:spacing w:val="-4"/>
                <w:szCs w:val="21"/>
              </w:rPr>
              <w:t>《精细化工企业安全管理规范》</w:t>
            </w:r>
          </w:p>
          <w:p>
            <w:pPr>
              <w:jc w:val="center"/>
              <w:rPr>
                <w:rFonts w:ascii="Times New Roman" w:hAnsi="Times New Roman" w:eastAsia="宋体" w:cs="Times New Roman"/>
                <w:color w:val="auto"/>
                <w:szCs w:val="21"/>
              </w:rPr>
            </w:pPr>
            <w:r>
              <w:rPr>
                <w:rFonts w:ascii="Times New Roman" w:hAnsi="Times New Roman" w:eastAsia="宋体" w:cs="Times New Roman"/>
                <w:color w:val="auto"/>
                <w:spacing w:val="-4"/>
                <w:szCs w:val="21"/>
              </w:rPr>
              <w:t>（AQ 3062-2025）附录A1.4</w:t>
            </w:r>
          </w:p>
        </w:tc>
        <w:tc>
          <w:tcPr>
            <w:tcW w:w="1560"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pacing w:val="-2"/>
                <w:szCs w:val="21"/>
              </w:rPr>
              <w:t>查工艺流程图、DCS、SIS系统、操作规程、现场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14</w:t>
            </w:r>
          </w:p>
        </w:tc>
        <w:tc>
          <w:tcPr>
            <w:tcW w:w="2572" w:type="dxa"/>
          </w:tcPr>
          <w:p>
            <w:pPr>
              <w:rPr>
                <w:rFonts w:ascii="Times New Roman" w:hAnsi="Times New Roman" w:eastAsia="宋体" w:cs="Times New Roman"/>
                <w:color w:val="auto"/>
                <w:spacing w:val="-2"/>
                <w:szCs w:val="21"/>
              </w:rPr>
            </w:pPr>
            <w:r>
              <w:rPr>
                <w:rFonts w:ascii="Times New Roman" w:hAnsi="Times New Roman" w:eastAsia="宋体" w:cs="Times New Roman"/>
                <w:color w:val="auto"/>
                <w:spacing w:val="-2"/>
                <w:szCs w:val="21"/>
              </w:rPr>
              <w:t>硝化反应器应设置至少2套具有远传记录和</w:t>
            </w:r>
          </w:p>
          <w:p>
            <w:pPr>
              <w:rPr>
                <w:rFonts w:ascii="Times New Roman" w:hAnsi="Times New Roman" w:eastAsia="宋体" w:cs="Times New Roman"/>
                <w:color w:val="auto"/>
                <w:spacing w:val="-2"/>
                <w:szCs w:val="21"/>
              </w:rPr>
            </w:pPr>
            <w:r>
              <w:rPr>
                <w:rFonts w:ascii="Times New Roman" w:hAnsi="Times New Roman" w:eastAsia="宋体" w:cs="Times New Roman"/>
                <w:color w:val="auto"/>
                <w:spacing w:val="-2"/>
                <w:szCs w:val="21"/>
              </w:rPr>
              <w:t xml:space="preserve">超限报警功能的温度在线监测装置。 </w:t>
            </w:r>
          </w:p>
        </w:tc>
        <w:tc>
          <w:tcPr>
            <w:tcW w:w="2409" w:type="dxa"/>
            <w:vAlign w:val="center"/>
          </w:tcPr>
          <w:p>
            <w:pPr>
              <w:jc w:val="center"/>
              <w:rPr>
                <w:rFonts w:ascii="Times New Roman" w:hAnsi="Times New Roman" w:eastAsia="宋体" w:cs="Times New Roman"/>
                <w:color w:val="auto"/>
                <w:spacing w:val="-4"/>
                <w:szCs w:val="21"/>
              </w:rPr>
            </w:pPr>
            <w:r>
              <w:rPr>
                <w:rFonts w:ascii="Times New Roman" w:hAnsi="Times New Roman" w:eastAsia="宋体" w:cs="Times New Roman"/>
                <w:color w:val="auto"/>
                <w:spacing w:val="-4"/>
                <w:szCs w:val="21"/>
              </w:rPr>
              <w:t>《精细化工企业安全管理规范》</w:t>
            </w:r>
          </w:p>
          <w:p>
            <w:pPr>
              <w:jc w:val="center"/>
              <w:rPr>
                <w:rFonts w:ascii="Times New Roman" w:hAnsi="Times New Roman" w:eastAsia="宋体" w:cs="Times New Roman"/>
                <w:color w:val="auto"/>
                <w:szCs w:val="21"/>
              </w:rPr>
            </w:pPr>
            <w:r>
              <w:rPr>
                <w:rFonts w:ascii="Times New Roman" w:hAnsi="Times New Roman" w:eastAsia="宋体" w:cs="Times New Roman"/>
                <w:color w:val="auto"/>
                <w:spacing w:val="-4"/>
                <w:szCs w:val="21"/>
              </w:rPr>
              <w:t>（AQ 3062-2025）附录A1.5</w:t>
            </w:r>
          </w:p>
        </w:tc>
        <w:tc>
          <w:tcPr>
            <w:tcW w:w="1560"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查工艺流程图、DCS、SIS系统、操作规程、现场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55"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15</w:t>
            </w:r>
          </w:p>
        </w:tc>
        <w:tc>
          <w:tcPr>
            <w:tcW w:w="2572"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涉及硝化物的化料、浓缩、干燥等需要加热的</w:t>
            </w:r>
          </w:p>
          <w:p>
            <w:pPr>
              <w:rPr>
                <w:rFonts w:ascii="Times New Roman" w:hAnsi="Times New Roman" w:eastAsia="宋体" w:cs="Times New Roman"/>
                <w:color w:val="auto"/>
                <w:spacing w:val="-1"/>
                <w:szCs w:val="21"/>
              </w:rPr>
            </w:pPr>
            <w:r>
              <w:rPr>
                <w:rFonts w:ascii="Times New Roman" w:hAnsi="Times New Roman" w:eastAsia="宋体" w:cs="Times New Roman"/>
                <w:color w:val="auto"/>
                <w:szCs w:val="21"/>
              </w:rPr>
              <w:t>工艺过程，热媒温度超过物料T</w:t>
            </w:r>
            <w:r>
              <w:rPr>
                <w:rFonts w:ascii="Times New Roman" w:hAnsi="Times New Roman" w:eastAsia="宋体" w:cs="Times New Roman"/>
                <w:color w:val="auto"/>
                <w:szCs w:val="21"/>
                <w:vertAlign w:val="subscript"/>
              </w:rPr>
              <w:t>D24</w:t>
            </w:r>
            <w:r>
              <w:rPr>
                <w:rFonts w:ascii="Times New Roman" w:hAnsi="Times New Roman" w:eastAsia="宋体" w:cs="Times New Roman"/>
                <w:color w:val="auto"/>
                <w:szCs w:val="21"/>
              </w:rPr>
              <w:t>时，热媒应采取双重切断、自动切断与紧急冷却、自动切断与内部泄漏检测等措施之一。自动切操设施采用调节球阀、开关阀等，并与工艺温度联锁。</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《精细化工企业安全管理规范》</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（AQ 3062-2025）附录A1.7</w:t>
            </w:r>
          </w:p>
        </w:tc>
        <w:tc>
          <w:tcPr>
            <w:tcW w:w="1560"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查工艺流程图、DCS、SIS系统、操作规程、现场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16</w:t>
            </w:r>
          </w:p>
        </w:tc>
        <w:tc>
          <w:tcPr>
            <w:tcW w:w="2572" w:type="dxa"/>
          </w:tcPr>
          <w:p>
            <w:pPr>
              <w:rPr>
                <w:rFonts w:ascii="Times New Roman" w:hAnsi="Times New Roman" w:eastAsia="宋体" w:cs="Times New Roman"/>
                <w:color w:val="auto"/>
                <w:spacing w:val="-1"/>
                <w:szCs w:val="21"/>
              </w:rPr>
            </w:pPr>
            <w:r>
              <w:rPr>
                <w:rFonts w:ascii="Times New Roman" w:hAnsi="Times New Roman" w:eastAsia="宋体" w:cs="Times New Roman"/>
                <w:color w:val="auto"/>
                <w:spacing w:val="-1"/>
                <w:szCs w:val="21"/>
              </w:rPr>
              <w:t>蒸流馏（精馏）设施的温度、压力、液位、出料量及冷媒，热媒的温度、压力等工艺参数，应设置具有远传记录和超限报警功能的在线监测装置和联锁控制。涉及硝化物的蒸馏（精馏）温度异常上升或不出料时，应立即关闭热媒，不应继续加热、干蒸。</w:t>
            </w:r>
          </w:p>
        </w:tc>
        <w:tc>
          <w:tcPr>
            <w:tcW w:w="2409" w:type="dxa"/>
            <w:vAlign w:val="center"/>
          </w:tcPr>
          <w:p>
            <w:pPr>
              <w:jc w:val="center"/>
              <w:rPr>
                <w:rFonts w:ascii="Times New Roman" w:hAnsi="Times New Roman" w:eastAsia="宋体" w:cs="Times New Roman"/>
                <w:color w:val="auto"/>
                <w:spacing w:val="6"/>
                <w:szCs w:val="21"/>
              </w:rPr>
            </w:pPr>
            <w:r>
              <w:rPr>
                <w:rFonts w:ascii="Times New Roman" w:hAnsi="Times New Roman" w:eastAsia="宋体" w:cs="Times New Roman"/>
                <w:color w:val="auto"/>
                <w:spacing w:val="6"/>
                <w:szCs w:val="21"/>
              </w:rPr>
              <w:t>《精细化工企业安全管理规范》</w:t>
            </w:r>
          </w:p>
          <w:p>
            <w:pPr>
              <w:jc w:val="center"/>
              <w:rPr>
                <w:rFonts w:ascii="Times New Roman" w:hAnsi="Times New Roman" w:eastAsia="宋体" w:cs="Times New Roman"/>
                <w:color w:val="auto"/>
                <w:szCs w:val="21"/>
              </w:rPr>
            </w:pPr>
            <w:r>
              <w:rPr>
                <w:rFonts w:ascii="Times New Roman" w:hAnsi="Times New Roman" w:eastAsia="宋体" w:cs="Times New Roman"/>
                <w:color w:val="auto"/>
                <w:spacing w:val="6"/>
                <w:szCs w:val="21"/>
              </w:rPr>
              <w:t>（AQ 3062-2025）附录A1.11</w:t>
            </w:r>
          </w:p>
        </w:tc>
        <w:tc>
          <w:tcPr>
            <w:tcW w:w="1560"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pacing w:val="-2"/>
                <w:szCs w:val="21"/>
              </w:rPr>
              <w:t>查工艺流程图、DCS、SIS系统、操作规程、现场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17</w:t>
            </w:r>
          </w:p>
        </w:tc>
        <w:tc>
          <w:tcPr>
            <w:tcW w:w="2572" w:type="dxa"/>
          </w:tcPr>
          <w:p>
            <w:pPr>
              <w:rPr>
                <w:rFonts w:ascii="Times New Roman" w:hAnsi="Times New Roman" w:eastAsia="宋体" w:cs="Times New Roman"/>
                <w:color w:val="auto"/>
                <w:szCs w:val="21"/>
              </w:rPr>
            </w:pPr>
            <w:r>
              <w:rPr>
                <w:rFonts w:ascii="Times New Roman" w:hAnsi="Times New Roman" w:eastAsia="宋体" w:cs="Times New Roman"/>
                <w:color w:val="auto"/>
                <w:szCs w:val="21"/>
              </w:rPr>
              <w:t>硝化物化料、浓缩、干燥、萃取等需要加热的</w:t>
            </w:r>
          </w:p>
          <w:p>
            <w:pPr>
              <w:rPr>
                <w:rFonts w:ascii="Times New Roman" w:hAnsi="Times New Roman" w:eastAsia="宋体" w:cs="Times New Roman"/>
                <w:color w:val="auto"/>
                <w:szCs w:val="21"/>
              </w:rPr>
            </w:pPr>
            <w:r>
              <w:rPr>
                <w:rFonts w:ascii="Times New Roman" w:hAnsi="Times New Roman" w:eastAsia="宋体" w:cs="Times New Roman"/>
                <w:color w:val="auto"/>
                <w:szCs w:val="21"/>
              </w:rPr>
              <w:t>工艺过程，应设置具有远传记录和超限报警</w:t>
            </w:r>
          </w:p>
          <w:p>
            <w:pPr>
              <w:rPr>
                <w:rFonts w:ascii="Times New Roman" w:hAnsi="Times New Roman" w:eastAsia="宋体" w:cs="Times New Roman"/>
                <w:color w:val="auto"/>
                <w:szCs w:val="21"/>
              </w:rPr>
            </w:pPr>
            <w:r>
              <w:rPr>
                <w:rFonts w:ascii="Times New Roman" w:hAnsi="Times New Roman" w:eastAsia="宋体" w:cs="Times New Roman"/>
                <w:color w:val="auto"/>
                <w:szCs w:val="21"/>
              </w:rPr>
              <w:t>功能的温度在线监测装置，并与加热联锁，</w:t>
            </w:r>
          </w:p>
          <w:p>
            <w:pPr>
              <w:rPr>
                <w:rFonts w:ascii="Times New Roman" w:hAnsi="Times New Roman" w:eastAsia="宋体" w:cs="Times New Roman"/>
                <w:color w:val="auto"/>
                <w:szCs w:val="21"/>
              </w:rPr>
            </w:pPr>
            <w:r>
              <w:rPr>
                <w:rFonts w:ascii="Times New Roman" w:hAnsi="Times New Roman" w:eastAsia="宋体" w:cs="Times New Roman"/>
                <w:color w:val="auto"/>
                <w:szCs w:val="21"/>
              </w:rPr>
              <w:t>温度超限时，应能自动切断加热，并适时启动</w:t>
            </w:r>
          </w:p>
          <w:p>
            <w:pPr>
              <w:rPr>
                <w:rFonts w:ascii="Times New Roman" w:hAnsi="Times New Roman" w:eastAsia="宋体" w:cs="Times New Roman"/>
                <w:color w:val="auto"/>
                <w:spacing w:val="-1"/>
                <w:szCs w:val="21"/>
              </w:rPr>
            </w:pPr>
            <w:r>
              <w:rPr>
                <w:rFonts w:ascii="Times New Roman" w:hAnsi="Times New Roman" w:eastAsia="宋体" w:cs="Times New Roman"/>
                <w:color w:val="auto"/>
                <w:szCs w:val="21"/>
              </w:rPr>
              <w:t>场紧急处置措施。</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《精细化工企业安全管理规范》</w:t>
            </w:r>
          </w:p>
          <w:p>
            <w:pPr>
              <w:jc w:val="center"/>
              <w:rPr>
                <w:rFonts w:ascii="Times New Roman" w:hAnsi="Times New Roman" w:eastAsia="宋体" w:cs="Times New Roman"/>
                <w:color w:val="auto"/>
                <w:spacing w:val="6"/>
                <w:szCs w:val="21"/>
              </w:rPr>
            </w:pPr>
            <w:r>
              <w:rPr>
                <w:rFonts w:ascii="Times New Roman" w:hAnsi="Times New Roman" w:eastAsia="宋体" w:cs="Times New Roman"/>
                <w:color w:val="auto"/>
                <w:szCs w:val="21"/>
              </w:rPr>
              <w:t>（AQ 3062-2025）附录A1.12</w:t>
            </w:r>
          </w:p>
        </w:tc>
        <w:tc>
          <w:tcPr>
            <w:tcW w:w="1560" w:type="dxa"/>
            <w:vAlign w:val="center"/>
          </w:tcPr>
          <w:p>
            <w:pPr>
              <w:rPr>
                <w:rFonts w:ascii="Times New Roman" w:hAnsi="Times New Roman" w:eastAsia="宋体" w:cs="Times New Roman"/>
                <w:color w:val="auto"/>
                <w:spacing w:val="-2"/>
                <w:szCs w:val="21"/>
              </w:rPr>
            </w:pPr>
            <w:r>
              <w:rPr>
                <w:rFonts w:ascii="Times New Roman" w:hAnsi="Times New Roman" w:eastAsia="宋体" w:cs="Times New Roman"/>
                <w:color w:val="auto"/>
                <w:szCs w:val="21"/>
              </w:rPr>
              <w:t>查工艺流程图、DCS、SIS系统、操作规程、现场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18</w:t>
            </w:r>
          </w:p>
        </w:tc>
        <w:tc>
          <w:tcPr>
            <w:tcW w:w="2572"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硝化反应器、硝化物后处理设施和硝化物储罐（仓库）应设置远程视频监控设施，以及</w:t>
            </w:r>
          </w:p>
          <w:p>
            <w:pPr>
              <w:rPr>
                <w:rFonts w:ascii="Times New Roman" w:hAnsi="Times New Roman" w:eastAsia="宋体" w:cs="Times New Roman"/>
                <w:color w:val="auto"/>
                <w:szCs w:val="21"/>
              </w:rPr>
            </w:pPr>
            <w:r>
              <w:rPr>
                <w:rFonts w:ascii="Times New Roman" w:hAnsi="Times New Roman" w:eastAsia="宋体" w:cs="Times New Roman"/>
                <w:color w:val="auto"/>
                <w:szCs w:val="21"/>
              </w:rPr>
              <w:t>与操作温度联锁的声光报警装置。硝化物库房应设置强制通风、红外热成像监测报警等安全设施。带料停车的硝化反应器、硝化物储罐（库房）应持续进行温度在线监测，在温度异常变化时能及时报警并远程启动紧急处</w:t>
            </w:r>
          </w:p>
          <w:p>
            <w:pPr>
              <w:rPr>
                <w:rFonts w:ascii="Times New Roman" w:hAnsi="Times New Roman" w:eastAsia="宋体" w:cs="Times New Roman"/>
                <w:color w:val="auto"/>
                <w:szCs w:val="21"/>
              </w:rPr>
            </w:pPr>
            <w:r>
              <w:rPr>
                <w:rFonts w:ascii="Times New Roman" w:hAnsi="Times New Roman" w:eastAsia="宋体" w:cs="Times New Roman"/>
                <w:color w:val="auto"/>
                <w:szCs w:val="21"/>
              </w:rPr>
              <w:t>置设施。</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《精细化工企业安全管理规范》</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（AQ 3062-2025）附录A1.15</w:t>
            </w:r>
          </w:p>
        </w:tc>
        <w:tc>
          <w:tcPr>
            <w:tcW w:w="1560"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查工艺流程图、DCS、SIS系统、操作规程、现场</w:t>
            </w:r>
          </w:p>
        </w:tc>
        <w:tc>
          <w:tcPr>
            <w:tcW w:w="1984" w:type="dxa"/>
          </w:tcPr>
          <w:p>
            <w:pP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55"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19</w:t>
            </w:r>
          </w:p>
        </w:tc>
        <w:tc>
          <w:tcPr>
            <w:tcW w:w="2572" w:type="dxa"/>
          </w:tcPr>
          <w:p>
            <w:pPr>
              <w:rPr>
                <w:rFonts w:ascii="Times New Roman" w:hAnsi="Times New Roman" w:eastAsia="宋体" w:cs="Times New Roman"/>
                <w:color w:val="auto"/>
                <w:spacing w:val="-8"/>
                <w:szCs w:val="21"/>
              </w:rPr>
            </w:pPr>
            <w:r>
              <w:rPr>
                <w:rFonts w:ascii="Times New Roman" w:hAnsi="Times New Roman" w:eastAsia="宋体" w:cs="Times New Roman"/>
                <w:color w:val="auto"/>
                <w:spacing w:val="-8"/>
                <w:szCs w:val="21"/>
              </w:rPr>
              <w:t>反 应工艺危险度等级3级及以上的硝化工艺</w:t>
            </w:r>
          </w:p>
          <w:p>
            <w:pPr>
              <w:rPr>
                <w:rFonts w:ascii="Times New Roman" w:hAnsi="Times New Roman" w:eastAsia="宋体" w:cs="Times New Roman"/>
                <w:color w:val="auto"/>
                <w:spacing w:val="-8"/>
                <w:szCs w:val="21"/>
              </w:rPr>
            </w:pPr>
            <w:r>
              <w:rPr>
                <w:rFonts w:ascii="Times New Roman" w:hAnsi="Times New Roman" w:eastAsia="宋体" w:cs="Times New Roman"/>
                <w:color w:val="auto"/>
                <w:spacing w:val="-8"/>
                <w:szCs w:val="21"/>
              </w:rPr>
              <w:t>（绝热硝化工艺、微通道反应器除外），反应器搅拌（循环泵）应设置快速自启动的应急电源供电（自启动发电机、EPS应急电源供电等）。</w:t>
            </w:r>
          </w:p>
        </w:tc>
        <w:tc>
          <w:tcPr>
            <w:tcW w:w="2409" w:type="dxa"/>
            <w:vAlign w:val="center"/>
          </w:tcPr>
          <w:p>
            <w:pPr>
              <w:jc w:val="center"/>
              <w:rPr>
                <w:rFonts w:ascii="Times New Roman" w:hAnsi="Times New Roman" w:eastAsia="宋体" w:cs="Times New Roman"/>
                <w:color w:val="auto"/>
                <w:spacing w:val="4"/>
                <w:szCs w:val="21"/>
              </w:rPr>
            </w:pPr>
            <w:r>
              <w:rPr>
                <w:rFonts w:ascii="Times New Roman" w:hAnsi="Times New Roman" w:eastAsia="宋体" w:cs="Times New Roman"/>
                <w:color w:val="auto"/>
                <w:spacing w:val="4"/>
                <w:szCs w:val="21"/>
              </w:rPr>
              <w:t>《精细化工企业安全管理规范》</w:t>
            </w:r>
          </w:p>
          <w:p>
            <w:pPr>
              <w:jc w:val="center"/>
              <w:rPr>
                <w:rFonts w:ascii="Times New Roman" w:hAnsi="Times New Roman" w:eastAsia="宋体" w:cs="Times New Roman"/>
                <w:color w:val="auto"/>
                <w:szCs w:val="21"/>
              </w:rPr>
            </w:pPr>
            <w:r>
              <w:rPr>
                <w:rFonts w:ascii="Times New Roman" w:hAnsi="Times New Roman" w:eastAsia="宋体" w:cs="Times New Roman"/>
                <w:color w:val="auto"/>
                <w:spacing w:val="4"/>
                <w:szCs w:val="21"/>
              </w:rPr>
              <w:t>（AQ 3062-2025）附录A1.16</w:t>
            </w:r>
          </w:p>
        </w:tc>
        <w:tc>
          <w:tcPr>
            <w:tcW w:w="1560"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pacing w:val="-2"/>
                <w:szCs w:val="21"/>
              </w:rPr>
              <w:t>查工艺流程图、DCS、SIS系统、操作规程、现场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20</w:t>
            </w:r>
          </w:p>
        </w:tc>
        <w:tc>
          <w:tcPr>
            <w:tcW w:w="2572"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反应釜采用外循环冷却系统时，循环泵应设置电机启停指示和电流远传指示、监控、报警，并应设置具备自动切换功能的备用物料统环循泵或其他紧急冷却系统。</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《精细化工企业安全管理规范》</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（AQ 3062-2025）7.2.1.5</w:t>
            </w:r>
          </w:p>
        </w:tc>
        <w:tc>
          <w:tcPr>
            <w:tcW w:w="1560"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查DCS、SIS系统、操作规程</w:t>
            </w:r>
          </w:p>
        </w:tc>
        <w:tc>
          <w:tcPr>
            <w:tcW w:w="1984" w:type="dxa"/>
          </w:tcPr>
          <w:p>
            <w:pPr>
              <w:rPr>
                <w:rFonts w:ascii="Times New Roman" w:hAnsi="Times New Roman" w:eastAsia="宋体" w:cs="Times New Roman"/>
                <w:color w:val="auto"/>
                <w:szCs w:val="21"/>
              </w:rPr>
            </w:pPr>
          </w:p>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21</w:t>
            </w:r>
          </w:p>
        </w:tc>
        <w:tc>
          <w:tcPr>
            <w:tcW w:w="2572"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硝化反应釜不应用于反应后的蒸馏、结晶等其他用途。 </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《精细化工企业安全管理规范》</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（AQ 3062-2025）7.2.1.6</w:t>
            </w:r>
          </w:p>
        </w:tc>
        <w:tc>
          <w:tcPr>
            <w:tcW w:w="1560"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查工艺流程图、操作规程、现场</w:t>
            </w:r>
          </w:p>
        </w:tc>
        <w:tc>
          <w:tcPr>
            <w:tcW w:w="1984" w:type="dxa"/>
          </w:tcPr>
          <w:p>
            <w:pPr>
              <w:rPr>
                <w:rFonts w:ascii="Times New Roman" w:hAnsi="Times New Roman" w:eastAsia="宋体" w:cs="Times New Roman"/>
                <w:color w:val="auto"/>
                <w:szCs w:val="21"/>
              </w:rPr>
            </w:pPr>
          </w:p>
          <w:p>
            <w:pP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dxa"/>
            <w:vAlign w:val="center"/>
          </w:tcPr>
          <w:p>
            <w:pPr>
              <w:jc w:val="center"/>
              <w:rPr>
                <w:rFonts w:ascii="Times New Roman" w:hAnsi="Times New Roman" w:eastAsia="宋体" w:cs="Times New Roman"/>
                <w:bCs/>
                <w:color w:val="auto"/>
                <w:szCs w:val="21"/>
              </w:rPr>
            </w:pPr>
            <w:r>
              <w:rPr>
                <w:rFonts w:ascii="Times New Roman" w:hAnsi="Times New Roman" w:eastAsia="宋体" w:cs="Times New Roman"/>
                <w:bCs/>
                <w:color w:val="auto"/>
                <w:szCs w:val="21"/>
              </w:rPr>
              <w:t>22</w:t>
            </w:r>
          </w:p>
        </w:tc>
        <w:tc>
          <w:tcPr>
            <w:tcW w:w="2572"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1）硝化工艺全流程涉及易燃、易爆物料的</w:t>
            </w:r>
          </w:p>
          <w:p>
            <w:pPr>
              <w:rPr>
                <w:rFonts w:ascii="Times New Roman" w:hAnsi="Times New Roman" w:eastAsia="宋体" w:cs="Times New Roman"/>
                <w:color w:val="auto"/>
                <w:szCs w:val="21"/>
              </w:rPr>
            </w:pPr>
            <w:r>
              <w:rPr>
                <w:rFonts w:ascii="Times New Roman" w:hAnsi="Times New Roman" w:eastAsia="宋体" w:cs="Times New Roman"/>
                <w:color w:val="auto"/>
                <w:szCs w:val="21"/>
              </w:rPr>
              <w:t>设备应设置惰性气体保护、吹扫设施；减压</w:t>
            </w:r>
          </w:p>
          <w:p>
            <w:pPr>
              <w:rPr>
                <w:rFonts w:ascii="Times New Roman" w:hAnsi="Times New Roman" w:eastAsia="宋体" w:cs="Times New Roman"/>
                <w:color w:val="auto"/>
                <w:szCs w:val="21"/>
              </w:rPr>
            </w:pPr>
            <w:r>
              <w:rPr>
                <w:rFonts w:ascii="Times New Roman" w:hAnsi="Times New Roman" w:eastAsia="宋体" w:cs="Times New Roman"/>
                <w:color w:val="auto"/>
                <w:szCs w:val="21"/>
              </w:rPr>
              <w:t>蒸馏（精馏）、真空干燥等负压操作的设备应</w:t>
            </w:r>
          </w:p>
          <w:p>
            <w:pPr>
              <w:rPr>
                <w:rFonts w:ascii="Times New Roman" w:hAnsi="Times New Roman" w:eastAsia="宋体" w:cs="Times New Roman"/>
                <w:color w:val="auto"/>
                <w:szCs w:val="21"/>
              </w:rPr>
            </w:pPr>
            <w:r>
              <w:rPr>
                <w:rFonts w:ascii="Times New Roman" w:hAnsi="Times New Roman" w:eastAsia="宋体" w:cs="Times New Roman"/>
                <w:color w:val="auto"/>
                <w:szCs w:val="21"/>
              </w:rPr>
              <w:t>采用惰性气体破真空，不应采用压缩空气进行物料压料输送操作。                     据</w:t>
            </w:r>
          </w:p>
          <w:p>
            <w:pPr>
              <w:rPr>
                <w:rFonts w:ascii="Times New Roman" w:hAnsi="Times New Roman" w:eastAsia="宋体" w:cs="Times New Roman"/>
                <w:color w:val="auto"/>
                <w:szCs w:val="21"/>
              </w:rPr>
            </w:pPr>
            <w:r>
              <w:rPr>
                <w:rFonts w:ascii="Times New Roman" w:hAnsi="Times New Roman" w:eastAsia="宋体" w:cs="Times New Roman"/>
                <w:color w:val="auto"/>
                <w:szCs w:val="21"/>
              </w:rPr>
              <w:t>2）涉及惰性气体保护条件下仍具有爆炸危</w:t>
            </w:r>
          </w:p>
          <w:p>
            <w:pPr>
              <w:rPr>
                <w:rFonts w:ascii="Times New Roman" w:hAnsi="Times New Roman" w:eastAsia="宋体" w:cs="Times New Roman"/>
                <w:color w:val="auto"/>
                <w:szCs w:val="21"/>
              </w:rPr>
            </w:pPr>
            <w:r>
              <w:rPr>
                <w:rFonts w:ascii="Times New Roman" w:hAnsi="Times New Roman" w:eastAsia="宋体" w:cs="Times New Roman"/>
                <w:color w:val="auto"/>
                <w:szCs w:val="21"/>
              </w:rPr>
              <w:t>性的物料不应使用气力输送系统。</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《精细化工企业安全管理规范》</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（AQ 3062-2025）7.2.2.6、7.2.4.6</w:t>
            </w:r>
          </w:p>
        </w:tc>
        <w:tc>
          <w:tcPr>
            <w:tcW w:w="1560"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查DCS、现场</w:t>
            </w:r>
          </w:p>
        </w:tc>
        <w:tc>
          <w:tcPr>
            <w:tcW w:w="1984" w:type="dxa"/>
          </w:tcPr>
          <w:p>
            <w:pPr>
              <w:jc w:val="center"/>
              <w:rPr>
                <w:rFonts w:ascii="Times New Roman" w:hAnsi="Times New Roman" w:eastAsia="宋体" w:cs="Times New Roman"/>
                <w:b/>
                <w:color w:val="auto"/>
                <w:szCs w:val="21"/>
              </w:rPr>
            </w:pPr>
          </w:p>
        </w:tc>
        <w:tc>
          <w:tcPr>
            <w:tcW w:w="1843" w:type="dxa"/>
          </w:tcPr>
          <w:p>
            <w:pPr>
              <w:jc w:val="center"/>
              <w:rPr>
                <w:rFonts w:ascii="Times New Roman" w:hAnsi="Times New Roman" w:eastAsia="宋体" w:cs="Times New Roman"/>
                <w:b/>
                <w:color w:val="auto"/>
                <w:szCs w:val="21"/>
              </w:rPr>
            </w:pPr>
          </w:p>
        </w:tc>
        <w:tc>
          <w:tcPr>
            <w:tcW w:w="2785" w:type="dxa"/>
          </w:tcPr>
          <w:p>
            <w:pPr>
              <w:jc w:val="center"/>
              <w:rPr>
                <w:rFonts w:ascii="Times New Roman" w:hAnsi="Times New Roman" w:eastAsia="宋体" w:cs="Times New Roman"/>
                <w:b/>
                <w:color w:val="auto"/>
                <w:szCs w:val="21"/>
              </w:rPr>
            </w:pPr>
          </w:p>
        </w:tc>
        <w:tc>
          <w:tcPr>
            <w:tcW w:w="737" w:type="dxa"/>
          </w:tcPr>
          <w:p>
            <w:pPr>
              <w:jc w:val="center"/>
              <w:rPr>
                <w:rFonts w:ascii="Times New Roman" w:hAnsi="Times New Roman" w:eastAsia="宋体" w:cs="Times New Roman"/>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55"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23</w:t>
            </w:r>
          </w:p>
        </w:tc>
        <w:tc>
          <w:tcPr>
            <w:tcW w:w="2572" w:type="dxa"/>
            <w:vAlign w:val="center"/>
          </w:tcPr>
          <w:p>
            <w:pPr>
              <w:rPr>
                <w:rFonts w:ascii="Times New Roman" w:hAnsi="Times New Roman" w:eastAsia="宋体" w:cs="Times New Roman"/>
                <w:color w:val="auto"/>
                <w:szCs w:val="21"/>
              </w:rPr>
            </w:pPr>
            <w:r>
              <w:rPr>
                <w:rFonts w:ascii="Times New Roman" w:hAnsi="Times New Roman" w:eastAsia="宋体" w:cs="Times New Roman"/>
                <w:color w:val="auto"/>
                <w:szCs w:val="21"/>
              </w:rPr>
              <w:t>涉及易燃易爆、有毒物料时，不应采用敞开式</w:t>
            </w:r>
          </w:p>
          <w:p>
            <w:pPr>
              <w:rPr>
                <w:rFonts w:ascii="Times New Roman" w:hAnsi="Times New Roman" w:eastAsia="宋体" w:cs="Times New Roman"/>
                <w:color w:val="auto"/>
                <w:szCs w:val="21"/>
              </w:rPr>
            </w:pPr>
            <w:r>
              <w:rPr>
                <w:rFonts w:ascii="Times New Roman" w:hAnsi="Times New Roman" w:eastAsia="宋体" w:cs="Times New Roman"/>
                <w:color w:val="auto"/>
                <w:szCs w:val="21"/>
              </w:rPr>
              <w:t>真空抽滤设备及敞开式离心分离机，涉及</w:t>
            </w:r>
          </w:p>
          <w:p>
            <w:pPr>
              <w:rPr>
                <w:rFonts w:ascii="Times New Roman" w:hAnsi="Times New Roman" w:eastAsia="宋体" w:cs="Times New Roman"/>
                <w:color w:val="auto"/>
                <w:szCs w:val="21"/>
              </w:rPr>
            </w:pPr>
            <w:r>
              <w:rPr>
                <w:rFonts w:ascii="Times New Roman" w:hAnsi="Times New Roman" w:eastAsia="宋体" w:cs="Times New Roman"/>
                <w:color w:val="auto"/>
                <w:szCs w:val="21"/>
              </w:rPr>
              <w:t xml:space="preserve">易燃易爆介质的离心分离机系统应按 GB </w:t>
            </w:r>
          </w:p>
          <w:p>
            <w:pPr>
              <w:rPr>
                <w:rFonts w:ascii="Times New Roman" w:hAnsi="Times New Roman" w:eastAsia="宋体" w:cs="Times New Roman"/>
                <w:color w:val="auto"/>
                <w:szCs w:val="21"/>
              </w:rPr>
            </w:pPr>
            <w:r>
              <w:rPr>
                <w:rFonts w:ascii="Times New Roman" w:hAnsi="Times New Roman" w:eastAsia="宋体" w:cs="Times New Roman"/>
                <w:color w:val="auto"/>
                <w:szCs w:val="21"/>
              </w:rPr>
              <w:t>19815的规定设置惰性气体保护、在线氧含量</w:t>
            </w:r>
          </w:p>
          <w:p>
            <w:pPr>
              <w:rPr>
                <w:rFonts w:ascii="Times New Roman" w:hAnsi="Times New Roman" w:eastAsia="宋体" w:cs="Times New Roman"/>
                <w:color w:val="auto"/>
                <w:szCs w:val="21"/>
              </w:rPr>
            </w:pPr>
            <w:r>
              <w:rPr>
                <w:rFonts w:ascii="Times New Roman" w:hAnsi="Times New Roman" w:eastAsia="宋体" w:cs="Times New Roman"/>
                <w:color w:val="auto"/>
                <w:szCs w:val="21"/>
              </w:rPr>
              <w:t>现检测报警联锁系统等设施。</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《精细化工企业安全管理规范》</w:t>
            </w:r>
          </w:p>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（AQ 3062-2025）7.2.2.1</w:t>
            </w:r>
          </w:p>
        </w:tc>
        <w:tc>
          <w:tcPr>
            <w:tcW w:w="1560"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查设备设施信息、DCS、SIS系统、操作规程、现场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85" w:type="dxa"/>
          </w:tcPr>
          <w:p>
            <w:pPr>
              <w:jc w:val="center"/>
              <w:rPr>
                <w:rFonts w:ascii="Times New Roman" w:hAnsi="Times New Roman" w:eastAsia="宋体" w:cs="Times New Roman"/>
                <w:color w:val="auto"/>
                <w:szCs w:val="21"/>
              </w:rPr>
            </w:pPr>
          </w:p>
        </w:tc>
        <w:tc>
          <w:tcPr>
            <w:tcW w:w="737"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24</w:t>
            </w:r>
          </w:p>
        </w:tc>
        <w:tc>
          <w:tcPr>
            <w:tcW w:w="2572" w:type="dxa"/>
          </w:tcPr>
          <w:p>
            <w:pPr>
              <w:rPr>
                <w:rFonts w:ascii="Times New Roman" w:hAnsi="Times New Roman" w:eastAsia="宋体" w:cs="Times New Roman"/>
                <w:color w:val="auto"/>
                <w:spacing w:val="-2"/>
                <w:szCs w:val="21"/>
              </w:rPr>
            </w:pPr>
            <w:r>
              <w:rPr>
                <w:rFonts w:ascii="Times New Roman" w:hAnsi="Times New Roman" w:eastAsia="宋体" w:cs="Times New Roman"/>
                <w:color w:val="auto"/>
                <w:spacing w:val="-2"/>
                <w:szCs w:val="21"/>
              </w:rPr>
              <w:t>硝化反应釜的尾气管道不应使用聚丙烯（PP）等非金属管道，应采用金属或金属衬四氟乙烯等耐酸防火材质的管道；多个反应釜共用同一尾气管道的，应在各支管上增设具备防倒灌功能的液封等防回火措施，定期清洗尾气管道。</w:t>
            </w:r>
          </w:p>
        </w:tc>
        <w:tc>
          <w:tcPr>
            <w:tcW w:w="2409"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基于风险</w:t>
            </w:r>
          </w:p>
        </w:tc>
        <w:tc>
          <w:tcPr>
            <w:tcW w:w="1560"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pacing w:val="-2"/>
                <w:szCs w:val="21"/>
              </w:rPr>
              <w:t>查现场</w:t>
            </w:r>
          </w:p>
        </w:tc>
        <w:tc>
          <w:tcPr>
            <w:tcW w:w="1984" w:type="dxa"/>
          </w:tcPr>
          <w:p>
            <w:pP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85" w:type="dxa"/>
          </w:tcPr>
          <w:p>
            <w:pPr>
              <w:jc w:val="center"/>
              <w:rPr>
                <w:rFonts w:ascii="Times New Roman" w:hAnsi="Times New Roman" w:eastAsia="宋体" w:cs="Times New Roman"/>
                <w:color w:val="auto"/>
                <w:szCs w:val="21"/>
              </w:rPr>
            </w:pPr>
          </w:p>
        </w:tc>
        <w:tc>
          <w:tcPr>
            <w:tcW w:w="737"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25</w:t>
            </w:r>
          </w:p>
        </w:tc>
        <w:tc>
          <w:tcPr>
            <w:tcW w:w="2572" w:type="dxa"/>
          </w:tcPr>
          <w:p>
            <w:pPr>
              <w:rPr>
                <w:rFonts w:ascii="Times New Roman" w:hAnsi="Times New Roman" w:eastAsia="宋体" w:cs="Times New Roman"/>
                <w:color w:val="auto"/>
                <w:spacing w:val="-1"/>
                <w:szCs w:val="21"/>
              </w:rPr>
            </w:pPr>
            <w:r>
              <w:rPr>
                <w:rFonts w:ascii="Times New Roman" w:hAnsi="Times New Roman" w:eastAsia="宋体" w:cs="Times New Roman"/>
                <w:color w:val="auto"/>
                <w:spacing w:val="-1"/>
                <w:szCs w:val="21"/>
              </w:rPr>
              <w:t>除绝热反应、微通道反应工艺外，硝化反器应</w:t>
            </w:r>
          </w:p>
          <w:p>
            <w:pPr>
              <w:rPr>
                <w:rFonts w:ascii="Times New Roman" w:hAnsi="Times New Roman" w:eastAsia="宋体" w:cs="Times New Roman"/>
                <w:color w:val="auto"/>
                <w:spacing w:val="-1"/>
                <w:szCs w:val="21"/>
              </w:rPr>
            </w:pPr>
            <w:r>
              <w:rPr>
                <w:rFonts w:ascii="Times New Roman" w:hAnsi="Times New Roman" w:eastAsia="宋体" w:cs="Times New Roman"/>
                <w:color w:val="auto"/>
                <w:spacing w:val="-1"/>
                <w:szCs w:val="21"/>
              </w:rPr>
              <w:t>根据工艺控制难易和物料危险性，至少采</w:t>
            </w:r>
          </w:p>
          <w:p>
            <w:pPr>
              <w:rPr>
                <w:rFonts w:ascii="Times New Roman" w:hAnsi="Times New Roman" w:eastAsia="宋体" w:cs="Times New Roman"/>
                <w:color w:val="auto"/>
                <w:spacing w:val="-1"/>
                <w:szCs w:val="21"/>
              </w:rPr>
            </w:pPr>
            <w:r>
              <w:rPr>
                <w:rFonts w:ascii="Times New Roman" w:hAnsi="Times New Roman" w:eastAsia="宋体" w:cs="Times New Roman"/>
                <w:color w:val="auto"/>
                <w:spacing w:val="-1"/>
                <w:szCs w:val="21"/>
              </w:rPr>
              <w:t>取一种对系统有效的持续减缓措施，包括</w:t>
            </w:r>
          </w:p>
          <w:p>
            <w:pPr>
              <w:rPr>
                <w:rFonts w:ascii="Times New Roman" w:hAnsi="Times New Roman" w:eastAsia="宋体" w:cs="Times New Roman"/>
                <w:color w:val="auto"/>
                <w:spacing w:val="-1"/>
                <w:szCs w:val="21"/>
              </w:rPr>
            </w:pPr>
            <w:r>
              <w:rPr>
                <w:rFonts w:ascii="Times New Roman" w:hAnsi="Times New Roman" w:eastAsia="宋体" w:cs="Times New Roman"/>
                <w:color w:val="auto"/>
                <w:spacing w:val="-1"/>
                <w:szCs w:val="21"/>
              </w:rPr>
              <w:t xml:space="preserve">抑制淬灭、骤冷浇灌、倾泻排放、安全泄放、物料置换等，并符合下列要求。 </w:t>
            </w:r>
          </w:p>
          <w:p>
            <w:pPr>
              <w:rPr>
                <w:rFonts w:ascii="Times New Roman" w:hAnsi="Times New Roman" w:eastAsia="宋体" w:cs="Times New Roman"/>
                <w:color w:val="auto"/>
                <w:spacing w:val="-1"/>
                <w:szCs w:val="21"/>
              </w:rPr>
            </w:pPr>
            <w:r>
              <w:rPr>
                <w:rFonts w:ascii="Times New Roman" w:hAnsi="Times New Roman" w:eastAsia="宋体" w:cs="Times New Roman"/>
                <w:color w:val="auto"/>
                <w:spacing w:val="-1"/>
                <w:szCs w:val="21"/>
              </w:rPr>
              <w:t>a）除设置安全阀、爆破片等安全泄放设施外</w:t>
            </w:r>
          </w:p>
          <w:p>
            <w:pPr>
              <w:rPr>
                <w:rFonts w:ascii="Times New Roman" w:hAnsi="Times New Roman" w:eastAsia="宋体" w:cs="Times New Roman"/>
                <w:color w:val="auto"/>
                <w:spacing w:val="-1"/>
                <w:szCs w:val="21"/>
              </w:rPr>
            </w:pPr>
            <w:r>
              <w:rPr>
                <w:rFonts w:ascii="Times New Roman" w:hAnsi="Times New Roman" w:eastAsia="宋体" w:cs="Times New Roman"/>
                <w:color w:val="auto"/>
                <w:spacing w:val="-1"/>
                <w:szCs w:val="21"/>
              </w:rPr>
              <w:t xml:space="preserve">的减缓措施应能远程启动。 </w:t>
            </w:r>
          </w:p>
          <w:p>
            <w:pPr>
              <w:rPr>
                <w:rFonts w:ascii="Times New Roman" w:hAnsi="Times New Roman" w:eastAsia="宋体" w:cs="Times New Roman"/>
                <w:color w:val="auto"/>
                <w:spacing w:val="-1"/>
                <w:szCs w:val="21"/>
              </w:rPr>
            </w:pPr>
            <w:r>
              <w:rPr>
                <w:rFonts w:ascii="Times New Roman" w:hAnsi="Times New Roman" w:eastAsia="宋体" w:cs="Times New Roman"/>
                <w:color w:val="auto"/>
                <w:spacing w:val="-1"/>
                <w:szCs w:val="21"/>
              </w:rPr>
              <w:t>b）采用倾泻排放措施时，应设置专用的泄放</w:t>
            </w:r>
          </w:p>
          <w:p>
            <w:pPr>
              <w:rPr>
                <w:rFonts w:ascii="Times New Roman" w:hAnsi="Times New Roman" w:eastAsia="宋体" w:cs="Times New Roman"/>
                <w:color w:val="auto"/>
                <w:spacing w:val="-1"/>
                <w:szCs w:val="21"/>
              </w:rPr>
            </w:pPr>
            <w:r>
              <w:rPr>
                <w:rFonts w:ascii="Times New Roman" w:hAnsi="Times New Roman" w:eastAsia="宋体" w:cs="Times New Roman"/>
                <w:color w:val="auto"/>
                <w:spacing w:val="-1"/>
                <w:szCs w:val="21"/>
              </w:rPr>
              <w:t>应急釜（槽），应急釜（槽）应根据物料热稳定性设置冷却搅拌或抑制淬灭等设施、并实现远程监控。建设项目涉及易燃易爆、毒性介质的泄放应急釜（槽）应设置在硝化厂房</w:t>
            </w:r>
          </w:p>
          <w:p>
            <w:pPr>
              <w:rPr>
                <w:rFonts w:ascii="Times New Roman" w:hAnsi="Times New Roman" w:eastAsia="宋体" w:cs="Times New Roman"/>
                <w:color w:val="auto"/>
                <w:szCs w:val="21"/>
              </w:rPr>
            </w:pPr>
            <w:r>
              <w:rPr>
                <w:rFonts w:ascii="Times New Roman" w:hAnsi="Times New Roman" w:eastAsia="宋体" w:cs="Times New Roman"/>
                <w:color w:val="auto"/>
                <w:spacing w:val="-1"/>
                <w:szCs w:val="21"/>
              </w:rPr>
              <w:t>装置）外侧安全区域</w:t>
            </w:r>
            <w:r>
              <w:rPr>
                <w:rFonts w:ascii="Times New Roman" w:hAnsi="Times New Roman" w:eastAsia="宋体" w:cs="Times New Roman"/>
                <w:color w:val="auto"/>
                <w:szCs w:val="21"/>
              </w:rPr>
              <w:t>。</w:t>
            </w:r>
          </w:p>
        </w:tc>
        <w:tc>
          <w:tcPr>
            <w:tcW w:w="2409" w:type="dxa"/>
            <w:vAlign w:val="center"/>
          </w:tcPr>
          <w:p>
            <w:pPr>
              <w:jc w:val="center"/>
              <w:rPr>
                <w:rFonts w:ascii="Times New Roman" w:hAnsi="Times New Roman" w:eastAsia="宋体" w:cs="Times New Roman"/>
                <w:color w:val="auto"/>
                <w:spacing w:val="6"/>
                <w:szCs w:val="21"/>
              </w:rPr>
            </w:pPr>
            <w:r>
              <w:rPr>
                <w:rFonts w:ascii="Times New Roman" w:hAnsi="Times New Roman" w:eastAsia="宋体" w:cs="Times New Roman"/>
                <w:color w:val="auto"/>
                <w:spacing w:val="6"/>
                <w:szCs w:val="21"/>
              </w:rPr>
              <w:t>《精细化工企业安全管理规范》</w:t>
            </w:r>
          </w:p>
          <w:p>
            <w:pPr>
              <w:jc w:val="center"/>
              <w:rPr>
                <w:rFonts w:ascii="Times New Roman" w:hAnsi="Times New Roman" w:eastAsia="宋体" w:cs="Times New Roman"/>
                <w:color w:val="auto"/>
                <w:szCs w:val="21"/>
              </w:rPr>
            </w:pPr>
            <w:r>
              <w:rPr>
                <w:rFonts w:ascii="Times New Roman" w:hAnsi="Times New Roman" w:eastAsia="宋体" w:cs="Times New Roman"/>
                <w:color w:val="auto"/>
                <w:spacing w:val="6"/>
                <w:szCs w:val="21"/>
              </w:rPr>
              <w:t>（AQ 3062-2025）附录1.14</w:t>
            </w:r>
          </w:p>
        </w:tc>
        <w:tc>
          <w:tcPr>
            <w:tcW w:w="1560"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pacing w:val="-2"/>
                <w:szCs w:val="21"/>
              </w:rPr>
              <w:t>查工艺流程图、DCS、SIS系统、操作规程、现场</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85" w:type="dxa"/>
          </w:tcPr>
          <w:p>
            <w:pPr>
              <w:jc w:val="center"/>
              <w:rPr>
                <w:rFonts w:ascii="Times New Roman" w:hAnsi="Times New Roman" w:eastAsia="宋体" w:cs="Times New Roman"/>
                <w:color w:val="auto"/>
                <w:szCs w:val="21"/>
              </w:rPr>
            </w:pPr>
          </w:p>
        </w:tc>
        <w:tc>
          <w:tcPr>
            <w:tcW w:w="737" w:type="dxa"/>
          </w:tcPr>
          <w:p>
            <w:pPr>
              <w:jc w:val="center"/>
              <w:rPr>
                <w:rFonts w:ascii="Times New Roman" w:hAnsi="Times New Roman" w:eastAsia="宋体"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26</w:t>
            </w:r>
          </w:p>
        </w:tc>
        <w:tc>
          <w:tcPr>
            <w:tcW w:w="2572" w:type="dxa"/>
          </w:tcPr>
          <w:p>
            <w:pPr>
              <w:rPr>
                <w:rFonts w:ascii="Times New Roman" w:hAnsi="Times New Roman" w:eastAsia="宋体" w:cs="Times New Roman"/>
                <w:color w:val="auto"/>
                <w:szCs w:val="21"/>
              </w:rPr>
            </w:pPr>
            <w:r>
              <w:rPr>
                <w:rFonts w:ascii="Times New Roman" w:hAnsi="Times New Roman" w:eastAsia="宋体" w:cs="Times New Roman"/>
                <w:color w:val="auto"/>
                <w:spacing w:val="-4"/>
                <w:szCs w:val="21"/>
              </w:rPr>
              <w:t xml:space="preserve">办公管理区与生产区之间应采用围栏等设施隔离；硝化装置区内生产运行和作业过程中同一时间现场人员不应超过2人，厂房（（装置）内采用满足抗爆要求的防爆墙分隔的，两侧按照不同区域处理。       </w:t>
            </w:r>
          </w:p>
        </w:tc>
        <w:tc>
          <w:tcPr>
            <w:tcW w:w="2409" w:type="dxa"/>
            <w:vAlign w:val="center"/>
          </w:tcPr>
          <w:p>
            <w:pPr>
              <w:jc w:val="center"/>
              <w:rPr>
                <w:rFonts w:ascii="Times New Roman" w:hAnsi="Times New Roman" w:eastAsia="宋体" w:cs="Times New Roman"/>
                <w:color w:val="auto"/>
                <w:spacing w:val="6"/>
                <w:szCs w:val="21"/>
              </w:rPr>
            </w:pPr>
            <w:r>
              <w:rPr>
                <w:rFonts w:ascii="Times New Roman" w:hAnsi="Times New Roman" w:eastAsia="宋体" w:cs="Times New Roman"/>
                <w:color w:val="auto"/>
                <w:spacing w:val="6"/>
                <w:szCs w:val="21"/>
              </w:rPr>
              <w:t>《精细化工企业安全管理规范》</w:t>
            </w:r>
          </w:p>
          <w:p>
            <w:pPr>
              <w:jc w:val="center"/>
              <w:rPr>
                <w:rFonts w:ascii="Times New Roman" w:hAnsi="Times New Roman" w:eastAsia="宋体" w:cs="Times New Roman"/>
                <w:color w:val="auto"/>
                <w:szCs w:val="21"/>
              </w:rPr>
            </w:pPr>
            <w:r>
              <w:rPr>
                <w:rFonts w:ascii="Times New Roman" w:hAnsi="Times New Roman" w:eastAsia="宋体" w:cs="Times New Roman"/>
                <w:color w:val="auto"/>
                <w:spacing w:val="6"/>
                <w:szCs w:val="21"/>
              </w:rPr>
              <w:t>（AQ 3062-2025）6.5、9.1.16</w:t>
            </w:r>
          </w:p>
        </w:tc>
        <w:tc>
          <w:tcPr>
            <w:tcW w:w="1560" w:type="dxa"/>
            <w:vAlign w:val="center"/>
          </w:tcPr>
          <w:p>
            <w:pPr>
              <w:jc w:val="center"/>
              <w:rPr>
                <w:rFonts w:ascii="Times New Roman" w:hAnsi="Times New Roman" w:eastAsia="宋体" w:cs="Times New Roman"/>
                <w:color w:val="auto"/>
                <w:szCs w:val="21"/>
              </w:rPr>
            </w:pPr>
            <w:r>
              <w:rPr>
                <w:rFonts w:ascii="Times New Roman" w:hAnsi="Times New Roman" w:eastAsia="宋体" w:cs="Times New Roman"/>
                <w:color w:val="auto"/>
                <w:spacing w:val="-2"/>
                <w:szCs w:val="21"/>
              </w:rPr>
              <w:t>查现</w:t>
            </w:r>
            <w:r>
              <w:rPr>
                <w:rFonts w:ascii="Times New Roman" w:hAnsi="Times New Roman" w:eastAsia="宋体" w:cs="Times New Roman"/>
                <w:color w:val="auto"/>
                <w:spacing w:val="-1"/>
                <w:szCs w:val="21"/>
              </w:rPr>
              <w:t>场、总图、查人员定位系统和视频监控</w:t>
            </w:r>
          </w:p>
        </w:tc>
        <w:tc>
          <w:tcPr>
            <w:tcW w:w="1984" w:type="dxa"/>
          </w:tcPr>
          <w:p>
            <w:pPr>
              <w:jc w:val="center"/>
              <w:rPr>
                <w:rFonts w:ascii="Times New Roman" w:hAnsi="Times New Roman" w:eastAsia="宋体" w:cs="Times New Roman"/>
                <w:color w:val="auto"/>
                <w:szCs w:val="21"/>
              </w:rPr>
            </w:pPr>
          </w:p>
        </w:tc>
        <w:tc>
          <w:tcPr>
            <w:tcW w:w="1843" w:type="dxa"/>
          </w:tcPr>
          <w:p>
            <w:pPr>
              <w:jc w:val="center"/>
              <w:rPr>
                <w:rFonts w:ascii="Times New Roman" w:hAnsi="Times New Roman" w:eastAsia="宋体" w:cs="Times New Roman"/>
                <w:color w:val="auto"/>
                <w:szCs w:val="21"/>
              </w:rPr>
            </w:pPr>
          </w:p>
        </w:tc>
        <w:tc>
          <w:tcPr>
            <w:tcW w:w="2785" w:type="dxa"/>
          </w:tcPr>
          <w:p>
            <w:pPr>
              <w:jc w:val="center"/>
              <w:rPr>
                <w:rFonts w:ascii="Times New Roman" w:hAnsi="Times New Roman" w:eastAsia="宋体" w:cs="Times New Roman"/>
                <w:color w:val="auto"/>
                <w:szCs w:val="21"/>
              </w:rPr>
            </w:pPr>
          </w:p>
        </w:tc>
        <w:tc>
          <w:tcPr>
            <w:tcW w:w="737" w:type="dxa"/>
          </w:tcPr>
          <w:p>
            <w:pPr>
              <w:jc w:val="center"/>
              <w:rPr>
                <w:rFonts w:ascii="Times New Roman" w:hAnsi="Times New Roman" w:eastAsia="宋体" w:cs="Times New Roman"/>
                <w:color w:val="auto"/>
                <w:szCs w:val="21"/>
              </w:rPr>
            </w:pPr>
          </w:p>
        </w:tc>
      </w:tr>
    </w:tbl>
    <w:p>
      <w:pPr>
        <w:spacing w:line="360" w:lineRule="auto"/>
        <w:jc w:val="left"/>
        <w:rPr>
          <w:rFonts w:hint="eastAsia" w:ascii="宋体" w:hAnsi="宋体" w:eastAsia="宋体"/>
          <w:color w:val="auto"/>
          <w:sz w:val="28"/>
          <w:szCs w:val="28"/>
        </w:rPr>
      </w:pPr>
    </w:p>
    <w:p>
      <w:pPr>
        <w:widowControl/>
        <w:jc w:val="left"/>
        <w:rPr>
          <w:rFonts w:hint="eastAsia" w:ascii="宋体" w:hAnsi="宋体" w:eastAsia="宋体"/>
          <w:b/>
          <w:bCs/>
          <w:color w:val="auto"/>
          <w:sz w:val="30"/>
          <w:szCs w:val="30"/>
        </w:rPr>
      </w:pPr>
      <w:r>
        <w:rPr>
          <w:rFonts w:hint="eastAsia" w:ascii="宋体" w:hAnsi="宋体" w:eastAsia="宋体"/>
          <w:b/>
          <w:bCs/>
          <w:color w:val="auto"/>
          <w:sz w:val="30"/>
          <w:szCs w:val="30"/>
        </w:rPr>
        <w:br w:type="page"/>
      </w:r>
    </w:p>
    <w:p>
      <w:pPr>
        <w:jc w:val="left"/>
        <w:outlineLvl w:val="1"/>
        <w:rPr>
          <w:rFonts w:hint="eastAsia" w:ascii="宋体" w:hAnsi="宋体" w:eastAsia="宋体"/>
          <w:b/>
          <w:bCs/>
          <w:color w:val="auto"/>
          <w:sz w:val="30"/>
          <w:szCs w:val="30"/>
        </w:rPr>
        <w:sectPr>
          <w:pgSz w:w="16838" w:h="11906" w:orient="landscape"/>
          <w:pgMar w:top="1134" w:right="1134" w:bottom="1134" w:left="1134" w:header="851" w:footer="992" w:gutter="0"/>
          <w:cols w:space="425" w:num="1"/>
          <w:docGrid w:linePitch="312" w:charSpace="0"/>
        </w:sectPr>
      </w:pPr>
    </w:p>
    <w:p>
      <w:pPr>
        <w:spacing w:line="360" w:lineRule="auto"/>
        <w:jc w:val="left"/>
        <w:outlineLvl w:val="1"/>
        <w:rPr>
          <w:rFonts w:hint="eastAsia" w:ascii="宋体" w:hAnsi="宋体" w:eastAsia="宋体"/>
          <w:b/>
          <w:bCs/>
          <w:color w:val="auto"/>
          <w:sz w:val="30"/>
          <w:szCs w:val="30"/>
        </w:rPr>
      </w:pPr>
      <w:bookmarkStart w:id="132" w:name="_Toc237556472"/>
      <w:r>
        <w:rPr>
          <w:rFonts w:hint="eastAsia" w:ascii="宋体" w:hAnsi="宋体" w:eastAsia="宋体"/>
          <w:b/>
          <w:bCs/>
          <w:color w:val="auto"/>
          <w:sz w:val="30"/>
          <w:szCs w:val="30"/>
        </w:rPr>
        <w:t>附件6</w:t>
      </w:r>
      <w:r>
        <w:rPr>
          <w:rFonts w:ascii="宋体" w:hAnsi="宋体" w:eastAsia="宋体"/>
          <w:b/>
          <w:bCs/>
          <w:color w:val="auto"/>
          <w:sz w:val="30"/>
          <w:szCs w:val="30"/>
        </w:rPr>
        <w:t>：</w:t>
      </w:r>
      <w:r>
        <w:rPr>
          <w:rFonts w:hint="eastAsia" w:ascii="宋体" w:hAnsi="宋体" w:eastAsia="宋体"/>
          <w:b/>
          <w:bCs/>
          <w:color w:val="auto"/>
          <w:sz w:val="30"/>
          <w:szCs w:val="30"/>
        </w:rPr>
        <w:t>安全诊断报告</w:t>
      </w:r>
      <w:bookmarkEnd w:id="132"/>
    </w:p>
    <w:p>
      <w:pPr>
        <w:spacing w:line="360" w:lineRule="auto"/>
        <w:jc w:val="left"/>
        <w:rPr>
          <w:rFonts w:hint="eastAsia" w:ascii="宋体" w:hAnsi="宋体" w:eastAsia="宋体"/>
          <w:color w:val="auto"/>
          <w:sz w:val="28"/>
          <w:szCs w:val="28"/>
        </w:rPr>
      </w:pPr>
      <w:r>
        <w:rPr>
          <w:rFonts w:hint="eastAsia" w:ascii="宋体" w:hAnsi="宋体" w:eastAsia="宋体"/>
          <w:color w:val="auto"/>
          <w:sz w:val="28"/>
          <w:szCs w:val="28"/>
        </w:rPr>
        <w:t>第一章概况</w:t>
      </w:r>
    </w:p>
    <w:p>
      <w:pPr>
        <w:spacing w:line="360" w:lineRule="auto"/>
        <w:jc w:val="left"/>
        <w:rPr>
          <w:rFonts w:hint="eastAsia" w:ascii="宋体" w:hAnsi="宋体" w:eastAsia="宋体"/>
          <w:color w:val="auto"/>
          <w:sz w:val="28"/>
          <w:szCs w:val="28"/>
        </w:rPr>
      </w:pPr>
      <w:r>
        <w:rPr>
          <w:rFonts w:hint="eastAsia" w:ascii="宋体" w:hAnsi="宋体" w:eastAsia="宋体"/>
          <w:color w:val="auto"/>
          <w:sz w:val="28"/>
          <w:szCs w:val="28"/>
        </w:rPr>
        <w:t>1.1 企业概况</w:t>
      </w:r>
    </w:p>
    <w:p>
      <w:pPr>
        <w:spacing w:line="360" w:lineRule="auto"/>
        <w:jc w:val="left"/>
        <w:rPr>
          <w:rFonts w:hint="eastAsia" w:ascii="宋体" w:hAnsi="宋体" w:eastAsia="宋体"/>
          <w:color w:val="auto"/>
          <w:sz w:val="28"/>
          <w:szCs w:val="28"/>
        </w:rPr>
      </w:pPr>
      <w:r>
        <w:rPr>
          <w:rFonts w:hint="eastAsia" w:ascii="宋体" w:hAnsi="宋体" w:eastAsia="宋体"/>
          <w:color w:val="auto"/>
          <w:sz w:val="28"/>
          <w:szCs w:val="28"/>
        </w:rPr>
        <w:t>1.1.1</w:t>
      </w:r>
      <w:r>
        <w:rPr>
          <w:rFonts w:ascii="宋体" w:hAnsi="宋体" w:eastAsia="宋体"/>
          <w:color w:val="auto"/>
          <w:sz w:val="28"/>
          <w:szCs w:val="28"/>
        </w:rPr>
        <w:t>企业基本情况</w:t>
      </w:r>
    </w:p>
    <w:tbl>
      <w:tblPr>
        <w:tblStyle w:val="20"/>
        <w:tblW w:w="8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136"/>
        <w:gridCol w:w="844"/>
        <w:gridCol w:w="2131"/>
        <w:gridCol w:w="3402"/>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blHeader/>
          <w:jc w:val="center"/>
        </w:trPr>
        <w:tc>
          <w:tcPr>
            <w:tcW w:w="56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r>
              <w:rPr>
                <w:rFonts w:ascii="宋体" w:hAnsi="宋体" w:eastAsia="宋体" w:cs="宋体"/>
                <w:b/>
                <w:bCs/>
                <w:color w:val="auto"/>
                <w:kern w:val="0"/>
                <w:szCs w:val="21"/>
              </w:rPr>
              <w:t>序号</w:t>
            </w:r>
          </w:p>
        </w:tc>
        <w:tc>
          <w:tcPr>
            <w:tcW w:w="4111"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r>
              <w:rPr>
                <w:rFonts w:ascii="宋体" w:hAnsi="宋体" w:eastAsia="宋体" w:cs="宋体"/>
                <w:b/>
                <w:bCs/>
                <w:color w:val="auto"/>
                <w:kern w:val="0"/>
                <w:szCs w:val="21"/>
              </w:rPr>
              <w:t>核查项目</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r>
              <w:rPr>
                <w:rFonts w:ascii="宋体" w:hAnsi="宋体" w:eastAsia="宋体" w:cs="宋体"/>
                <w:b/>
                <w:bCs/>
                <w:color w:val="auto"/>
                <w:kern w:val="0"/>
                <w:szCs w:val="21"/>
              </w:rPr>
              <w:t>现场核查情况</w:t>
            </w:r>
          </w:p>
        </w:tc>
        <w:tc>
          <w:tcPr>
            <w:tcW w:w="85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r>
              <w:rPr>
                <w:rFonts w:ascii="宋体" w:hAnsi="宋体" w:eastAsia="宋体" w:cs="宋体"/>
                <w:b/>
                <w:bCs/>
                <w:color w:val="auto"/>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6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1</w:t>
            </w:r>
          </w:p>
        </w:tc>
        <w:tc>
          <w:tcPr>
            <w:tcW w:w="4111"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企业名称</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6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2</w:t>
            </w:r>
          </w:p>
        </w:tc>
        <w:tc>
          <w:tcPr>
            <w:tcW w:w="4111"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注册地址</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6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3</w:t>
            </w:r>
          </w:p>
        </w:tc>
        <w:tc>
          <w:tcPr>
            <w:tcW w:w="4111"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生产范围</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6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4</w:t>
            </w:r>
          </w:p>
        </w:tc>
        <w:tc>
          <w:tcPr>
            <w:tcW w:w="4111"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进口企业资质证明</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6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5</w:t>
            </w:r>
          </w:p>
        </w:tc>
        <w:tc>
          <w:tcPr>
            <w:tcW w:w="4111" w:type="dxa"/>
            <w:gridSpan w:val="3"/>
            <w:vAlign w:val="center"/>
          </w:tcPr>
          <w:p>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危险化学品登记证</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56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6</w:t>
            </w:r>
          </w:p>
        </w:tc>
        <w:tc>
          <w:tcPr>
            <w:tcW w:w="4111" w:type="dxa"/>
            <w:gridSpan w:val="3"/>
            <w:vAlign w:val="center"/>
          </w:tcPr>
          <w:p>
            <w:pPr>
              <w:widowControl/>
              <w:jc w:val="center"/>
              <w:rPr>
                <w:rFonts w:hint="eastAsia" w:ascii="宋体" w:hAnsi="宋体" w:eastAsia="宋体" w:cs="宋体"/>
                <w:color w:val="auto"/>
                <w:kern w:val="0"/>
                <w:szCs w:val="21"/>
              </w:rPr>
            </w:pPr>
            <w:r>
              <w:rPr>
                <w:rFonts w:ascii="Times New Roman" w:hAnsi="Times New Roman" w:eastAsia="宋体" w:cs="Times New Roman"/>
                <w:color w:val="auto"/>
                <w:szCs w:val="21"/>
              </w:rPr>
              <w:t>安全生产许可证</w:t>
            </w:r>
            <w:r>
              <w:rPr>
                <w:rFonts w:hint="eastAsia" w:ascii="Calibri" w:hAnsi="Calibri" w:eastAsia="宋体" w:cs="宋体"/>
                <w:color w:val="auto"/>
                <w:kern w:val="0"/>
                <w:szCs w:val="21"/>
              </w:rPr>
              <w:t>有效期及许可范围（产品名称及生产能力）</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6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7</w:t>
            </w:r>
          </w:p>
        </w:tc>
        <w:tc>
          <w:tcPr>
            <w:tcW w:w="4111"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生产场所地址</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6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8</w:t>
            </w:r>
          </w:p>
        </w:tc>
        <w:tc>
          <w:tcPr>
            <w:tcW w:w="4111"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经纬度信息</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6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9</w:t>
            </w:r>
          </w:p>
        </w:tc>
        <w:tc>
          <w:tcPr>
            <w:tcW w:w="4111"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主要负责人</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6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10</w:t>
            </w:r>
          </w:p>
        </w:tc>
        <w:tc>
          <w:tcPr>
            <w:tcW w:w="4111"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主要产品及生产规模</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56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11</w:t>
            </w:r>
          </w:p>
        </w:tc>
        <w:tc>
          <w:tcPr>
            <w:tcW w:w="4111"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应急咨询电话设置情况</w:t>
            </w:r>
            <w:r>
              <w:rPr>
                <w:rFonts w:ascii="宋体" w:hAnsi="宋体" w:eastAsia="宋体" w:cs="宋体"/>
                <w:color w:val="auto"/>
                <w:kern w:val="0"/>
                <w:szCs w:val="21"/>
              </w:rPr>
              <w:br w:type="textWrapping"/>
            </w:r>
            <w:r>
              <w:rPr>
                <w:rFonts w:ascii="宋体" w:hAnsi="宋体" w:eastAsia="宋体" w:cs="宋体"/>
                <w:color w:val="auto"/>
                <w:kern w:val="0"/>
                <w:szCs w:val="21"/>
              </w:rPr>
              <w:t>（自有或是协议方式）</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56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1</w:t>
            </w:r>
            <w:r>
              <w:rPr>
                <w:rFonts w:hint="eastAsia" w:ascii="宋体" w:hAnsi="宋体" w:eastAsia="宋体" w:cs="宋体"/>
                <w:color w:val="auto"/>
                <w:kern w:val="0"/>
                <w:szCs w:val="21"/>
              </w:rPr>
              <w:t>2</w:t>
            </w:r>
          </w:p>
        </w:tc>
        <w:tc>
          <w:tcPr>
            <w:tcW w:w="4111"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厂区边界外1000米范围内的单位或设施情况</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567"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13</w:t>
            </w:r>
          </w:p>
        </w:tc>
        <w:tc>
          <w:tcPr>
            <w:tcW w:w="1136"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装置信息</w:t>
            </w:r>
          </w:p>
        </w:tc>
        <w:tc>
          <w:tcPr>
            <w:tcW w:w="844"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hAnsi="宋体" w:eastAsia="宋体" w:cs="宋体"/>
                <w:color w:val="auto"/>
                <w:kern w:val="0"/>
                <w:szCs w:val="21"/>
              </w:rPr>
            </w:pPr>
            <w:r>
              <w:rPr>
                <w:rFonts w:hint="eastAsia" w:ascii="宋体" w:hAnsi="宋体" w:eastAsia="宋体" w:cs="宋体"/>
                <w:color w:val="auto"/>
                <w:kern w:val="0"/>
                <w:szCs w:val="21"/>
              </w:rPr>
              <w:t>装置名称1</w:t>
            </w:r>
          </w:p>
        </w:tc>
        <w:tc>
          <w:tcPr>
            <w:tcW w:w="21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3402" w:type="dxa"/>
            <w:tcBorders>
              <w:top w:val="single" w:color="auto" w:sz="4" w:space="0"/>
              <w:left w:val="single" w:color="auto" w:sz="4" w:space="0"/>
              <w:bottom w:val="single" w:color="auto" w:sz="4" w:space="0"/>
              <w:right w:val="single" w:color="auto" w:sz="4" w:space="0"/>
            </w:tcBorders>
          </w:tcPr>
          <w:p>
            <w:pPr>
              <w:widowControl/>
              <w:jc w:val="left"/>
              <w:rPr>
                <w:rFonts w:hint="eastAsia" w:ascii="宋体" w:hAnsi="宋体" w:eastAsia="宋体" w:cs="宋体"/>
                <w:color w:val="auto"/>
                <w:kern w:val="0"/>
                <w:szCs w:val="21"/>
              </w:rPr>
            </w:pPr>
          </w:p>
        </w:tc>
        <w:tc>
          <w:tcPr>
            <w:tcW w:w="851" w:type="dxa"/>
            <w:tcBorders>
              <w:top w:val="single" w:color="auto" w:sz="4" w:space="0"/>
              <w:left w:val="single" w:color="auto" w:sz="4" w:space="0"/>
              <w:bottom w:val="single" w:color="auto" w:sz="4" w:space="0"/>
              <w:right w:val="single" w:color="auto" w:sz="4" w:space="0"/>
            </w:tcBorders>
          </w:tcPr>
          <w:p>
            <w:pPr>
              <w:widowControl/>
              <w:jc w:val="left"/>
              <w:rPr>
                <w:rFonts w:hint="eastAsia" w:ascii="宋体" w:hAnsi="宋体" w:eastAsia="宋体" w:cs="宋体"/>
                <w:b/>
                <w:bCs/>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567" w:type="dxa"/>
            <w:vMerge w:val="continue"/>
            <w:tcBorders>
              <w:left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1136" w:type="dxa"/>
            <w:vMerge w:val="continue"/>
            <w:tcBorders>
              <w:left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844"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hAnsi="宋体" w:eastAsia="宋体" w:cs="宋体"/>
                <w:color w:val="auto"/>
                <w:kern w:val="0"/>
                <w:szCs w:val="21"/>
              </w:rPr>
            </w:pPr>
            <w:r>
              <w:rPr>
                <w:rFonts w:hint="eastAsia" w:ascii="宋体" w:hAnsi="宋体" w:eastAsia="宋体" w:cs="宋体"/>
                <w:color w:val="auto"/>
                <w:kern w:val="0"/>
                <w:szCs w:val="21"/>
              </w:rPr>
              <w:t>装置名称2</w:t>
            </w:r>
          </w:p>
        </w:tc>
        <w:tc>
          <w:tcPr>
            <w:tcW w:w="21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3402" w:type="dxa"/>
            <w:tcBorders>
              <w:top w:val="single" w:color="auto" w:sz="4" w:space="0"/>
              <w:left w:val="single" w:color="auto" w:sz="4" w:space="0"/>
              <w:bottom w:val="single" w:color="auto" w:sz="4" w:space="0"/>
              <w:right w:val="single" w:color="auto" w:sz="4" w:space="0"/>
            </w:tcBorders>
          </w:tcPr>
          <w:p>
            <w:pPr>
              <w:widowControl/>
              <w:jc w:val="left"/>
              <w:rPr>
                <w:rFonts w:hint="eastAsia" w:ascii="宋体" w:hAnsi="宋体" w:eastAsia="宋体" w:cs="宋体"/>
                <w:color w:val="auto"/>
                <w:kern w:val="0"/>
                <w:szCs w:val="21"/>
              </w:rPr>
            </w:pPr>
          </w:p>
        </w:tc>
        <w:tc>
          <w:tcPr>
            <w:tcW w:w="851" w:type="dxa"/>
            <w:tcBorders>
              <w:top w:val="single" w:color="auto" w:sz="4" w:space="0"/>
              <w:left w:val="single" w:color="auto" w:sz="4" w:space="0"/>
              <w:bottom w:val="single" w:color="auto" w:sz="4" w:space="0"/>
              <w:right w:val="single" w:color="auto" w:sz="4" w:space="0"/>
            </w:tcBorders>
          </w:tcPr>
          <w:p>
            <w:pPr>
              <w:widowControl/>
              <w:jc w:val="left"/>
              <w:rPr>
                <w:rFonts w:hint="eastAsia" w:ascii="宋体" w:hAnsi="宋体" w:eastAsia="宋体" w:cs="宋体"/>
                <w:b/>
                <w:bCs/>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567"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1136"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844" w:type="dxa"/>
            <w:tcBorders>
              <w:top w:val="single" w:color="auto" w:sz="4" w:space="0"/>
              <w:left w:val="single" w:color="auto" w:sz="4" w:space="0"/>
              <w:bottom w:val="single" w:color="auto" w:sz="4" w:space="0"/>
              <w:right w:val="single" w:color="auto" w:sz="4" w:space="0"/>
            </w:tcBorders>
            <w:vAlign w:val="center"/>
          </w:tcPr>
          <w:p>
            <w:pPr>
              <w:widowControl/>
              <w:rPr>
                <w:rFonts w:hint="eastAsia" w:ascii="宋体" w:hAnsi="宋体" w:eastAsia="宋体" w:cs="宋体"/>
                <w:color w:val="auto"/>
                <w:kern w:val="0"/>
                <w:szCs w:val="21"/>
              </w:rPr>
            </w:pPr>
            <w:r>
              <w:rPr>
                <w:rFonts w:hint="eastAsia" w:ascii="宋体" w:hAnsi="宋体" w:eastAsia="宋体" w:cs="宋体"/>
                <w:color w:val="auto"/>
                <w:kern w:val="0"/>
                <w:szCs w:val="21"/>
              </w:rPr>
              <w:t>装置名称3</w:t>
            </w:r>
          </w:p>
        </w:tc>
        <w:tc>
          <w:tcPr>
            <w:tcW w:w="21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3402" w:type="dxa"/>
            <w:tcBorders>
              <w:top w:val="single" w:color="auto" w:sz="4" w:space="0"/>
              <w:left w:val="single" w:color="auto" w:sz="4" w:space="0"/>
              <w:bottom w:val="single" w:color="auto" w:sz="4" w:space="0"/>
              <w:right w:val="single" w:color="auto" w:sz="4" w:space="0"/>
            </w:tcBorders>
          </w:tcPr>
          <w:p>
            <w:pPr>
              <w:widowControl/>
              <w:jc w:val="left"/>
              <w:rPr>
                <w:rFonts w:hint="eastAsia" w:ascii="宋体" w:hAnsi="宋体" w:eastAsia="宋体" w:cs="宋体"/>
                <w:color w:val="auto"/>
                <w:kern w:val="0"/>
                <w:szCs w:val="21"/>
              </w:rPr>
            </w:pPr>
          </w:p>
        </w:tc>
        <w:tc>
          <w:tcPr>
            <w:tcW w:w="851" w:type="dxa"/>
            <w:tcBorders>
              <w:top w:val="single" w:color="auto" w:sz="4" w:space="0"/>
              <w:left w:val="single" w:color="auto" w:sz="4" w:space="0"/>
              <w:bottom w:val="single" w:color="auto" w:sz="4" w:space="0"/>
              <w:right w:val="single" w:color="auto" w:sz="4" w:space="0"/>
            </w:tcBorders>
          </w:tcPr>
          <w:p>
            <w:pPr>
              <w:widowControl/>
              <w:jc w:val="left"/>
              <w:rPr>
                <w:rFonts w:hint="eastAsia" w:ascii="宋体" w:hAnsi="宋体" w:eastAsia="宋体" w:cs="宋体"/>
                <w:b/>
                <w:bCs/>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56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14</w:t>
            </w:r>
          </w:p>
        </w:tc>
        <w:tc>
          <w:tcPr>
            <w:tcW w:w="1136"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危险化学品信息</w:t>
            </w:r>
          </w:p>
        </w:tc>
        <w:tc>
          <w:tcPr>
            <w:tcW w:w="844" w:type="dxa"/>
            <w:vMerge w:val="restart"/>
            <w:tcBorders>
              <w:top w:val="single" w:color="auto" w:sz="4" w:space="0"/>
              <w:left w:val="single" w:color="auto" w:sz="4" w:space="0"/>
              <w:bottom w:val="single" w:color="auto" w:sz="4" w:space="0"/>
              <w:right w:val="single" w:color="auto" w:sz="4" w:space="0"/>
            </w:tcBorders>
            <w:vAlign w:val="center"/>
          </w:tcPr>
          <w:p>
            <w:pPr>
              <w:widowControl/>
              <w:rPr>
                <w:rFonts w:hint="eastAsia" w:ascii="宋体" w:hAnsi="宋体" w:eastAsia="宋体" w:cs="宋体"/>
                <w:color w:val="auto"/>
                <w:kern w:val="0"/>
                <w:szCs w:val="21"/>
              </w:rPr>
            </w:pPr>
            <w:r>
              <w:rPr>
                <w:rFonts w:ascii="宋体" w:hAnsi="宋体" w:eastAsia="宋体" w:cs="宋体"/>
                <w:color w:val="auto"/>
                <w:kern w:val="0"/>
                <w:szCs w:val="21"/>
              </w:rPr>
              <w:t>化学品名称1</w:t>
            </w:r>
          </w:p>
        </w:tc>
        <w:tc>
          <w:tcPr>
            <w:tcW w:w="21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属性</w:t>
            </w:r>
          </w:p>
        </w:tc>
        <w:tc>
          <w:tcPr>
            <w:tcW w:w="3402" w:type="dxa"/>
            <w:tcBorders>
              <w:top w:val="single" w:color="auto" w:sz="4" w:space="0"/>
              <w:left w:val="single" w:color="auto" w:sz="4" w:space="0"/>
              <w:bottom w:val="single" w:color="auto" w:sz="4" w:space="0"/>
              <w:right w:val="single" w:color="auto" w:sz="4" w:space="0"/>
            </w:tcBorders>
          </w:tcPr>
          <w:p>
            <w:pPr>
              <w:widowControl/>
              <w:jc w:val="left"/>
              <w:rPr>
                <w:rFonts w:hint="eastAsia" w:ascii="宋体" w:hAnsi="宋体" w:eastAsia="宋体" w:cs="宋体"/>
                <w:color w:val="auto"/>
                <w:kern w:val="0"/>
                <w:szCs w:val="21"/>
              </w:rPr>
            </w:pPr>
            <w:r>
              <w:rPr>
                <w:rFonts w:ascii="宋体" w:hAnsi="宋体" w:eastAsia="宋体" w:cs="宋体"/>
                <w:color w:val="auto"/>
                <w:kern w:val="0"/>
                <w:szCs w:val="21"/>
              </w:rPr>
              <w:t>□产品  □中间产品  □原料 □进口危化品</w:t>
            </w:r>
          </w:p>
        </w:tc>
        <w:tc>
          <w:tcPr>
            <w:tcW w:w="851" w:type="dxa"/>
            <w:tcBorders>
              <w:top w:val="single" w:color="auto" w:sz="4" w:space="0"/>
              <w:left w:val="single" w:color="auto" w:sz="4" w:space="0"/>
              <w:bottom w:val="single" w:color="auto" w:sz="4" w:space="0"/>
              <w:right w:val="single" w:color="auto" w:sz="4" w:space="0"/>
            </w:tcBorders>
          </w:tcPr>
          <w:p>
            <w:pPr>
              <w:widowControl/>
              <w:jc w:val="left"/>
              <w:rPr>
                <w:rFonts w:hint="eastAsia" w:ascii="宋体" w:hAnsi="宋体" w:eastAsia="宋体" w:cs="宋体"/>
                <w:b/>
                <w:bCs/>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c>
          <w:tcPr>
            <w:tcW w:w="113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c>
          <w:tcPr>
            <w:tcW w:w="84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c>
          <w:tcPr>
            <w:tcW w:w="21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四个“是否”</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color w:val="auto"/>
                <w:kern w:val="0"/>
                <w:szCs w:val="21"/>
              </w:rPr>
            </w:pPr>
            <w:r>
              <w:rPr>
                <w:rFonts w:ascii="宋体" w:hAnsi="宋体" w:eastAsia="宋体" w:cs="宋体"/>
                <w:color w:val="auto"/>
                <w:kern w:val="0"/>
                <w:szCs w:val="21"/>
              </w:rPr>
              <w:t>□剧毒  □重点监管  □易制毒  □易制爆</w:t>
            </w:r>
          </w:p>
        </w:tc>
        <w:tc>
          <w:tcPr>
            <w:tcW w:w="85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c>
          <w:tcPr>
            <w:tcW w:w="113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c>
          <w:tcPr>
            <w:tcW w:w="84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c>
          <w:tcPr>
            <w:tcW w:w="21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产能</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c>
          <w:tcPr>
            <w:tcW w:w="113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c>
          <w:tcPr>
            <w:tcW w:w="84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c>
          <w:tcPr>
            <w:tcW w:w="21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最大储存量</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c>
          <w:tcPr>
            <w:tcW w:w="113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c>
          <w:tcPr>
            <w:tcW w:w="84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化学品名称2</w:t>
            </w:r>
          </w:p>
        </w:tc>
        <w:tc>
          <w:tcPr>
            <w:tcW w:w="21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属性</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auto"/>
                <w:kern w:val="0"/>
                <w:szCs w:val="21"/>
              </w:rPr>
            </w:pPr>
            <w:r>
              <w:rPr>
                <w:rFonts w:ascii="宋体" w:hAnsi="宋体" w:eastAsia="宋体" w:cs="宋体"/>
                <w:color w:val="auto"/>
                <w:kern w:val="0"/>
                <w:szCs w:val="21"/>
              </w:rPr>
              <w:t>□产品  □中间产品  □原料 □进口危化品</w:t>
            </w:r>
          </w:p>
        </w:tc>
        <w:tc>
          <w:tcPr>
            <w:tcW w:w="85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113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84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21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四个“是否”</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color w:val="auto"/>
                <w:kern w:val="0"/>
                <w:szCs w:val="21"/>
              </w:rPr>
            </w:pPr>
            <w:r>
              <w:rPr>
                <w:rFonts w:ascii="宋体" w:hAnsi="宋体" w:eastAsia="宋体" w:cs="宋体"/>
                <w:color w:val="auto"/>
                <w:kern w:val="0"/>
                <w:szCs w:val="21"/>
              </w:rPr>
              <w:t>□剧毒  □重点监管  □易制毒  □易制爆</w:t>
            </w:r>
          </w:p>
        </w:tc>
        <w:tc>
          <w:tcPr>
            <w:tcW w:w="85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c>
          <w:tcPr>
            <w:tcW w:w="113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c>
          <w:tcPr>
            <w:tcW w:w="84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c>
          <w:tcPr>
            <w:tcW w:w="2131" w:type="dxa"/>
            <w:tcBorders>
              <w:top w:val="single" w:color="auto" w:sz="4" w:space="0"/>
              <w:left w:val="single" w:color="auto" w:sz="4" w:space="0"/>
              <w:bottom w:val="single" w:color="auto" w:sz="4" w:space="0"/>
              <w:right w:val="single" w:color="auto" w:sz="4" w:space="0"/>
            </w:tcBorders>
            <w:vAlign w:val="center"/>
          </w:tcPr>
          <w:p>
            <w:pPr>
              <w:widowControl/>
              <w:ind w:firstLine="210" w:firstLineChars="100"/>
              <w:jc w:val="center"/>
              <w:rPr>
                <w:rFonts w:hint="eastAsia" w:ascii="宋体" w:hAnsi="宋体" w:eastAsia="宋体" w:cs="宋体"/>
                <w:color w:val="auto"/>
                <w:kern w:val="0"/>
                <w:szCs w:val="21"/>
              </w:rPr>
            </w:pPr>
            <w:r>
              <w:rPr>
                <w:rFonts w:ascii="宋体" w:hAnsi="宋体" w:eastAsia="宋体" w:cs="宋体"/>
                <w:color w:val="auto"/>
                <w:kern w:val="0"/>
                <w:szCs w:val="21"/>
              </w:rPr>
              <w:t>产能</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c>
          <w:tcPr>
            <w:tcW w:w="113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c>
          <w:tcPr>
            <w:tcW w:w="84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c>
          <w:tcPr>
            <w:tcW w:w="21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最大储存量</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113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84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化学品名称3</w:t>
            </w:r>
          </w:p>
        </w:tc>
        <w:tc>
          <w:tcPr>
            <w:tcW w:w="21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属性</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color w:val="auto"/>
                <w:kern w:val="0"/>
                <w:szCs w:val="21"/>
              </w:rPr>
            </w:pPr>
            <w:r>
              <w:rPr>
                <w:rFonts w:ascii="宋体" w:hAnsi="宋体" w:eastAsia="宋体" w:cs="宋体"/>
                <w:color w:val="auto"/>
                <w:kern w:val="0"/>
                <w:szCs w:val="21"/>
              </w:rPr>
              <w:t>□产品 □中间产品  □原料 □进口危化品</w:t>
            </w:r>
          </w:p>
        </w:tc>
        <w:tc>
          <w:tcPr>
            <w:tcW w:w="85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113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844" w:type="dxa"/>
            <w:vMerge w:val="continue"/>
            <w:tcBorders>
              <w:top w:val="single" w:color="auto" w:sz="4" w:space="0"/>
              <w:left w:val="single" w:color="auto" w:sz="4" w:space="0"/>
              <w:bottom w:val="single" w:color="auto" w:sz="4" w:space="0"/>
              <w:right w:val="single" w:color="auto" w:sz="4" w:space="0"/>
            </w:tcBorders>
          </w:tcPr>
          <w:p>
            <w:pPr>
              <w:widowControl/>
              <w:jc w:val="left"/>
              <w:rPr>
                <w:rFonts w:hint="eastAsia" w:ascii="宋体" w:hAnsi="宋体" w:eastAsia="宋体" w:cs="宋体"/>
                <w:color w:val="auto"/>
                <w:kern w:val="0"/>
                <w:szCs w:val="21"/>
              </w:rPr>
            </w:pPr>
          </w:p>
        </w:tc>
        <w:tc>
          <w:tcPr>
            <w:tcW w:w="21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四个“是否”</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color w:val="auto"/>
                <w:kern w:val="0"/>
                <w:szCs w:val="21"/>
              </w:rPr>
            </w:pPr>
            <w:r>
              <w:rPr>
                <w:rFonts w:ascii="宋体" w:hAnsi="宋体" w:eastAsia="宋体" w:cs="宋体"/>
                <w:color w:val="auto"/>
                <w:kern w:val="0"/>
                <w:szCs w:val="21"/>
              </w:rPr>
              <w:t>□剧毒  □重点监管  □易制毒  □易制爆</w:t>
            </w:r>
          </w:p>
        </w:tc>
        <w:tc>
          <w:tcPr>
            <w:tcW w:w="85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113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844" w:type="dxa"/>
            <w:vMerge w:val="continue"/>
            <w:tcBorders>
              <w:top w:val="single" w:color="auto" w:sz="4" w:space="0"/>
              <w:left w:val="single" w:color="auto" w:sz="4" w:space="0"/>
              <w:bottom w:val="single" w:color="auto" w:sz="4" w:space="0"/>
              <w:right w:val="single" w:color="auto" w:sz="4" w:space="0"/>
            </w:tcBorders>
          </w:tcPr>
          <w:p>
            <w:pPr>
              <w:widowControl/>
              <w:jc w:val="left"/>
              <w:rPr>
                <w:rFonts w:hint="eastAsia" w:ascii="宋体" w:hAnsi="宋体" w:eastAsia="宋体" w:cs="宋体"/>
                <w:color w:val="auto"/>
                <w:kern w:val="0"/>
                <w:szCs w:val="21"/>
              </w:rPr>
            </w:pPr>
          </w:p>
        </w:tc>
        <w:tc>
          <w:tcPr>
            <w:tcW w:w="21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产能</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113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844" w:type="dxa"/>
            <w:vMerge w:val="continue"/>
            <w:tcBorders>
              <w:top w:val="single" w:color="auto" w:sz="4" w:space="0"/>
              <w:left w:val="single" w:color="auto" w:sz="4" w:space="0"/>
              <w:bottom w:val="single" w:color="auto" w:sz="4" w:space="0"/>
              <w:right w:val="single" w:color="auto" w:sz="4" w:space="0"/>
            </w:tcBorders>
          </w:tcPr>
          <w:p>
            <w:pPr>
              <w:widowControl/>
              <w:jc w:val="left"/>
              <w:rPr>
                <w:rFonts w:hint="eastAsia" w:ascii="宋体" w:hAnsi="宋体" w:eastAsia="宋体" w:cs="宋体"/>
                <w:color w:val="auto"/>
                <w:kern w:val="0"/>
                <w:szCs w:val="21"/>
              </w:rPr>
            </w:pPr>
          </w:p>
        </w:tc>
        <w:tc>
          <w:tcPr>
            <w:tcW w:w="21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最大储存量</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6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15</w:t>
            </w:r>
          </w:p>
        </w:tc>
        <w:tc>
          <w:tcPr>
            <w:tcW w:w="1136"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重大危险源信息</w:t>
            </w:r>
          </w:p>
        </w:tc>
        <w:tc>
          <w:tcPr>
            <w:tcW w:w="84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重大危险源名称1</w:t>
            </w:r>
          </w:p>
        </w:tc>
        <w:tc>
          <w:tcPr>
            <w:tcW w:w="21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等级</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jc w:val="center"/>
        </w:trPr>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c>
          <w:tcPr>
            <w:tcW w:w="113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c>
          <w:tcPr>
            <w:tcW w:w="84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c>
          <w:tcPr>
            <w:tcW w:w="21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单元内主要装置、设施及生产（储存）规模</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
                <w:bCs/>
                <w:color w:val="auto"/>
                <w:kern w:val="0"/>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113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84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21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位置信息</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auto"/>
                <w:kern w:val="0"/>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113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844"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重大危险源名称2</w:t>
            </w:r>
          </w:p>
        </w:tc>
        <w:tc>
          <w:tcPr>
            <w:tcW w:w="21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等级</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113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844" w:type="dxa"/>
            <w:vMerge w:val="continue"/>
            <w:tcBorders>
              <w:left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21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单元内主要装置、设施及生产（储存）规模</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auto"/>
                <w:kern w:val="0"/>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7"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1136"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844"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p>
        </w:tc>
        <w:tc>
          <w:tcPr>
            <w:tcW w:w="21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位置信息</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auto"/>
                <w:kern w:val="0"/>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7"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16</w:t>
            </w:r>
          </w:p>
        </w:tc>
        <w:tc>
          <w:tcPr>
            <w:tcW w:w="1136"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危险化工工艺信息</w:t>
            </w:r>
          </w:p>
        </w:tc>
        <w:tc>
          <w:tcPr>
            <w:tcW w:w="84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工艺名称1</w:t>
            </w:r>
          </w:p>
        </w:tc>
        <w:tc>
          <w:tcPr>
            <w:tcW w:w="21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工艺流程简要描述</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auto"/>
                <w:kern w:val="0"/>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567" w:type="dxa"/>
            <w:vMerge w:val="continue"/>
            <w:tcBorders>
              <w:left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c>
          <w:tcPr>
            <w:tcW w:w="1136" w:type="dxa"/>
            <w:vMerge w:val="continue"/>
            <w:tcBorders>
              <w:left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c>
          <w:tcPr>
            <w:tcW w:w="84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c>
          <w:tcPr>
            <w:tcW w:w="21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重点监控工艺参数</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auto"/>
                <w:kern w:val="0"/>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7" w:type="dxa"/>
            <w:vMerge w:val="continue"/>
            <w:tcBorders>
              <w:left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c>
          <w:tcPr>
            <w:tcW w:w="1136" w:type="dxa"/>
            <w:vMerge w:val="continue"/>
            <w:tcBorders>
              <w:left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c>
          <w:tcPr>
            <w:tcW w:w="84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c>
          <w:tcPr>
            <w:tcW w:w="21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位置信息</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auto"/>
                <w:kern w:val="0"/>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7" w:type="dxa"/>
            <w:vMerge w:val="continue"/>
            <w:tcBorders>
              <w:left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c>
          <w:tcPr>
            <w:tcW w:w="1136" w:type="dxa"/>
            <w:vMerge w:val="continue"/>
            <w:tcBorders>
              <w:left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c>
          <w:tcPr>
            <w:tcW w:w="844" w:type="dxa"/>
            <w:vMerge w:val="restart"/>
            <w:tcBorders>
              <w:top w:val="single" w:color="auto" w:sz="4" w:space="0"/>
              <w:left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r>
              <w:rPr>
                <w:rFonts w:ascii="宋体" w:hAnsi="宋体" w:eastAsia="宋体" w:cs="宋体"/>
                <w:color w:val="auto"/>
                <w:kern w:val="0"/>
                <w:szCs w:val="21"/>
              </w:rPr>
              <w:t>工艺名称</w:t>
            </w:r>
            <w:r>
              <w:rPr>
                <w:rFonts w:hint="eastAsia" w:ascii="宋体" w:hAnsi="宋体" w:eastAsia="宋体" w:cs="宋体"/>
                <w:color w:val="auto"/>
                <w:kern w:val="0"/>
                <w:szCs w:val="21"/>
              </w:rPr>
              <w:t>2</w:t>
            </w:r>
          </w:p>
        </w:tc>
        <w:tc>
          <w:tcPr>
            <w:tcW w:w="21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工艺流程简要描述</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auto"/>
                <w:kern w:val="0"/>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7" w:type="dxa"/>
            <w:vMerge w:val="continue"/>
            <w:tcBorders>
              <w:left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c>
          <w:tcPr>
            <w:tcW w:w="1136" w:type="dxa"/>
            <w:vMerge w:val="continue"/>
            <w:tcBorders>
              <w:left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c>
          <w:tcPr>
            <w:tcW w:w="844" w:type="dxa"/>
            <w:vMerge w:val="continue"/>
            <w:tcBorders>
              <w:left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c>
          <w:tcPr>
            <w:tcW w:w="21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重点监控工艺参数</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auto"/>
                <w:kern w:val="0"/>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7"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c>
          <w:tcPr>
            <w:tcW w:w="1136"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c>
          <w:tcPr>
            <w:tcW w:w="844"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c>
          <w:tcPr>
            <w:tcW w:w="213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rPr>
            </w:pPr>
            <w:r>
              <w:rPr>
                <w:rFonts w:ascii="宋体" w:hAnsi="宋体" w:eastAsia="宋体" w:cs="宋体"/>
                <w:color w:val="auto"/>
                <w:kern w:val="0"/>
                <w:szCs w:val="21"/>
              </w:rPr>
              <w:t>位置信息</w:t>
            </w:r>
          </w:p>
        </w:tc>
        <w:tc>
          <w:tcPr>
            <w:tcW w:w="3402"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auto"/>
                <w:kern w:val="0"/>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b/>
                <w:bCs/>
                <w:color w:val="auto"/>
                <w:kern w:val="0"/>
                <w:szCs w:val="21"/>
              </w:rPr>
            </w:pPr>
          </w:p>
        </w:tc>
      </w:tr>
    </w:tbl>
    <w:p>
      <w:pPr>
        <w:spacing w:line="360" w:lineRule="auto"/>
        <w:jc w:val="left"/>
        <w:rPr>
          <w:rFonts w:hint="eastAsia" w:ascii="宋体" w:hAnsi="宋体" w:eastAsia="宋体"/>
          <w:color w:val="auto"/>
          <w:sz w:val="28"/>
          <w:szCs w:val="28"/>
        </w:rPr>
      </w:pPr>
      <w:r>
        <w:rPr>
          <w:rFonts w:hint="eastAsia" w:ascii="宋体" w:hAnsi="宋体" w:eastAsia="宋体"/>
          <w:color w:val="auto"/>
          <w:sz w:val="28"/>
          <w:szCs w:val="28"/>
        </w:rPr>
        <w:t>1.1.2企业周边情况</w:t>
      </w:r>
    </w:p>
    <w:p>
      <w:pPr>
        <w:spacing w:line="360" w:lineRule="auto"/>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1.企业周边人员分布情况</w:t>
      </w:r>
    </w:p>
    <w:p>
      <w:pPr>
        <w:spacing w:line="360" w:lineRule="auto"/>
        <w:ind w:firstLine="560" w:firstLineChars="200"/>
        <w:jc w:val="left"/>
        <w:rPr>
          <w:rFonts w:hint="eastAsia" w:ascii="宋体" w:hAnsi="宋体" w:eastAsia="宋体"/>
          <w:color w:val="auto"/>
          <w:sz w:val="28"/>
          <w:szCs w:val="28"/>
        </w:rPr>
      </w:pPr>
      <w:r>
        <w:rPr>
          <w:rFonts w:ascii="宋体" w:hAnsi="宋体" w:eastAsia="宋体"/>
          <w:color w:val="auto"/>
          <w:sz w:val="28"/>
          <w:szCs w:val="28"/>
        </w:rPr>
        <w:t>2.企业周边情况</w:t>
      </w:r>
      <w:r>
        <w:rPr>
          <w:rFonts w:hint="eastAsia" w:ascii="宋体" w:hAnsi="宋体" w:eastAsia="宋体"/>
          <w:color w:val="auto"/>
          <w:sz w:val="28"/>
          <w:szCs w:val="28"/>
        </w:rPr>
        <w:t>（</w:t>
      </w:r>
      <w:r>
        <w:rPr>
          <w:rFonts w:ascii="宋体" w:hAnsi="宋体" w:eastAsia="宋体"/>
          <w:color w:val="auto"/>
          <w:sz w:val="28"/>
          <w:szCs w:val="28"/>
        </w:rPr>
        <w:t>航拍图，企业边界四周情况</w:t>
      </w:r>
      <w:r>
        <w:rPr>
          <w:rFonts w:hint="eastAsia" w:ascii="宋体" w:hAnsi="宋体" w:eastAsia="宋体"/>
          <w:color w:val="auto"/>
          <w:sz w:val="28"/>
          <w:szCs w:val="28"/>
        </w:rPr>
        <w:t>）</w:t>
      </w:r>
    </w:p>
    <w:p>
      <w:pPr>
        <w:spacing w:line="360" w:lineRule="auto"/>
        <w:jc w:val="left"/>
        <w:rPr>
          <w:rFonts w:hint="eastAsia" w:ascii="宋体" w:hAnsi="宋体" w:eastAsia="宋体"/>
          <w:color w:val="auto"/>
          <w:sz w:val="28"/>
          <w:szCs w:val="28"/>
        </w:rPr>
      </w:pPr>
      <w:r>
        <w:rPr>
          <w:rFonts w:ascii="宋体" w:hAnsi="宋体" w:eastAsia="宋体"/>
          <w:color w:val="auto"/>
          <w:sz w:val="28"/>
          <w:szCs w:val="28"/>
        </w:rPr>
        <w:t>1.</w:t>
      </w:r>
      <w:r>
        <w:rPr>
          <w:rFonts w:hint="eastAsia" w:ascii="宋体" w:hAnsi="宋体" w:eastAsia="宋体"/>
          <w:color w:val="auto"/>
          <w:sz w:val="28"/>
          <w:szCs w:val="28"/>
        </w:rPr>
        <w:t>1.</w:t>
      </w:r>
      <w:r>
        <w:rPr>
          <w:rFonts w:ascii="宋体" w:hAnsi="宋体" w:eastAsia="宋体"/>
          <w:color w:val="auto"/>
          <w:sz w:val="28"/>
          <w:szCs w:val="28"/>
        </w:rPr>
        <w:t>3企业生产装置</w:t>
      </w:r>
    </w:p>
    <w:p>
      <w:pPr>
        <w:spacing w:line="360" w:lineRule="auto"/>
        <w:jc w:val="left"/>
        <w:rPr>
          <w:rFonts w:hint="eastAsia" w:ascii="宋体" w:hAnsi="宋体" w:eastAsia="宋体"/>
          <w:color w:val="auto"/>
          <w:sz w:val="28"/>
          <w:szCs w:val="28"/>
        </w:rPr>
      </w:pPr>
      <w:r>
        <w:rPr>
          <w:rFonts w:ascii="宋体" w:hAnsi="宋体" w:eastAsia="宋体"/>
          <w:color w:val="auto"/>
          <w:sz w:val="28"/>
          <w:szCs w:val="28"/>
        </w:rPr>
        <w:t>1.</w:t>
      </w:r>
      <w:r>
        <w:rPr>
          <w:rFonts w:hint="eastAsia" w:ascii="宋体" w:hAnsi="宋体" w:eastAsia="宋体"/>
          <w:color w:val="auto"/>
          <w:sz w:val="28"/>
          <w:szCs w:val="28"/>
        </w:rPr>
        <w:t>1.</w:t>
      </w:r>
      <w:r>
        <w:rPr>
          <w:rFonts w:ascii="宋体" w:hAnsi="宋体" w:eastAsia="宋体"/>
          <w:color w:val="auto"/>
          <w:sz w:val="28"/>
          <w:szCs w:val="28"/>
        </w:rPr>
        <w:t>4原材料和产品涉及的危险化学品</w:t>
      </w:r>
    </w:p>
    <w:p>
      <w:pPr>
        <w:spacing w:line="360" w:lineRule="auto"/>
        <w:jc w:val="left"/>
        <w:rPr>
          <w:rFonts w:hint="eastAsia" w:ascii="宋体" w:hAnsi="宋体" w:eastAsia="宋体"/>
          <w:color w:val="auto"/>
          <w:sz w:val="28"/>
          <w:szCs w:val="28"/>
        </w:rPr>
      </w:pPr>
      <w:r>
        <w:rPr>
          <w:rFonts w:ascii="宋体" w:hAnsi="宋体" w:eastAsia="宋体"/>
          <w:color w:val="auto"/>
          <w:sz w:val="28"/>
          <w:szCs w:val="28"/>
        </w:rPr>
        <w:t>1.</w:t>
      </w:r>
      <w:r>
        <w:rPr>
          <w:rFonts w:hint="eastAsia" w:ascii="宋体" w:hAnsi="宋体" w:eastAsia="宋体"/>
          <w:color w:val="auto"/>
          <w:sz w:val="28"/>
          <w:szCs w:val="28"/>
        </w:rPr>
        <w:t>1.</w:t>
      </w:r>
      <w:r>
        <w:rPr>
          <w:rFonts w:ascii="宋体" w:hAnsi="宋体" w:eastAsia="宋体"/>
          <w:color w:val="auto"/>
          <w:sz w:val="28"/>
          <w:szCs w:val="28"/>
        </w:rPr>
        <w:t>5生产工艺概述</w:t>
      </w:r>
    </w:p>
    <w:p>
      <w:pPr>
        <w:spacing w:line="360" w:lineRule="auto"/>
        <w:jc w:val="left"/>
        <w:rPr>
          <w:rFonts w:hint="eastAsia" w:ascii="宋体" w:hAnsi="宋体" w:eastAsia="宋体"/>
          <w:color w:val="auto"/>
          <w:sz w:val="28"/>
          <w:szCs w:val="28"/>
        </w:rPr>
      </w:pPr>
      <w:r>
        <w:rPr>
          <w:rFonts w:ascii="宋体" w:hAnsi="宋体" w:eastAsia="宋体"/>
          <w:color w:val="auto"/>
          <w:sz w:val="28"/>
          <w:szCs w:val="28"/>
        </w:rPr>
        <w:t>1.</w:t>
      </w:r>
      <w:r>
        <w:rPr>
          <w:rFonts w:hint="eastAsia" w:ascii="宋体" w:hAnsi="宋体" w:eastAsia="宋体"/>
          <w:color w:val="auto"/>
          <w:sz w:val="28"/>
          <w:szCs w:val="28"/>
        </w:rPr>
        <w:t>1.</w:t>
      </w:r>
      <w:r>
        <w:rPr>
          <w:rFonts w:ascii="宋体" w:hAnsi="宋体" w:eastAsia="宋体"/>
          <w:color w:val="auto"/>
          <w:sz w:val="28"/>
          <w:szCs w:val="28"/>
        </w:rPr>
        <w:t>6企业“两重点一重大”情况</w:t>
      </w:r>
    </w:p>
    <w:p>
      <w:pPr>
        <w:spacing w:line="360" w:lineRule="auto"/>
        <w:jc w:val="left"/>
        <w:rPr>
          <w:rFonts w:hint="eastAsia" w:ascii="宋体" w:hAnsi="宋体" w:eastAsia="宋体"/>
          <w:color w:val="auto"/>
          <w:sz w:val="28"/>
          <w:szCs w:val="28"/>
        </w:rPr>
      </w:pPr>
      <w:r>
        <w:rPr>
          <w:rFonts w:hint="eastAsia" w:ascii="宋体" w:hAnsi="宋体" w:eastAsia="宋体"/>
          <w:color w:val="auto"/>
          <w:sz w:val="28"/>
          <w:szCs w:val="28"/>
        </w:rPr>
        <w:t>1.2 诊断目的</w:t>
      </w:r>
    </w:p>
    <w:p>
      <w:pPr>
        <w:spacing w:line="360" w:lineRule="auto"/>
        <w:jc w:val="left"/>
        <w:rPr>
          <w:rFonts w:hint="eastAsia" w:ascii="宋体" w:hAnsi="宋体" w:eastAsia="宋体"/>
          <w:color w:val="auto"/>
          <w:sz w:val="28"/>
          <w:szCs w:val="28"/>
        </w:rPr>
      </w:pPr>
      <w:r>
        <w:rPr>
          <w:rFonts w:hint="eastAsia" w:ascii="宋体" w:hAnsi="宋体" w:eastAsia="宋体"/>
          <w:color w:val="auto"/>
          <w:sz w:val="28"/>
          <w:szCs w:val="28"/>
        </w:rPr>
        <w:t>1.3 诊断依据和内容</w:t>
      </w:r>
    </w:p>
    <w:p>
      <w:pPr>
        <w:spacing w:line="360" w:lineRule="auto"/>
        <w:jc w:val="left"/>
        <w:rPr>
          <w:rFonts w:hint="eastAsia" w:ascii="宋体" w:hAnsi="宋体" w:eastAsia="宋体"/>
          <w:color w:val="auto"/>
          <w:sz w:val="28"/>
          <w:szCs w:val="28"/>
        </w:rPr>
      </w:pPr>
      <w:r>
        <w:rPr>
          <w:rFonts w:ascii="宋体" w:hAnsi="宋体" w:eastAsia="宋体"/>
          <w:color w:val="auto"/>
          <w:sz w:val="28"/>
          <w:szCs w:val="28"/>
        </w:rPr>
        <w:t>1.3</w:t>
      </w:r>
      <w:r>
        <w:rPr>
          <w:rFonts w:hint="eastAsia" w:ascii="宋体" w:hAnsi="宋体" w:eastAsia="宋体"/>
          <w:color w:val="auto"/>
          <w:sz w:val="28"/>
          <w:szCs w:val="28"/>
        </w:rPr>
        <w:t>.1诊断依据</w:t>
      </w:r>
    </w:p>
    <w:p>
      <w:pPr>
        <w:spacing w:line="360" w:lineRule="auto"/>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法律、法规、部门规章、规范性文件、技术标准</w:t>
      </w:r>
    </w:p>
    <w:p>
      <w:pPr>
        <w:spacing w:line="360" w:lineRule="auto"/>
        <w:jc w:val="left"/>
        <w:rPr>
          <w:rFonts w:hint="eastAsia" w:ascii="宋体" w:hAnsi="宋体" w:eastAsia="宋体"/>
          <w:color w:val="auto"/>
          <w:sz w:val="28"/>
          <w:szCs w:val="28"/>
        </w:rPr>
      </w:pPr>
      <w:r>
        <w:rPr>
          <w:rFonts w:ascii="宋体" w:hAnsi="宋体" w:eastAsia="宋体"/>
          <w:color w:val="auto"/>
          <w:sz w:val="28"/>
          <w:szCs w:val="28"/>
        </w:rPr>
        <w:t>1.3</w:t>
      </w:r>
      <w:r>
        <w:rPr>
          <w:rFonts w:hint="eastAsia" w:ascii="宋体" w:hAnsi="宋体" w:eastAsia="宋体"/>
          <w:color w:val="auto"/>
          <w:sz w:val="28"/>
          <w:szCs w:val="28"/>
        </w:rPr>
        <w:t>.2诊断内容</w:t>
      </w:r>
    </w:p>
    <w:p>
      <w:pPr>
        <w:spacing w:line="360" w:lineRule="auto"/>
        <w:jc w:val="left"/>
        <w:rPr>
          <w:rFonts w:hint="eastAsia" w:ascii="宋体" w:hAnsi="宋体" w:eastAsia="宋体"/>
          <w:color w:val="auto"/>
          <w:sz w:val="28"/>
          <w:szCs w:val="28"/>
        </w:rPr>
      </w:pPr>
      <w:r>
        <w:rPr>
          <w:rFonts w:hint="eastAsia" w:ascii="宋体" w:hAnsi="宋体" w:eastAsia="宋体"/>
          <w:color w:val="auto"/>
          <w:sz w:val="28"/>
          <w:szCs w:val="28"/>
        </w:rPr>
        <w:t>1.4 诊断工作流程</w:t>
      </w:r>
    </w:p>
    <w:p>
      <w:pPr>
        <w:spacing w:line="360" w:lineRule="auto"/>
        <w:jc w:val="left"/>
        <w:rPr>
          <w:rFonts w:hint="eastAsia" w:ascii="宋体" w:hAnsi="宋体" w:eastAsia="宋体"/>
          <w:color w:val="auto"/>
          <w:sz w:val="28"/>
          <w:szCs w:val="28"/>
        </w:rPr>
      </w:pPr>
      <w:r>
        <w:rPr>
          <w:rFonts w:hint="eastAsia" w:ascii="宋体" w:hAnsi="宋体" w:eastAsia="宋体"/>
          <w:color w:val="auto"/>
          <w:sz w:val="28"/>
          <w:szCs w:val="28"/>
        </w:rPr>
        <w:t>1.5诊断组织与实施</w:t>
      </w:r>
    </w:p>
    <w:p>
      <w:pPr>
        <w:spacing w:line="360" w:lineRule="auto"/>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检查时间、检查各专业的专家、检查方式</w:t>
      </w:r>
    </w:p>
    <w:p>
      <w:pPr>
        <w:spacing w:line="360" w:lineRule="auto"/>
        <w:jc w:val="left"/>
        <w:rPr>
          <w:rFonts w:hint="eastAsia" w:ascii="宋体" w:hAnsi="宋体" w:eastAsia="宋体"/>
          <w:color w:val="auto"/>
          <w:sz w:val="28"/>
          <w:szCs w:val="28"/>
        </w:rPr>
      </w:pPr>
      <w:r>
        <w:rPr>
          <w:rFonts w:hint="eastAsia" w:ascii="宋体" w:hAnsi="宋体" w:eastAsia="宋体"/>
          <w:color w:val="auto"/>
          <w:sz w:val="28"/>
          <w:szCs w:val="28"/>
        </w:rPr>
        <w:t>1.6 诊断分级评分</w:t>
      </w:r>
    </w:p>
    <w:p>
      <w:pPr>
        <w:spacing w:line="360" w:lineRule="auto"/>
        <w:ind w:firstLine="560" w:firstLineChars="200"/>
        <w:jc w:val="left"/>
        <w:rPr>
          <w:rFonts w:hint="eastAsia" w:ascii="宋体" w:hAnsi="宋体" w:eastAsia="宋体"/>
          <w:color w:val="auto"/>
          <w:sz w:val="28"/>
          <w:szCs w:val="28"/>
        </w:rPr>
      </w:pPr>
      <w:r>
        <w:rPr>
          <w:rFonts w:ascii="宋体" w:hAnsi="宋体" w:eastAsia="宋体"/>
          <w:color w:val="auto"/>
          <w:sz w:val="28"/>
          <w:szCs w:val="28"/>
        </w:rPr>
        <w:t>安全诊断分级综合评分</w:t>
      </w:r>
    </w:p>
    <w:p>
      <w:pPr>
        <w:spacing w:line="360" w:lineRule="auto"/>
        <w:jc w:val="left"/>
        <w:rPr>
          <w:rFonts w:hint="eastAsia" w:ascii="宋体" w:hAnsi="宋体" w:eastAsia="宋体"/>
          <w:color w:val="auto"/>
          <w:sz w:val="28"/>
          <w:szCs w:val="28"/>
        </w:rPr>
      </w:pPr>
      <w:r>
        <w:rPr>
          <w:rFonts w:hint="eastAsia" w:ascii="宋体" w:hAnsi="宋体" w:eastAsia="宋体"/>
          <w:color w:val="auto"/>
          <w:sz w:val="28"/>
          <w:szCs w:val="28"/>
        </w:rPr>
        <w:t>第二章 诊断结果</w:t>
      </w:r>
    </w:p>
    <w:p>
      <w:pPr>
        <w:spacing w:line="360" w:lineRule="auto"/>
        <w:jc w:val="left"/>
        <w:rPr>
          <w:rFonts w:hint="eastAsia" w:ascii="宋体" w:hAnsi="宋体" w:eastAsia="宋体"/>
          <w:color w:val="auto"/>
          <w:sz w:val="28"/>
          <w:szCs w:val="28"/>
        </w:rPr>
      </w:pPr>
      <w:r>
        <w:rPr>
          <w:rFonts w:hint="eastAsia" w:ascii="宋体" w:hAnsi="宋体" w:eastAsia="宋体"/>
          <w:color w:val="auto"/>
          <w:sz w:val="28"/>
          <w:szCs w:val="28"/>
        </w:rPr>
        <w:t>2.1 设计与总图专业</w:t>
      </w:r>
    </w:p>
    <w:p>
      <w:pPr>
        <w:spacing w:line="360" w:lineRule="auto"/>
        <w:jc w:val="left"/>
        <w:rPr>
          <w:rFonts w:hint="eastAsia" w:ascii="宋体" w:hAnsi="宋体" w:eastAsia="宋体"/>
          <w:color w:val="auto"/>
          <w:sz w:val="28"/>
          <w:szCs w:val="28"/>
        </w:rPr>
      </w:pPr>
      <w:r>
        <w:rPr>
          <w:rFonts w:hint="eastAsia" w:ascii="宋体" w:hAnsi="宋体" w:eastAsia="宋体"/>
          <w:color w:val="auto"/>
          <w:sz w:val="28"/>
          <w:szCs w:val="28"/>
        </w:rPr>
        <w:t>2.1.1 要素简介</w:t>
      </w:r>
    </w:p>
    <w:p>
      <w:pPr>
        <w:spacing w:line="360" w:lineRule="auto"/>
        <w:jc w:val="left"/>
        <w:rPr>
          <w:rFonts w:hint="eastAsia" w:ascii="宋体" w:hAnsi="宋体" w:eastAsia="宋体"/>
          <w:color w:val="auto"/>
          <w:sz w:val="28"/>
          <w:szCs w:val="28"/>
        </w:rPr>
      </w:pPr>
      <w:r>
        <w:rPr>
          <w:rFonts w:hint="eastAsia" w:ascii="宋体" w:hAnsi="宋体" w:eastAsia="宋体"/>
          <w:color w:val="auto"/>
          <w:sz w:val="28"/>
          <w:szCs w:val="28"/>
        </w:rPr>
        <w:t>2.1.2 诊断现状</w:t>
      </w:r>
    </w:p>
    <w:p>
      <w:pPr>
        <w:spacing w:line="360" w:lineRule="auto"/>
        <w:jc w:val="left"/>
        <w:rPr>
          <w:rFonts w:hint="eastAsia" w:ascii="宋体" w:hAnsi="宋体" w:eastAsia="宋体"/>
          <w:color w:val="auto"/>
          <w:sz w:val="28"/>
          <w:szCs w:val="28"/>
        </w:rPr>
      </w:pPr>
      <w:r>
        <w:rPr>
          <w:rFonts w:hint="eastAsia" w:ascii="宋体" w:hAnsi="宋体" w:eastAsia="宋体"/>
          <w:color w:val="auto"/>
          <w:sz w:val="28"/>
          <w:szCs w:val="28"/>
        </w:rPr>
        <w:t>2.1.3 诊断发现项</w:t>
      </w:r>
    </w:p>
    <w:p>
      <w:pPr>
        <w:spacing w:line="360" w:lineRule="auto"/>
        <w:jc w:val="left"/>
        <w:rPr>
          <w:rFonts w:hint="eastAsia" w:ascii="宋体" w:hAnsi="宋体" w:eastAsia="宋体"/>
          <w:color w:val="auto"/>
          <w:sz w:val="28"/>
          <w:szCs w:val="28"/>
        </w:rPr>
      </w:pPr>
      <w:r>
        <w:rPr>
          <w:rFonts w:hint="eastAsia" w:ascii="宋体" w:hAnsi="宋体" w:eastAsia="宋体"/>
          <w:color w:val="auto"/>
          <w:sz w:val="28"/>
          <w:szCs w:val="28"/>
        </w:rPr>
        <w:t>2.1.4 综合评分及小结</w:t>
      </w:r>
    </w:p>
    <w:p>
      <w:pPr>
        <w:spacing w:line="360" w:lineRule="auto"/>
        <w:jc w:val="left"/>
        <w:rPr>
          <w:rFonts w:hint="eastAsia" w:ascii="宋体" w:hAnsi="宋体" w:eastAsia="宋体"/>
          <w:color w:val="auto"/>
          <w:sz w:val="28"/>
          <w:szCs w:val="28"/>
        </w:rPr>
      </w:pPr>
      <w:r>
        <w:rPr>
          <w:rFonts w:hint="eastAsia" w:ascii="宋体" w:hAnsi="宋体" w:eastAsia="宋体"/>
          <w:color w:val="auto"/>
          <w:sz w:val="28"/>
          <w:szCs w:val="28"/>
        </w:rPr>
        <w:t>2.1.5 整改及提升建议</w:t>
      </w:r>
    </w:p>
    <w:p>
      <w:pPr>
        <w:spacing w:line="360" w:lineRule="auto"/>
        <w:jc w:val="left"/>
        <w:rPr>
          <w:rFonts w:hint="eastAsia" w:ascii="宋体" w:hAnsi="宋体" w:eastAsia="宋体"/>
          <w:color w:val="auto"/>
          <w:sz w:val="28"/>
          <w:szCs w:val="28"/>
        </w:rPr>
      </w:pPr>
      <w:r>
        <w:rPr>
          <w:rFonts w:hint="eastAsia" w:ascii="宋体" w:hAnsi="宋体" w:eastAsia="宋体"/>
          <w:color w:val="auto"/>
          <w:sz w:val="28"/>
          <w:szCs w:val="28"/>
        </w:rPr>
        <w:t>2.2 工艺专业</w:t>
      </w:r>
    </w:p>
    <w:p>
      <w:pPr>
        <w:spacing w:line="360" w:lineRule="auto"/>
        <w:ind w:firstLine="560" w:firstLineChars="200"/>
        <w:jc w:val="left"/>
        <w:rPr>
          <w:rFonts w:hint="eastAsia" w:ascii="宋体" w:hAnsi="宋体" w:eastAsia="宋体"/>
          <w:color w:val="auto"/>
          <w:sz w:val="28"/>
          <w:szCs w:val="28"/>
        </w:rPr>
      </w:pPr>
      <w:r>
        <w:rPr>
          <w:rFonts w:hint="eastAsia" w:ascii="宋体" w:hAnsi="宋体" w:eastAsia="宋体"/>
          <w:color w:val="auto"/>
          <w:sz w:val="28"/>
          <w:szCs w:val="28"/>
        </w:rPr>
        <w:t>内容与设计专业一样，以下专业都是</w:t>
      </w:r>
    </w:p>
    <w:p>
      <w:pPr>
        <w:spacing w:line="360" w:lineRule="auto"/>
        <w:jc w:val="left"/>
        <w:rPr>
          <w:rFonts w:hint="eastAsia" w:ascii="宋体" w:hAnsi="宋体" w:eastAsia="宋体"/>
          <w:color w:val="auto"/>
          <w:sz w:val="28"/>
          <w:szCs w:val="28"/>
        </w:rPr>
      </w:pPr>
      <w:r>
        <w:rPr>
          <w:rFonts w:hint="eastAsia" w:ascii="宋体" w:hAnsi="宋体" w:eastAsia="宋体"/>
          <w:color w:val="auto"/>
          <w:sz w:val="28"/>
          <w:szCs w:val="28"/>
        </w:rPr>
        <w:t>2.3 设备专业</w:t>
      </w:r>
    </w:p>
    <w:p>
      <w:pPr>
        <w:spacing w:line="360" w:lineRule="auto"/>
        <w:jc w:val="left"/>
        <w:rPr>
          <w:rFonts w:hint="eastAsia" w:ascii="宋体" w:hAnsi="宋体" w:eastAsia="宋体"/>
          <w:color w:val="auto"/>
          <w:sz w:val="28"/>
          <w:szCs w:val="28"/>
        </w:rPr>
      </w:pPr>
      <w:r>
        <w:rPr>
          <w:rFonts w:hint="eastAsia" w:ascii="宋体" w:hAnsi="宋体" w:eastAsia="宋体"/>
          <w:color w:val="auto"/>
          <w:sz w:val="28"/>
          <w:szCs w:val="28"/>
        </w:rPr>
        <w:t>2.4 电仪专业</w:t>
      </w:r>
    </w:p>
    <w:p>
      <w:pPr>
        <w:spacing w:line="360" w:lineRule="auto"/>
        <w:jc w:val="left"/>
        <w:rPr>
          <w:rFonts w:hint="eastAsia" w:ascii="宋体" w:hAnsi="宋体" w:eastAsia="宋体"/>
          <w:color w:val="auto"/>
          <w:sz w:val="28"/>
          <w:szCs w:val="28"/>
        </w:rPr>
      </w:pPr>
      <w:r>
        <w:rPr>
          <w:rFonts w:hint="eastAsia" w:ascii="宋体" w:hAnsi="宋体" w:eastAsia="宋体"/>
          <w:color w:val="auto"/>
          <w:sz w:val="28"/>
          <w:szCs w:val="28"/>
        </w:rPr>
        <w:t>2.5 安全基础管理专业</w:t>
      </w:r>
    </w:p>
    <w:p>
      <w:pPr>
        <w:spacing w:line="360" w:lineRule="auto"/>
        <w:jc w:val="left"/>
        <w:rPr>
          <w:rFonts w:hint="eastAsia" w:ascii="宋体" w:hAnsi="宋体" w:eastAsia="宋体"/>
          <w:color w:val="auto"/>
          <w:sz w:val="28"/>
          <w:szCs w:val="28"/>
        </w:rPr>
      </w:pPr>
      <w:r>
        <w:rPr>
          <w:rFonts w:hint="eastAsia" w:ascii="宋体" w:hAnsi="宋体" w:eastAsia="宋体"/>
          <w:color w:val="auto"/>
          <w:sz w:val="28"/>
          <w:szCs w:val="28"/>
        </w:rPr>
        <w:t>2.6 专项检查</w:t>
      </w:r>
    </w:p>
    <w:p>
      <w:pPr>
        <w:spacing w:line="360" w:lineRule="auto"/>
        <w:jc w:val="left"/>
        <w:rPr>
          <w:rFonts w:hint="eastAsia" w:ascii="宋体" w:hAnsi="宋体" w:eastAsia="宋体"/>
          <w:color w:val="auto"/>
          <w:sz w:val="28"/>
          <w:szCs w:val="28"/>
        </w:rPr>
      </w:pPr>
      <w:r>
        <w:rPr>
          <w:rFonts w:hint="eastAsia" w:ascii="宋体" w:hAnsi="宋体" w:eastAsia="宋体"/>
          <w:color w:val="auto"/>
          <w:sz w:val="28"/>
          <w:szCs w:val="28"/>
        </w:rPr>
        <w:t>2.6.1专项说明</w:t>
      </w:r>
    </w:p>
    <w:p>
      <w:pPr>
        <w:spacing w:line="360" w:lineRule="auto"/>
        <w:jc w:val="left"/>
        <w:rPr>
          <w:rFonts w:hint="eastAsia" w:ascii="宋体" w:hAnsi="宋体" w:eastAsia="宋体"/>
          <w:color w:val="auto"/>
          <w:sz w:val="28"/>
          <w:szCs w:val="28"/>
        </w:rPr>
      </w:pPr>
      <w:r>
        <w:rPr>
          <w:rFonts w:hint="eastAsia" w:ascii="宋体" w:hAnsi="宋体" w:eastAsia="宋体"/>
          <w:color w:val="auto"/>
          <w:sz w:val="28"/>
          <w:szCs w:val="28"/>
        </w:rPr>
        <w:t>2.6.2诊断现状</w:t>
      </w:r>
    </w:p>
    <w:p>
      <w:pPr>
        <w:spacing w:line="360" w:lineRule="auto"/>
        <w:jc w:val="left"/>
        <w:rPr>
          <w:rFonts w:hint="eastAsia" w:ascii="宋体" w:hAnsi="宋体" w:eastAsia="宋体"/>
          <w:color w:val="auto"/>
          <w:sz w:val="28"/>
          <w:szCs w:val="28"/>
        </w:rPr>
      </w:pPr>
      <w:r>
        <w:rPr>
          <w:rFonts w:hint="eastAsia" w:ascii="宋体" w:hAnsi="宋体" w:eastAsia="宋体"/>
          <w:color w:val="auto"/>
          <w:sz w:val="28"/>
          <w:szCs w:val="28"/>
        </w:rPr>
        <w:t>2.6.3 诊断发现项</w:t>
      </w:r>
    </w:p>
    <w:p>
      <w:pPr>
        <w:spacing w:line="360" w:lineRule="auto"/>
        <w:jc w:val="left"/>
        <w:rPr>
          <w:rFonts w:hint="eastAsia" w:ascii="宋体" w:hAnsi="宋体" w:eastAsia="宋体"/>
          <w:color w:val="auto"/>
          <w:sz w:val="28"/>
          <w:szCs w:val="28"/>
        </w:rPr>
      </w:pPr>
      <w:r>
        <w:rPr>
          <w:rFonts w:hint="eastAsia" w:ascii="宋体" w:hAnsi="宋体" w:eastAsia="宋体"/>
          <w:color w:val="auto"/>
          <w:sz w:val="28"/>
          <w:szCs w:val="28"/>
        </w:rPr>
        <w:t>2.6.4 综合评分及小结</w:t>
      </w:r>
    </w:p>
    <w:p>
      <w:pPr>
        <w:spacing w:line="360" w:lineRule="auto"/>
        <w:jc w:val="left"/>
        <w:rPr>
          <w:rFonts w:hint="eastAsia" w:ascii="宋体" w:hAnsi="宋体" w:eastAsia="宋体"/>
          <w:color w:val="auto"/>
          <w:sz w:val="28"/>
          <w:szCs w:val="28"/>
        </w:rPr>
      </w:pPr>
      <w:r>
        <w:rPr>
          <w:rFonts w:hint="eastAsia" w:ascii="宋体" w:hAnsi="宋体" w:eastAsia="宋体"/>
          <w:color w:val="auto"/>
          <w:sz w:val="28"/>
          <w:szCs w:val="28"/>
        </w:rPr>
        <w:t>2.6.5 整改及提升建议</w:t>
      </w:r>
    </w:p>
    <w:p>
      <w:pPr>
        <w:spacing w:line="360" w:lineRule="auto"/>
        <w:jc w:val="left"/>
        <w:rPr>
          <w:rFonts w:hint="eastAsia" w:ascii="宋体" w:hAnsi="宋体" w:eastAsia="宋体"/>
          <w:color w:val="auto"/>
          <w:sz w:val="28"/>
          <w:szCs w:val="28"/>
        </w:rPr>
      </w:pPr>
      <w:r>
        <w:rPr>
          <w:rFonts w:hint="eastAsia" w:ascii="宋体" w:hAnsi="宋体" w:eastAsia="宋体"/>
          <w:color w:val="auto"/>
          <w:sz w:val="28"/>
          <w:szCs w:val="28"/>
        </w:rPr>
        <w:t>第三章 诊断结论</w:t>
      </w:r>
    </w:p>
    <w:p>
      <w:pPr>
        <w:spacing w:line="360" w:lineRule="auto"/>
        <w:ind w:firstLine="560" w:firstLineChars="200"/>
        <w:jc w:val="left"/>
        <w:rPr>
          <w:rFonts w:hint="eastAsia" w:ascii="宋体" w:hAnsi="宋体" w:eastAsia="宋体"/>
          <w:color w:val="auto"/>
          <w:sz w:val="28"/>
          <w:szCs w:val="28"/>
        </w:rPr>
      </w:pPr>
      <w:r>
        <w:rPr>
          <w:rFonts w:ascii="宋体" w:hAnsi="宋体" w:eastAsia="宋体"/>
          <w:color w:val="auto"/>
          <w:sz w:val="28"/>
          <w:szCs w:val="28"/>
        </w:rPr>
        <w:t>安全诊断分级综合评分</w:t>
      </w:r>
      <w:r>
        <w:rPr>
          <w:rFonts w:hint="eastAsia" w:ascii="宋体" w:hAnsi="宋体" w:eastAsia="宋体"/>
          <w:color w:val="auto"/>
          <w:sz w:val="28"/>
          <w:szCs w:val="28"/>
        </w:rPr>
        <w:t>，企业安全诊断现状总结、下一步安全提升工作建议。</w:t>
      </w:r>
    </w:p>
    <w:p>
      <w:pPr>
        <w:spacing w:line="360" w:lineRule="auto"/>
        <w:jc w:val="left"/>
        <w:rPr>
          <w:rFonts w:hint="eastAsia" w:ascii="宋体" w:hAnsi="宋体" w:eastAsia="宋体"/>
          <w:color w:val="auto"/>
          <w:sz w:val="28"/>
          <w:szCs w:val="28"/>
        </w:rPr>
      </w:pPr>
      <w:r>
        <w:rPr>
          <w:rFonts w:hint="eastAsia" w:ascii="宋体" w:hAnsi="宋体" w:eastAsia="宋体"/>
          <w:color w:val="auto"/>
          <w:sz w:val="28"/>
          <w:szCs w:val="28"/>
        </w:rPr>
        <w:t>附件：诊断问题清单、隐患详情等</w:t>
      </w:r>
    </w:p>
    <w:sectPr>
      <w:pgSz w:w="11906" w:h="16838"/>
      <w:pgMar w:top="1134" w:right="1134" w:bottom="1134"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文泉驿正黑">
    <w:panose1 w:val="02000603000000000000"/>
    <w:charset w:val="86"/>
    <w:family w:val="auto"/>
    <w:pitch w:val="default"/>
    <w:sig w:usb0="900002BF" w:usb1="2BDF7DFB" w:usb2="00000036" w:usb3="00000000" w:csb0="603E000D" w:csb1="D2D70000"/>
  </w:font>
  <w:font w:name="华文中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89146762"/>
      <w:docPartObj>
        <w:docPartGallery w:val="autotext"/>
      </w:docPartObj>
    </w:sdtPr>
    <w:sdtContent>
      <w:p>
        <w:pPr>
          <w:pStyle w:val="13"/>
          <w:jc w:val="center"/>
          <w:rPr>
            <w:rFonts w:hint="eastAsia"/>
          </w:rPr>
        </w:pPr>
        <w:r>
          <w:fldChar w:fldCharType="begin"/>
        </w:r>
        <w:r>
          <w:instrText xml:space="preserve">PAGE   \* MERGEFORMAT</w:instrText>
        </w:r>
        <w:r>
          <w:fldChar w:fldCharType="separate"/>
        </w:r>
        <w:r>
          <w:rPr>
            <w:lang w:val="zh-CN"/>
          </w:rPr>
          <w:t>2</w:t>
        </w:r>
        <w:r>
          <w:fldChar w:fldCharType="end"/>
        </w:r>
      </w:p>
    </w:sdtContent>
  </w:sdt>
  <w:p>
    <w:pPr>
      <w:pStyle w:val="13"/>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5B5DDF"/>
    <w:multiLevelType w:val="multilevel"/>
    <w:tmpl w:val="3B5B5DDF"/>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E50"/>
    <w:rsid w:val="000019A8"/>
    <w:rsid w:val="00001B8A"/>
    <w:rsid w:val="00007068"/>
    <w:rsid w:val="00026274"/>
    <w:rsid w:val="00036ABE"/>
    <w:rsid w:val="00040974"/>
    <w:rsid w:val="00046DC0"/>
    <w:rsid w:val="00056E12"/>
    <w:rsid w:val="0005710B"/>
    <w:rsid w:val="000625F6"/>
    <w:rsid w:val="0007207D"/>
    <w:rsid w:val="00072FE0"/>
    <w:rsid w:val="00087B53"/>
    <w:rsid w:val="00093127"/>
    <w:rsid w:val="000A196E"/>
    <w:rsid w:val="000A23C3"/>
    <w:rsid w:val="000A242B"/>
    <w:rsid w:val="000A2652"/>
    <w:rsid w:val="000D6AEA"/>
    <w:rsid w:val="000F39E5"/>
    <w:rsid w:val="000F486D"/>
    <w:rsid w:val="000F4CB0"/>
    <w:rsid w:val="00102827"/>
    <w:rsid w:val="00103CC6"/>
    <w:rsid w:val="00107C00"/>
    <w:rsid w:val="00114E38"/>
    <w:rsid w:val="00123DFA"/>
    <w:rsid w:val="00126CB7"/>
    <w:rsid w:val="001324EB"/>
    <w:rsid w:val="00150E57"/>
    <w:rsid w:val="00171AF4"/>
    <w:rsid w:val="001747C1"/>
    <w:rsid w:val="00175D00"/>
    <w:rsid w:val="001816A1"/>
    <w:rsid w:val="00194BD3"/>
    <w:rsid w:val="00197898"/>
    <w:rsid w:val="001A0E76"/>
    <w:rsid w:val="001A57E5"/>
    <w:rsid w:val="001B49EB"/>
    <w:rsid w:val="001D539E"/>
    <w:rsid w:val="001E7FAF"/>
    <w:rsid w:val="001F1641"/>
    <w:rsid w:val="001F74E9"/>
    <w:rsid w:val="002132D0"/>
    <w:rsid w:val="00220CD6"/>
    <w:rsid w:val="0024621D"/>
    <w:rsid w:val="00263E50"/>
    <w:rsid w:val="00266E8A"/>
    <w:rsid w:val="00276F99"/>
    <w:rsid w:val="00283681"/>
    <w:rsid w:val="002847E0"/>
    <w:rsid w:val="00293191"/>
    <w:rsid w:val="002A2B93"/>
    <w:rsid w:val="002C2857"/>
    <w:rsid w:val="002C4B0E"/>
    <w:rsid w:val="002D685F"/>
    <w:rsid w:val="002F2312"/>
    <w:rsid w:val="00311290"/>
    <w:rsid w:val="003230B7"/>
    <w:rsid w:val="0032722B"/>
    <w:rsid w:val="0033493E"/>
    <w:rsid w:val="00336BDB"/>
    <w:rsid w:val="003438B1"/>
    <w:rsid w:val="003461A3"/>
    <w:rsid w:val="003529EB"/>
    <w:rsid w:val="0035303F"/>
    <w:rsid w:val="003579F8"/>
    <w:rsid w:val="00373D92"/>
    <w:rsid w:val="00375775"/>
    <w:rsid w:val="003A2F4B"/>
    <w:rsid w:val="003B36E2"/>
    <w:rsid w:val="003D292E"/>
    <w:rsid w:val="003D6A2A"/>
    <w:rsid w:val="003E74CE"/>
    <w:rsid w:val="003F2912"/>
    <w:rsid w:val="004034E5"/>
    <w:rsid w:val="004177A7"/>
    <w:rsid w:val="004516AC"/>
    <w:rsid w:val="004625BD"/>
    <w:rsid w:val="004655DC"/>
    <w:rsid w:val="004703EE"/>
    <w:rsid w:val="00485C08"/>
    <w:rsid w:val="00494765"/>
    <w:rsid w:val="004D2333"/>
    <w:rsid w:val="004D3A8F"/>
    <w:rsid w:val="004D7ABF"/>
    <w:rsid w:val="004E7F02"/>
    <w:rsid w:val="004F126C"/>
    <w:rsid w:val="004F1BDD"/>
    <w:rsid w:val="00505DA0"/>
    <w:rsid w:val="0051687C"/>
    <w:rsid w:val="00522869"/>
    <w:rsid w:val="0053002C"/>
    <w:rsid w:val="00542546"/>
    <w:rsid w:val="0054617D"/>
    <w:rsid w:val="0055059B"/>
    <w:rsid w:val="00554C30"/>
    <w:rsid w:val="00571CE8"/>
    <w:rsid w:val="005847D1"/>
    <w:rsid w:val="00594707"/>
    <w:rsid w:val="005A4DA0"/>
    <w:rsid w:val="005B4D46"/>
    <w:rsid w:val="005B551A"/>
    <w:rsid w:val="005B7665"/>
    <w:rsid w:val="005C424F"/>
    <w:rsid w:val="005D1C02"/>
    <w:rsid w:val="005E4BA3"/>
    <w:rsid w:val="005F08A9"/>
    <w:rsid w:val="005F6854"/>
    <w:rsid w:val="00603499"/>
    <w:rsid w:val="006103F3"/>
    <w:rsid w:val="00616C2B"/>
    <w:rsid w:val="00622333"/>
    <w:rsid w:val="0064082A"/>
    <w:rsid w:val="00655B6F"/>
    <w:rsid w:val="00657964"/>
    <w:rsid w:val="00664D3D"/>
    <w:rsid w:val="00676771"/>
    <w:rsid w:val="00681C2D"/>
    <w:rsid w:val="00690DF1"/>
    <w:rsid w:val="006933DC"/>
    <w:rsid w:val="006937CE"/>
    <w:rsid w:val="006A1D81"/>
    <w:rsid w:val="006A7651"/>
    <w:rsid w:val="006C4AC9"/>
    <w:rsid w:val="006E70F9"/>
    <w:rsid w:val="006F279C"/>
    <w:rsid w:val="006F5085"/>
    <w:rsid w:val="00714DA8"/>
    <w:rsid w:val="00714EC7"/>
    <w:rsid w:val="00735986"/>
    <w:rsid w:val="007512D5"/>
    <w:rsid w:val="00751F57"/>
    <w:rsid w:val="00756AAF"/>
    <w:rsid w:val="00762FEE"/>
    <w:rsid w:val="0077579A"/>
    <w:rsid w:val="007816D6"/>
    <w:rsid w:val="0078452A"/>
    <w:rsid w:val="00784812"/>
    <w:rsid w:val="00787462"/>
    <w:rsid w:val="00790C76"/>
    <w:rsid w:val="007B4A87"/>
    <w:rsid w:val="007B7C42"/>
    <w:rsid w:val="007C5881"/>
    <w:rsid w:val="007D1077"/>
    <w:rsid w:val="007E38B0"/>
    <w:rsid w:val="007E6220"/>
    <w:rsid w:val="007E76E2"/>
    <w:rsid w:val="0080335F"/>
    <w:rsid w:val="008058AD"/>
    <w:rsid w:val="00811490"/>
    <w:rsid w:val="00817384"/>
    <w:rsid w:val="0082040D"/>
    <w:rsid w:val="00831EFE"/>
    <w:rsid w:val="00850A02"/>
    <w:rsid w:val="00884709"/>
    <w:rsid w:val="008A5C51"/>
    <w:rsid w:val="008B166B"/>
    <w:rsid w:val="008C2F7E"/>
    <w:rsid w:val="008E37D9"/>
    <w:rsid w:val="008F00C9"/>
    <w:rsid w:val="008F4938"/>
    <w:rsid w:val="008F4B0B"/>
    <w:rsid w:val="008F5D15"/>
    <w:rsid w:val="0092009C"/>
    <w:rsid w:val="0092685C"/>
    <w:rsid w:val="00940B5E"/>
    <w:rsid w:val="009525BF"/>
    <w:rsid w:val="009576B5"/>
    <w:rsid w:val="009603F7"/>
    <w:rsid w:val="00963B5D"/>
    <w:rsid w:val="00966E6E"/>
    <w:rsid w:val="00971072"/>
    <w:rsid w:val="00975051"/>
    <w:rsid w:val="00977812"/>
    <w:rsid w:val="009855D9"/>
    <w:rsid w:val="009933E5"/>
    <w:rsid w:val="009961E1"/>
    <w:rsid w:val="009A141E"/>
    <w:rsid w:val="009B1DC8"/>
    <w:rsid w:val="009C2290"/>
    <w:rsid w:val="009C53A6"/>
    <w:rsid w:val="009C5CDD"/>
    <w:rsid w:val="009C635D"/>
    <w:rsid w:val="009C6583"/>
    <w:rsid w:val="009D171A"/>
    <w:rsid w:val="009D410C"/>
    <w:rsid w:val="009E09CA"/>
    <w:rsid w:val="009E4DA6"/>
    <w:rsid w:val="009E7DE7"/>
    <w:rsid w:val="00A1259A"/>
    <w:rsid w:val="00A16A55"/>
    <w:rsid w:val="00A30E18"/>
    <w:rsid w:val="00A35F58"/>
    <w:rsid w:val="00A37E08"/>
    <w:rsid w:val="00A50FC5"/>
    <w:rsid w:val="00A527F4"/>
    <w:rsid w:val="00A74851"/>
    <w:rsid w:val="00A80BD5"/>
    <w:rsid w:val="00A835F0"/>
    <w:rsid w:val="00A86AE5"/>
    <w:rsid w:val="00A90B32"/>
    <w:rsid w:val="00A9204E"/>
    <w:rsid w:val="00A932F7"/>
    <w:rsid w:val="00A93C5F"/>
    <w:rsid w:val="00AA1562"/>
    <w:rsid w:val="00AA1C29"/>
    <w:rsid w:val="00AA423E"/>
    <w:rsid w:val="00AC062F"/>
    <w:rsid w:val="00AC1415"/>
    <w:rsid w:val="00AC1B2E"/>
    <w:rsid w:val="00AC5A41"/>
    <w:rsid w:val="00AD3A4C"/>
    <w:rsid w:val="00AD654A"/>
    <w:rsid w:val="00AE2CE2"/>
    <w:rsid w:val="00AF03A3"/>
    <w:rsid w:val="00AF3A4F"/>
    <w:rsid w:val="00B01B06"/>
    <w:rsid w:val="00B24129"/>
    <w:rsid w:val="00B27448"/>
    <w:rsid w:val="00B34249"/>
    <w:rsid w:val="00B34BE7"/>
    <w:rsid w:val="00B4394C"/>
    <w:rsid w:val="00B50E6A"/>
    <w:rsid w:val="00B60416"/>
    <w:rsid w:val="00B60854"/>
    <w:rsid w:val="00B72BA4"/>
    <w:rsid w:val="00B953B1"/>
    <w:rsid w:val="00B95539"/>
    <w:rsid w:val="00BA1F59"/>
    <w:rsid w:val="00BA4AC3"/>
    <w:rsid w:val="00BA5EA3"/>
    <w:rsid w:val="00BC5EA3"/>
    <w:rsid w:val="00BC7F94"/>
    <w:rsid w:val="00BD1ED9"/>
    <w:rsid w:val="00BD2BB0"/>
    <w:rsid w:val="00BE5264"/>
    <w:rsid w:val="00BF2223"/>
    <w:rsid w:val="00BF5349"/>
    <w:rsid w:val="00C14318"/>
    <w:rsid w:val="00C144BD"/>
    <w:rsid w:val="00C147C3"/>
    <w:rsid w:val="00C21E78"/>
    <w:rsid w:val="00C24A1A"/>
    <w:rsid w:val="00C25799"/>
    <w:rsid w:val="00C33F40"/>
    <w:rsid w:val="00C52EC3"/>
    <w:rsid w:val="00C57E16"/>
    <w:rsid w:val="00C6707C"/>
    <w:rsid w:val="00C86148"/>
    <w:rsid w:val="00C93889"/>
    <w:rsid w:val="00C939E4"/>
    <w:rsid w:val="00CA3641"/>
    <w:rsid w:val="00CA38AF"/>
    <w:rsid w:val="00CA45F8"/>
    <w:rsid w:val="00CC1A6D"/>
    <w:rsid w:val="00CD4990"/>
    <w:rsid w:val="00CE4A83"/>
    <w:rsid w:val="00CE766E"/>
    <w:rsid w:val="00D00E18"/>
    <w:rsid w:val="00D03CF5"/>
    <w:rsid w:val="00D054D3"/>
    <w:rsid w:val="00D143BA"/>
    <w:rsid w:val="00D1452F"/>
    <w:rsid w:val="00D1587A"/>
    <w:rsid w:val="00D4392B"/>
    <w:rsid w:val="00D45610"/>
    <w:rsid w:val="00D51A12"/>
    <w:rsid w:val="00D6090B"/>
    <w:rsid w:val="00D744F4"/>
    <w:rsid w:val="00D91E61"/>
    <w:rsid w:val="00DA2C22"/>
    <w:rsid w:val="00DA697B"/>
    <w:rsid w:val="00DA7D0E"/>
    <w:rsid w:val="00DB4E8E"/>
    <w:rsid w:val="00DC0682"/>
    <w:rsid w:val="00DC1B42"/>
    <w:rsid w:val="00DC2951"/>
    <w:rsid w:val="00DC49D5"/>
    <w:rsid w:val="00DE07B0"/>
    <w:rsid w:val="00DE6B40"/>
    <w:rsid w:val="00DE719F"/>
    <w:rsid w:val="00E076F7"/>
    <w:rsid w:val="00E12643"/>
    <w:rsid w:val="00E20053"/>
    <w:rsid w:val="00E21B71"/>
    <w:rsid w:val="00E4036B"/>
    <w:rsid w:val="00E44F25"/>
    <w:rsid w:val="00E527F1"/>
    <w:rsid w:val="00E56B5E"/>
    <w:rsid w:val="00E64FBE"/>
    <w:rsid w:val="00E66284"/>
    <w:rsid w:val="00E719C0"/>
    <w:rsid w:val="00E837AE"/>
    <w:rsid w:val="00E87616"/>
    <w:rsid w:val="00E97B58"/>
    <w:rsid w:val="00EA3764"/>
    <w:rsid w:val="00EA6562"/>
    <w:rsid w:val="00EB7AAE"/>
    <w:rsid w:val="00EC2274"/>
    <w:rsid w:val="00ED100B"/>
    <w:rsid w:val="00EE3F7B"/>
    <w:rsid w:val="00EE4CBB"/>
    <w:rsid w:val="00F13862"/>
    <w:rsid w:val="00F2130D"/>
    <w:rsid w:val="00F30C1B"/>
    <w:rsid w:val="00F3163F"/>
    <w:rsid w:val="00F40B80"/>
    <w:rsid w:val="00F527ED"/>
    <w:rsid w:val="00F561D8"/>
    <w:rsid w:val="00F729D3"/>
    <w:rsid w:val="00F822F8"/>
    <w:rsid w:val="00F8438A"/>
    <w:rsid w:val="00F92731"/>
    <w:rsid w:val="00FA0FE7"/>
    <w:rsid w:val="00FA6ED3"/>
    <w:rsid w:val="00FD4F0E"/>
    <w:rsid w:val="00FD7F24"/>
    <w:rsid w:val="00FE5081"/>
    <w:rsid w:val="00FE55D1"/>
    <w:rsid w:val="00FE74AF"/>
    <w:rsid w:val="00FF10F7"/>
    <w:rsid w:val="00FF6B0C"/>
    <w:rsid w:val="762F930B"/>
    <w:rsid w:val="7BFDFB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5"/>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6"/>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7"/>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8"/>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9"/>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0"/>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1"/>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2"/>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3"/>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6"/>
    <w:semiHidden/>
    <w:unhideWhenUsed/>
    <w:qFormat/>
    <w:uiPriority w:val="99"/>
    <w:pPr>
      <w:jc w:val="left"/>
    </w:pPr>
  </w:style>
  <w:style w:type="paragraph" w:styleId="12">
    <w:name w:val="Balloon Text"/>
    <w:basedOn w:val="1"/>
    <w:link w:val="48"/>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sz w:val="18"/>
      <w:szCs w:val="18"/>
    </w:rPr>
  </w:style>
  <w:style w:type="paragraph" w:styleId="14">
    <w:name w:val="header"/>
    <w:basedOn w:val="1"/>
    <w:link w:val="44"/>
    <w:unhideWhenUsed/>
    <w:qFormat/>
    <w:uiPriority w:val="99"/>
    <w:pPr>
      <w:tabs>
        <w:tab w:val="center" w:pos="4153"/>
        <w:tab w:val="right" w:pos="8306"/>
      </w:tabs>
      <w:snapToGrid w:val="0"/>
      <w:jc w:val="center"/>
    </w:pPr>
    <w:rPr>
      <w:sz w:val="18"/>
      <w:szCs w:val="18"/>
    </w:rPr>
  </w:style>
  <w:style w:type="paragraph" w:styleId="15">
    <w:name w:val="toc 1"/>
    <w:basedOn w:val="1"/>
    <w:next w:val="1"/>
    <w:unhideWhenUsed/>
    <w:qFormat/>
    <w:uiPriority w:val="39"/>
  </w:style>
  <w:style w:type="paragraph" w:styleId="16">
    <w:name w:val="Subtitle"/>
    <w:basedOn w:val="1"/>
    <w:next w:val="1"/>
    <w:link w:val="35"/>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7">
    <w:name w:val="toc 2"/>
    <w:basedOn w:val="1"/>
    <w:next w:val="1"/>
    <w:unhideWhenUsed/>
    <w:qFormat/>
    <w:uiPriority w:val="39"/>
    <w:pPr>
      <w:ind w:left="420" w:leftChars="200"/>
    </w:pPr>
  </w:style>
  <w:style w:type="paragraph" w:styleId="18">
    <w:name w:val="Title"/>
    <w:basedOn w:val="1"/>
    <w:next w:val="1"/>
    <w:link w:val="34"/>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19">
    <w:name w:val="annotation subject"/>
    <w:basedOn w:val="11"/>
    <w:next w:val="11"/>
    <w:link w:val="47"/>
    <w:semiHidden/>
    <w:unhideWhenUsed/>
    <w:qFormat/>
    <w:uiPriority w:val="99"/>
    <w:rPr>
      <w:b/>
      <w:bCs/>
    </w:rPr>
  </w:style>
  <w:style w:type="table" w:styleId="21">
    <w:name w:val="Table Grid"/>
    <w:basedOn w:val="20"/>
    <w:qFormat/>
    <w:uiPriority w:val="5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basedOn w:val="22"/>
    <w:unhideWhenUsed/>
    <w:qFormat/>
    <w:uiPriority w:val="99"/>
    <w:rPr>
      <w:color w:val="467886" w:themeColor="hyperlink"/>
      <w:u w:val="single"/>
      <w14:textFill>
        <w14:solidFill>
          <w14:schemeClr w14:val="hlink"/>
        </w14:solidFill>
      </w14:textFill>
    </w:rPr>
  </w:style>
  <w:style w:type="character" w:styleId="24">
    <w:name w:val="annotation reference"/>
    <w:basedOn w:val="22"/>
    <w:semiHidden/>
    <w:unhideWhenUsed/>
    <w:qFormat/>
    <w:uiPriority w:val="99"/>
    <w:rPr>
      <w:sz w:val="21"/>
      <w:szCs w:val="21"/>
    </w:rPr>
  </w:style>
  <w:style w:type="character" w:customStyle="1" w:styleId="25">
    <w:name w:val="标题 1 字符"/>
    <w:basedOn w:val="22"/>
    <w:link w:val="2"/>
    <w:qFormat/>
    <w:uiPriority w:val="9"/>
    <w:rPr>
      <w:rFonts w:asciiTheme="majorHAnsi" w:hAnsiTheme="majorHAnsi" w:eastAsiaTheme="majorEastAsia" w:cstheme="majorBidi"/>
      <w:color w:val="104862" w:themeColor="accent1" w:themeShade="BF"/>
      <w:sz w:val="48"/>
      <w:szCs w:val="48"/>
    </w:rPr>
  </w:style>
  <w:style w:type="character" w:customStyle="1" w:styleId="26">
    <w:name w:val="标题 2 字符"/>
    <w:basedOn w:val="22"/>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7">
    <w:name w:val="标题 3 字符"/>
    <w:basedOn w:val="22"/>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8">
    <w:name w:val="标题 4 字符"/>
    <w:basedOn w:val="22"/>
    <w:link w:val="5"/>
    <w:semiHidden/>
    <w:qFormat/>
    <w:uiPriority w:val="9"/>
    <w:rPr>
      <w:rFonts w:cstheme="majorBidi"/>
      <w:color w:val="104862" w:themeColor="accent1" w:themeShade="BF"/>
      <w:sz w:val="28"/>
      <w:szCs w:val="28"/>
    </w:rPr>
  </w:style>
  <w:style w:type="character" w:customStyle="1" w:styleId="29">
    <w:name w:val="标题 5 字符"/>
    <w:basedOn w:val="22"/>
    <w:link w:val="6"/>
    <w:semiHidden/>
    <w:qFormat/>
    <w:uiPriority w:val="9"/>
    <w:rPr>
      <w:rFonts w:cstheme="majorBidi"/>
      <w:color w:val="104862" w:themeColor="accent1" w:themeShade="BF"/>
      <w:sz w:val="24"/>
      <w:szCs w:val="24"/>
    </w:rPr>
  </w:style>
  <w:style w:type="character" w:customStyle="1" w:styleId="30">
    <w:name w:val="标题 6 字符"/>
    <w:basedOn w:val="22"/>
    <w:link w:val="7"/>
    <w:semiHidden/>
    <w:qFormat/>
    <w:uiPriority w:val="9"/>
    <w:rPr>
      <w:rFonts w:cstheme="majorBidi"/>
      <w:b/>
      <w:bCs/>
      <w:color w:val="104862" w:themeColor="accent1" w:themeShade="BF"/>
    </w:rPr>
  </w:style>
  <w:style w:type="character" w:customStyle="1" w:styleId="31">
    <w:name w:val="标题 7 字符"/>
    <w:basedOn w:val="22"/>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2">
    <w:name w:val="标题 8 字符"/>
    <w:basedOn w:val="22"/>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3">
    <w:name w:val="标题 9 字符"/>
    <w:basedOn w:val="22"/>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4">
    <w:name w:val="标题 字符"/>
    <w:basedOn w:val="22"/>
    <w:link w:val="18"/>
    <w:qFormat/>
    <w:uiPriority w:val="10"/>
    <w:rPr>
      <w:rFonts w:asciiTheme="majorHAnsi" w:hAnsiTheme="majorHAnsi" w:eastAsiaTheme="majorEastAsia" w:cstheme="majorBidi"/>
      <w:spacing w:val="-10"/>
      <w:kern w:val="28"/>
      <w:sz w:val="56"/>
      <w:szCs w:val="56"/>
    </w:rPr>
  </w:style>
  <w:style w:type="character" w:customStyle="1" w:styleId="35">
    <w:name w:val="副标题 字符"/>
    <w:basedOn w:val="22"/>
    <w:link w:val="16"/>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6">
    <w:name w:val="Quote"/>
    <w:basedOn w:val="1"/>
    <w:next w:val="1"/>
    <w:link w:val="37"/>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7">
    <w:name w:val="引用 字符"/>
    <w:basedOn w:val="22"/>
    <w:link w:val="36"/>
    <w:qFormat/>
    <w:uiPriority w:val="29"/>
    <w:rPr>
      <w:i/>
      <w:iCs/>
      <w:color w:val="404040" w:themeColor="text1" w:themeTint="BF"/>
      <w14:textFill>
        <w14:solidFill>
          <w14:schemeClr w14:val="tx1">
            <w14:lumMod w14:val="75000"/>
            <w14:lumOff w14:val="25000"/>
          </w14:schemeClr>
        </w14:solidFill>
      </w14:textFill>
    </w:rPr>
  </w:style>
  <w:style w:type="paragraph" w:styleId="38">
    <w:name w:val="List Paragraph"/>
    <w:basedOn w:val="1"/>
    <w:qFormat/>
    <w:uiPriority w:val="34"/>
    <w:pPr>
      <w:ind w:left="720"/>
      <w:contextualSpacing/>
    </w:pPr>
  </w:style>
  <w:style w:type="character" w:customStyle="1" w:styleId="39">
    <w:name w:val="Intense Emphasis"/>
    <w:basedOn w:val="22"/>
    <w:qFormat/>
    <w:uiPriority w:val="21"/>
    <w:rPr>
      <w:i/>
      <w:iCs/>
      <w:color w:val="104862" w:themeColor="accent1" w:themeShade="BF"/>
    </w:rPr>
  </w:style>
  <w:style w:type="paragraph" w:styleId="40">
    <w:name w:val="Intense Quote"/>
    <w:basedOn w:val="1"/>
    <w:next w:val="1"/>
    <w:link w:val="41"/>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1">
    <w:name w:val="明显引用 字符"/>
    <w:basedOn w:val="22"/>
    <w:link w:val="40"/>
    <w:qFormat/>
    <w:uiPriority w:val="30"/>
    <w:rPr>
      <w:i/>
      <w:iCs/>
      <w:color w:val="104862" w:themeColor="accent1" w:themeShade="BF"/>
    </w:rPr>
  </w:style>
  <w:style w:type="character" w:customStyle="1" w:styleId="42">
    <w:name w:val="Intense Reference"/>
    <w:basedOn w:val="22"/>
    <w:qFormat/>
    <w:uiPriority w:val="32"/>
    <w:rPr>
      <w:b/>
      <w:bCs/>
      <w:smallCaps/>
      <w:color w:val="104862" w:themeColor="accent1" w:themeShade="BF"/>
      <w:spacing w:val="5"/>
    </w:rPr>
  </w:style>
  <w:style w:type="paragraph" w:customStyle="1" w:styleId="43">
    <w:name w:val="TOC Heading"/>
    <w:basedOn w:val="2"/>
    <w:next w:val="1"/>
    <w:unhideWhenUsed/>
    <w:qFormat/>
    <w:uiPriority w:val="39"/>
    <w:pPr>
      <w:widowControl/>
      <w:spacing w:before="240" w:after="0" w:line="259" w:lineRule="auto"/>
      <w:jc w:val="left"/>
      <w:outlineLvl w:val="9"/>
    </w:pPr>
    <w:rPr>
      <w:kern w:val="0"/>
      <w:sz w:val="32"/>
      <w:szCs w:val="32"/>
    </w:rPr>
  </w:style>
  <w:style w:type="character" w:customStyle="1" w:styleId="44">
    <w:name w:val="页眉 字符"/>
    <w:basedOn w:val="22"/>
    <w:link w:val="14"/>
    <w:qFormat/>
    <w:uiPriority w:val="99"/>
    <w:rPr>
      <w:sz w:val="18"/>
      <w:szCs w:val="18"/>
    </w:rPr>
  </w:style>
  <w:style w:type="character" w:customStyle="1" w:styleId="45">
    <w:name w:val="页脚 字符"/>
    <w:basedOn w:val="22"/>
    <w:link w:val="13"/>
    <w:qFormat/>
    <w:uiPriority w:val="99"/>
    <w:rPr>
      <w:sz w:val="18"/>
      <w:szCs w:val="18"/>
    </w:rPr>
  </w:style>
  <w:style w:type="character" w:customStyle="1" w:styleId="46">
    <w:name w:val="批注文字 字符"/>
    <w:basedOn w:val="22"/>
    <w:link w:val="11"/>
    <w:semiHidden/>
    <w:qFormat/>
    <w:uiPriority w:val="99"/>
  </w:style>
  <w:style w:type="character" w:customStyle="1" w:styleId="47">
    <w:name w:val="批注主题 字符"/>
    <w:basedOn w:val="46"/>
    <w:link w:val="19"/>
    <w:semiHidden/>
    <w:qFormat/>
    <w:uiPriority w:val="99"/>
    <w:rPr>
      <w:b/>
      <w:bCs/>
    </w:rPr>
  </w:style>
  <w:style w:type="character" w:customStyle="1" w:styleId="48">
    <w:name w:val="批注框文本 字符"/>
    <w:basedOn w:val="22"/>
    <w:link w:val="12"/>
    <w:semiHidden/>
    <w:qFormat/>
    <w:uiPriority w:val="99"/>
    <w:rPr>
      <w:sz w:val="18"/>
      <w:szCs w:val="18"/>
    </w:rPr>
  </w:style>
  <w:style w:type="table" w:customStyle="1" w:styleId="49">
    <w:name w:val="Table Normal"/>
    <w:semiHidden/>
    <w:unhideWhenUsed/>
    <w:qFormat/>
    <w:uiPriority w:val="0"/>
    <w:rPr>
      <w:rFonts w:ascii="Arial" w:hAnsi="Arial" w:cs="Arial"/>
      <w:kern w:val="0"/>
      <w:sz w:val="20"/>
      <w:szCs w:val="20"/>
    </w:rPr>
    <w:tblPr>
      <w:tblCellMar>
        <w:top w:w="0" w:type="dxa"/>
        <w:left w:w="0" w:type="dxa"/>
        <w:bottom w:w="0" w:type="dxa"/>
        <w:right w:w="0" w:type="dxa"/>
      </w:tblCellMar>
    </w:tblPr>
  </w:style>
  <w:style w:type="table" w:customStyle="1" w:styleId="50">
    <w:name w:val="网格型1"/>
    <w:basedOn w:val="20"/>
    <w:qFormat/>
    <w:uiPriority w:val="5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2"/>
    <w:basedOn w:val="20"/>
    <w:qFormat/>
    <w:uiPriority w:val="5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
    <w:name w:val="网格型3"/>
    <w:basedOn w:val="20"/>
    <w:qFormat/>
    <w:uiPriority w:val="5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
    <w:name w:val="网格型4"/>
    <w:basedOn w:val="20"/>
    <w:qFormat/>
    <w:uiPriority w:val="5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
    <w:name w:val="网格型5"/>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
    <w:name w:val="网格型6"/>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
    <w:name w:val="网格型7"/>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
    <w:name w:val="网格型8"/>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
    <w:name w:val="网格型9"/>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
    <w:name w:val="网格型10"/>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
    <w:name w:val="网格型11"/>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
    <w:name w:val="网格型12"/>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
    <w:name w:val="网格型41"/>
    <w:basedOn w:val="20"/>
    <w:qFormat/>
    <w:uiPriority w:val="5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
    <w:name w:val="网格型31"/>
    <w:basedOn w:val="20"/>
    <w:qFormat/>
    <w:uiPriority w:val="5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
    <w:name w:val="网格型21"/>
    <w:basedOn w:val="20"/>
    <w:qFormat/>
    <w:uiPriority w:val="5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
    <w:name w:val="网格型13"/>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
    <w:name w:val="网格型14"/>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standalone='no'?>
<b:Sources xmlns:b="http://schemas.openxmlformats.org/officeDocument/2006/bibliography" SelectedStyle="\APASixthEditionOfficeOnline.xsl" Version="6" StyleName="APA" xmlns:b="http://schemas.openxmlformats.org/officeDocument/2006/bibliography"/>

</file>

<file path=customXml/itemProps1.xml><?xml version="1.0" encoding="utf-8"?>
<ds:datastoreItem xmlns:ds="http://schemas.openxmlformats.org/officeDocument/2006/customXml" ds:itemID="{1D3D14AC-EC7E-4715-BB5E-25EC4BEFC3AA}">
  <ds:schemaRefs/>
</ds:datastoreItem>
</file>

<file path=docProps/app.xml><?xml version="1.0" encoding="utf-8"?>
<Properties xmlns="http://schemas.openxmlformats.org/officeDocument/2006/extended-properties" xmlns:vt="http://schemas.openxmlformats.org/officeDocument/2006/docPropsVTypes">
  <Template>Normal</Template>
  <Pages>176</Pages>
  <Words>40152</Words>
  <Characters>46978</Characters>
  <Lines>1515</Lines>
  <Paragraphs>626</Paragraphs>
  <TotalTime>915</TotalTime>
  <ScaleCrop>false</ScaleCrop>
  <LinksUpToDate>false</LinksUpToDate>
  <CharactersWithSpaces>86504</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2026-07-28T00:24:00Z</dcterms:created>
  <dc:creator>1905815495@qq.com</dc:creator>
  <cp:lastModifiedBy>kylin</cp:lastModifiedBy>
  <dcterms:modified xsi:type="dcterms:W3CDTF">2026-08-21T16:31:43Z</dcterms:modified>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380AC22A610F5E8FB063826AAF5DEDB6_42</vt:lpwstr>
  </property>
</Properties>
</file>