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39D8" w14:textId="5C22AEA4" w:rsidR="000A052D" w:rsidRPr="00AB1575" w:rsidRDefault="000A052D" w:rsidP="000A052D">
      <w:pPr>
        <w:spacing w:line="590" w:lineRule="exact"/>
        <w:rPr>
          <w:rFonts w:ascii="Times New Roman" w:eastAsia="方正黑体_GBK" w:hAnsi="Times New Roman" w:cs="Times New Roman"/>
          <w:color w:val="000000"/>
          <w:sz w:val="32"/>
          <w:szCs w:val="32"/>
        </w:rPr>
      </w:pPr>
      <w:r w:rsidRPr="00AB1575">
        <w:rPr>
          <w:rFonts w:ascii="Times New Roman" w:eastAsia="方正黑体_GBK" w:hAnsi="Times New Roman" w:cs="Times New Roman"/>
          <w:color w:val="000000"/>
          <w:sz w:val="32"/>
          <w:szCs w:val="32"/>
        </w:rPr>
        <w:t>附件</w:t>
      </w:r>
      <w:r w:rsidR="009B025F" w:rsidRPr="00AB1575">
        <w:rPr>
          <w:rFonts w:ascii="Times New Roman" w:eastAsia="方正黑体_GBK" w:hAnsi="Times New Roman" w:cs="Times New Roman" w:hint="eastAsia"/>
          <w:color w:val="000000"/>
          <w:sz w:val="32"/>
          <w:szCs w:val="32"/>
        </w:rPr>
        <w:t>5</w:t>
      </w:r>
      <w:r w:rsidRPr="00AB1575">
        <w:rPr>
          <w:rFonts w:ascii="Times New Roman" w:eastAsia="方正黑体_GBK" w:hAnsi="Times New Roman" w:cs="Times New Roman" w:hint="eastAsia"/>
          <w:color w:val="000000"/>
          <w:sz w:val="32"/>
          <w:szCs w:val="32"/>
        </w:rPr>
        <w:t>-1</w:t>
      </w:r>
      <w:r w:rsidR="00AB1575" w:rsidRPr="00AB1575">
        <w:rPr>
          <w:rFonts w:ascii="Times New Roman" w:eastAsia="方正小标宋_GBK" w:hAnsi="Times New Roman" w:cs="Times New Roman"/>
          <w:color w:val="000000"/>
          <w:sz w:val="32"/>
          <w:szCs w:val="32"/>
        </w:rPr>
        <w:t>安全</w:t>
      </w:r>
      <w:r w:rsidR="00AB1575" w:rsidRPr="00AB1575">
        <w:rPr>
          <w:rFonts w:ascii="Times New Roman" w:eastAsia="方正小标宋_GBK" w:hAnsi="Times New Roman" w:cs="Times New Roman" w:hint="eastAsia"/>
          <w:color w:val="000000"/>
          <w:sz w:val="32"/>
          <w:szCs w:val="32"/>
        </w:rPr>
        <w:t>诊断专项检查</w:t>
      </w:r>
      <w:r w:rsidR="00AB1575" w:rsidRPr="00AB1575">
        <w:rPr>
          <w:rFonts w:ascii="Times New Roman" w:eastAsia="方正小标宋_GBK" w:hAnsi="Times New Roman" w:cs="Times New Roman"/>
          <w:color w:val="000000"/>
          <w:sz w:val="32"/>
          <w:szCs w:val="32"/>
        </w:rPr>
        <w:t>表</w:t>
      </w:r>
      <w:r w:rsidR="00AB1575" w:rsidRPr="00AB1575">
        <w:rPr>
          <w:rFonts w:ascii="Times New Roman" w:eastAsia="方正小标宋_GBK" w:hAnsi="Times New Roman" w:cs="Times New Roman" w:hint="eastAsia"/>
          <w:color w:val="000000"/>
          <w:sz w:val="32"/>
          <w:szCs w:val="32"/>
        </w:rPr>
        <w:t>（精细化工企业）</w:t>
      </w:r>
    </w:p>
    <w:p w14:paraId="0B50D95B" w14:textId="3CC336B7" w:rsidR="00FB5EFC" w:rsidRDefault="006209FB" w:rsidP="006209FB">
      <w:pPr>
        <w:jc w:val="left"/>
        <w:rPr>
          <w:rFonts w:ascii="Times New Roman" w:eastAsia="方正小标宋_GBK" w:hAnsi="Times New Roman" w:cs="Times New Roman"/>
          <w:color w:val="000000"/>
          <w:sz w:val="30"/>
          <w:szCs w:val="30"/>
        </w:rPr>
      </w:pPr>
      <w:r w:rsidRPr="006209FB">
        <w:rPr>
          <w:rFonts w:ascii="Times New Roman" w:eastAsia="宋体" w:hAnsi="Times New Roman" w:cs="Times New Roman"/>
          <w:b/>
          <w:sz w:val="24"/>
          <w:szCs w:val="24"/>
        </w:rPr>
        <w:t>检查企业</w:t>
      </w:r>
      <w:proofErr w:type="gramStart"/>
      <w:r w:rsidRPr="006209FB">
        <w:rPr>
          <w:rFonts w:ascii="Times New Roman" w:eastAsia="宋体" w:hAnsi="Times New Roman" w:cs="Times New Roman"/>
          <w:b/>
          <w:sz w:val="24"/>
          <w:szCs w:val="24"/>
        </w:rPr>
        <w:t>：</w:t>
      </w:r>
      <w:r w:rsidRPr="006209FB">
        <w:rPr>
          <w:rFonts w:ascii="Times New Roman" w:eastAsia="宋体" w:hAnsi="Times New Roman" w:cs="Times New Roman"/>
          <w:b/>
          <w:sz w:val="24"/>
          <w:szCs w:val="24"/>
        </w:rPr>
        <w:t xml:space="preserve">                                                                      </w:t>
      </w:r>
      <w:r w:rsidRPr="006209FB">
        <w:rPr>
          <w:rFonts w:ascii="Times New Roman" w:eastAsia="宋体" w:hAnsi="Times New Roman" w:cs="Times New Roman"/>
          <w:b/>
          <w:sz w:val="24"/>
          <w:szCs w:val="24"/>
        </w:rPr>
        <w:t>检查</w:t>
      </w:r>
      <w:proofErr w:type="gramEnd"/>
      <w:r w:rsidRPr="006209FB">
        <w:rPr>
          <w:rFonts w:ascii="Times New Roman" w:eastAsia="宋体" w:hAnsi="Times New Roman" w:cs="Times New Roman"/>
          <w:b/>
          <w:sz w:val="24"/>
          <w:szCs w:val="24"/>
        </w:rPr>
        <w:t>时间：</w:t>
      </w:r>
    </w:p>
    <w:tbl>
      <w:tblPr>
        <w:tblStyle w:val="5"/>
        <w:tblW w:w="0" w:type="auto"/>
        <w:jc w:val="center"/>
        <w:tblLook w:val="04A0" w:firstRow="1" w:lastRow="0" w:firstColumn="1" w:lastColumn="0" w:noHBand="0" w:noVBand="1"/>
      </w:tblPr>
      <w:tblGrid>
        <w:gridCol w:w="437"/>
        <w:gridCol w:w="2483"/>
        <w:gridCol w:w="2551"/>
        <w:gridCol w:w="1560"/>
        <w:gridCol w:w="1984"/>
        <w:gridCol w:w="1843"/>
        <w:gridCol w:w="2750"/>
        <w:gridCol w:w="701"/>
      </w:tblGrid>
      <w:tr w:rsidR="00AB1575" w:rsidRPr="00AB1575" w14:paraId="779D6ECB" w14:textId="77777777" w:rsidTr="006209FB">
        <w:trPr>
          <w:jc w:val="center"/>
        </w:trPr>
        <w:tc>
          <w:tcPr>
            <w:tcW w:w="437" w:type="dxa"/>
            <w:vAlign w:val="center"/>
          </w:tcPr>
          <w:p w14:paraId="5BFE8580"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序号</w:t>
            </w:r>
          </w:p>
        </w:tc>
        <w:tc>
          <w:tcPr>
            <w:tcW w:w="2483" w:type="dxa"/>
            <w:vAlign w:val="center"/>
          </w:tcPr>
          <w:p w14:paraId="4E546986"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检查内容</w:t>
            </w:r>
          </w:p>
        </w:tc>
        <w:tc>
          <w:tcPr>
            <w:tcW w:w="2551" w:type="dxa"/>
            <w:vAlign w:val="center"/>
          </w:tcPr>
          <w:p w14:paraId="17611459"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检查依据</w:t>
            </w:r>
          </w:p>
        </w:tc>
        <w:tc>
          <w:tcPr>
            <w:tcW w:w="1560" w:type="dxa"/>
            <w:vAlign w:val="center"/>
          </w:tcPr>
          <w:p w14:paraId="02564592"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检查方式</w:t>
            </w:r>
          </w:p>
        </w:tc>
        <w:tc>
          <w:tcPr>
            <w:tcW w:w="1984" w:type="dxa"/>
            <w:vAlign w:val="center"/>
          </w:tcPr>
          <w:p w14:paraId="42B79E19"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检查情况</w:t>
            </w:r>
          </w:p>
        </w:tc>
        <w:tc>
          <w:tcPr>
            <w:tcW w:w="1843" w:type="dxa"/>
            <w:vAlign w:val="center"/>
          </w:tcPr>
          <w:p w14:paraId="1938F76F"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检查问题</w:t>
            </w:r>
          </w:p>
        </w:tc>
        <w:tc>
          <w:tcPr>
            <w:tcW w:w="2750" w:type="dxa"/>
            <w:vAlign w:val="center"/>
          </w:tcPr>
          <w:p w14:paraId="39791958"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整改建议</w:t>
            </w:r>
          </w:p>
        </w:tc>
        <w:tc>
          <w:tcPr>
            <w:tcW w:w="701" w:type="dxa"/>
            <w:vAlign w:val="center"/>
          </w:tcPr>
          <w:p w14:paraId="75CE0B66"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重大</w:t>
            </w:r>
          </w:p>
          <w:p w14:paraId="7C983E5D" w14:textId="77777777" w:rsidR="00AB1575" w:rsidRPr="00AB1575" w:rsidRDefault="00AB1575" w:rsidP="00AB1575">
            <w:pPr>
              <w:jc w:val="center"/>
              <w:rPr>
                <w:rFonts w:ascii="Times New Roman" w:eastAsia="宋体" w:hAnsi="Times New Roman" w:cs="Times New Roman"/>
                <w:b/>
                <w:szCs w:val="21"/>
              </w:rPr>
            </w:pPr>
            <w:r w:rsidRPr="00AB1575">
              <w:rPr>
                <w:rFonts w:ascii="Times New Roman" w:eastAsia="宋体" w:hAnsi="Times New Roman" w:cs="Times New Roman"/>
                <w:b/>
                <w:szCs w:val="21"/>
              </w:rPr>
              <w:t>隐患</w:t>
            </w:r>
          </w:p>
        </w:tc>
      </w:tr>
      <w:tr w:rsidR="00AB1575" w:rsidRPr="00AB1575" w14:paraId="37DBFB6F" w14:textId="77777777" w:rsidTr="006209FB">
        <w:trPr>
          <w:jc w:val="center"/>
        </w:trPr>
        <w:tc>
          <w:tcPr>
            <w:tcW w:w="437" w:type="dxa"/>
            <w:vAlign w:val="center"/>
          </w:tcPr>
          <w:p w14:paraId="6DB04912"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w:t>
            </w:r>
          </w:p>
        </w:tc>
        <w:tc>
          <w:tcPr>
            <w:tcW w:w="2483" w:type="dxa"/>
            <w:vAlign w:val="center"/>
          </w:tcPr>
          <w:p w14:paraId="1EF023F6"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企业应全面识别生产工艺中涉及的原料、辅料、中间产物、产品（包括副产品）、副产物、换热介质、密封液以及工艺条件偏差产生的物质等物料的危险性，掌握其理化特性、危害程度分级等数据，并建立化学品相容性矩阵。</w:t>
            </w:r>
          </w:p>
        </w:tc>
        <w:tc>
          <w:tcPr>
            <w:tcW w:w="2551" w:type="dxa"/>
            <w:vAlign w:val="center"/>
          </w:tcPr>
          <w:p w14:paraId="7DA067E9"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0DBF43CB" w14:textId="77777777" w:rsidR="00AB1575" w:rsidRPr="00AB1575" w:rsidRDefault="00AB1575" w:rsidP="00AB1575">
            <w:pPr>
              <w:jc w:val="center"/>
              <w:rPr>
                <w:rFonts w:ascii="Times New Roman" w:eastAsia="宋体" w:hAnsi="Times New Roman" w:cs="Times New Roman"/>
                <w:color w:val="000000"/>
                <w:szCs w:val="21"/>
              </w:rPr>
            </w:pPr>
            <w:proofErr w:type="gramStart"/>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4.3 </w:t>
            </w:r>
            <w:r w:rsidRPr="00AB1575">
              <w:rPr>
                <w:rFonts w:ascii="Times New Roman" w:eastAsia="宋体" w:hAnsi="Times New Roman" w:cs="Times New Roman"/>
                <w:szCs w:val="21"/>
              </w:rPr>
              <w:t>条</w:t>
            </w:r>
            <w:proofErr w:type="gramEnd"/>
          </w:p>
        </w:tc>
        <w:tc>
          <w:tcPr>
            <w:tcW w:w="1560" w:type="dxa"/>
            <w:vAlign w:val="center"/>
          </w:tcPr>
          <w:p w14:paraId="7D9876D1"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查阅评价报告和企业的</w:t>
            </w:r>
            <w:r w:rsidRPr="00AB1575">
              <w:rPr>
                <w:rFonts w:ascii="Times New Roman" w:eastAsia="宋体" w:hAnsi="Times New Roman" w:cs="Times New Roman"/>
                <w:szCs w:val="21"/>
              </w:rPr>
              <w:t>“</w:t>
            </w:r>
            <w:r w:rsidRPr="00AB1575">
              <w:rPr>
                <w:rFonts w:ascii="Times New Roman" w:eastAsia="宋体" w:hAnsi="Times New Roman" w:cs="Times New Roman"/>
                <w:szCs w:val="21"/>
              </w:rPr>
              <w:t>一书一签</w:t>
            </w:r>
            <w:r w:rsidRPr="00AB1575">
              <w:rPr>
                <w:rFonts w:ascii="Times New Roman" w:eastAsia="宋体" w:hAnsi="Times New Roman" w:cs="Times New Roman"/>
                <w:szCs w:val="21"/>
              </w:rPr>
              <w:t>”</w:t>
            </w:r>
          </w:p>
        </w:tc>
        <w:tc>
          <w:tcPr>
            <w:tcW w:w="1984" w:type="dxa"/>
          </w:tcPr>
          <w:p w14:paraId="5D133958" w14:textId="77777777" w:rsidR="00AB1575" w:rsidRPr="00AB1575" w:rsidRDefault="00AB1575" w:rsidP="00AB1575">
            <w:pPr>
              <w:jc w:val="center"/>
              <w:rPr>
                <w:rFonts w:ascii="Times New Roman" w:eastAsia="宋体" w:hAnsi="Times New Roman" w:cs="Times New Roman"/>
                <w:szCs w:val="21"/>
              </w:rPr>
            </w:pPr>
          </w:p>
        </w:tc>
        <w:tc>
          <w:tcPr>
            <w:tcW w:w="1843" w:type="dxa"/>
          </w:tcPr>
          <w:p w14:paraId="458BC3E7" w14:textId="77777777" w:rsidR="00AB1575" w:rsidRPr="00AB1575" w:rsidRDefault="00AB1575" w:rsidP="00AB1575">
            <w:pPr>
              <w:jc w:val="center"/>
              <w:rPr>
                <w:rFonts w:ascii="Times New Roman" w:eastAsia="宋体" w:hAnsi="Times New Roman" w:cs="Times New Roman"/>
                <w:szCs w:val="21"/>
              </w:rPr>
            </w:pPr>
          </w:p>
        </w:tc>
        <w:tc>
          <w:tcPr>
            <w:tcW w:w="2750" w:type="dxa"/>
          </w:tcPr>
          <w:p w14:paraId="1DE75414" w14:textId="77777777" w:rsidR="00AB1575" w:rsidRPr="00AB1575" w:rsidRDefault="00AB1575" w:rsidP="00AB1575">
            <w:pPr>
              <w:jc w:val="center"/>
              <w:rPr>
                <w:rFonts w:ascii="Times New Roman" w:eastAsia="宋体" w:hAnsi="Times New Roman" w:cs="Times New Roman"/>
                <w:szCs w:val="21"/>
              </w:rPr>
            </w:pPr>
          </w:p>
        </w:tc>
        <w:tc>
          <w:tcPr>
            <w:tcW w:w="701" w:type="dxa"/>
          </w:tcPr>
          <w:p w14:paraId="4E9150F7" w14:textId="77777777" w:rsidR="00AB1575" w:rsidRPr="00AB1575" w:rsidRDefault="00AB1575" w:rsidP="00AB1575">
            <w:pPr>
              <w:jc w:val="center"/>
              <w:rPr>
                <w:rFonts w:ascii="Times New Roman" w:eastAsia="宋体" w:hAnsi="Times New Roman" w:cs="Times New Roman"/>
                <w:szCs w:val="21"/>
              </w:rPr>
            </w:pPr>
          </w:p>
        </w:tc>
      </w:tr>
      <w:tr w:rsidR="00AB1575" w:rsidRPr="00AB1575" w14:paraId="4FBD4443" w14:textId="77777777" w:rsidTr="006209FB">
        <w:trPr>
          <w:jc w:val="center"/>
        </w:trPr>
        <w:tc>
          <w:tcPr>
            <w:tcW w:w="437" w:type="dxa"/>
            <w:vAlign w:val="center"/>
          </w:tcPr>
          <w:p w14:paraId="0D4993CA"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2</w:t>
            </w:r>
          </w:p>
        </w:tc>
        <w:tc>
          <w:tcPr>
            <w:tcW w:w="2483" w:type="dxa"/>
            <w:vAlign w:val="center"/>
          </w:tcPr>
          <w:p w14:paraId="5AB76447"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1.</w:t>
            </w:r>
            <w:r w:rsidRPr="00AB1575">
              <w:rPr>
                <w:rFonts w:ascii="Times New Roman" w:eastAsia="宋体" w:hAnsi="Times New Roman" w:cs="Times New Roman"/>
                <w:szCs w:val="21"/>
              </w:rPr>
              <w:t>企业不应在已建成投用的生产装置上进行中试和工业化试验。除国家法律法规另有规定外，中试或工业化试验装置不应直接进行工业化生产。</w:t>
            </w:r>
            <w:r w:rsidRPr="00AB1575">
              <w:rPr>
                <w:rFonts w:ascii="Times New Roman" w:eastAsia="宋体" w:hAnsi="Times New Roman" w:cs="Times New Roman"/>
                <w:szCs w:val="21"/>
              </w:rPr>
              <w:br/>
              <w:t>2.</w:t>
            </w:r>
            <w:r w:rsidRPr="00AB1575">
              <w:rPr>
                <w:rFonts w:ascii="Times New Roman" w:eastAsia="宋体" w:hAnsi="Times New Roman" w:cs="Times New Roman"/>
                <w:szCs w:val="21"/>
              </w:rPr>
              <w:t>中试和工业化试验装置应在独立区域单独设置，不应与生产装置设置在同一建构筑物内，不同试验装置应处于独立的防火分区内，并满足防火防爆等安全要求。</w:t>
            </w:r>
          </w:p>
        </w:tc>
        <w:tc>
          <w:tcPr>
            <w:tcW w:w="2551" w:type="dxa"/>
            <w:vAlign w:val="center"/>
          </w:tcPr>
          <w:p w14:paraId="488EE4F7"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2CF2A429" w14:textId="77777777" w:rsidR="00AB1575" w:rsidRPr="00AB1575" w:rsidRDefault="00AB1575" w:rsidP="00AB1575">
            <w:pPr>
              <w:jc w:val="center"/>
              <w:rPr>
                <w:rFonts w:ascii="Times New Roman" w:eastAsia="宋体" w:hAnsi="Times New Roman" w:cs="Times New Roman"/>
                <w:color w:val="000000"/>
                <w:szCs w:val="21"/>
              </w:rPr>
            </w:pPr>
            <w:proofErr w:type="gramStart"/>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4.6 </w:t>
            </w:r>
            <w:r w:rsidRPr="00AB1575">
              <w:rPr>
                <w:rFonts w:ascii="Times New Roman" w:eastAsia="宋体" w:hAnsi="Times New Roman" w:cs="Times New Roman"/>
                <w:szCs w:val="21"/>
              </w:rPr>
              <w:t>条</w:t>
            </w:r>
            <w:proofErr w:type="gramEnd"/>
            <w:r w:rsidRPr="00AB1575">
              <w:rPr>
                <w:rFonts w:ascii="Times New Roman" w:eastAsia="宋体" w:hAnsi="Times New Roman" w:cs="Times New Roman"/>
                <w:szCs w:val="21"/>
              </w:rPr>
              <w:t>、第</w:t>
            </w:r>
            <w:proofErr w:type="gramStart"/>
            <w:r w:rsidRPr="00AB1575">
              <w:rPr>
                <w:rFonts w:ascii="Times New Roman" w:eastAsia="宋体" w:hAnsi="Times New Roman" w:cs="Times New Roman"/>
                <w:szCs w:val="21"/>
              </w:rPr>
              <w:t xml:space="preserve">6.6 </w:t>
            </w:r>
            <w:r w:rsidRPr="00AB1575">
              <w:rPr>
                <w:rFonts w:ascii="Times New Roman" w:eastAsia="宋体" w:hAnsi="Times New Roman" w:cs="Times New Roman"/>
                <w:szCs w:val="21"/>
              </w:rPr>
              <w:t>条</w:t>
            </w:r>
            <w:proofErr w:type="gramEnd"/>
          </w:p>
        </w:tc>
        <w:tc>
          <w:tcPr>
            <w:tcW w:w="1560" w:type="dxa"/>
            <w:vAlign w:val="center"/>
          </w:tcPr>
          <w:p w14:paraId="739076DB"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查阅中试和工业化试验资料，现场核查。</w:t>
            </w:r>
          </w:p>
        </w:tc>
        <w:tc>
          <w:tcPr>
            <w:tcW w:w="1984" w:type="dxa"/>
          </w:tcPr>
          <w:p w14:paraId="082CB815" w14:textId="77777777" w:rsidR="00AB1575" w:rsidRPr="00AB1575" w:rsidRDefault="00AB1575" w:rsidP="00AB1575">
            <w:pPr>
              <w:jc w:val="center"/>
              <w:rPr>
                <w:rFonts w:ascii="Times New Roman" w:eastAsia="宋体" w:hAnsi="Times New Roman" w:cs="Times New Roman"/>
                <w:szCs w:val="21"/>
              </w:rPr>
            </w:pPr>
          </w:p>
        </w:tc>
        <w:tc>
          <w:tcPr>
            <w:tcW w:w="1843" w:type="dxa"/>
          </w:tcPr>
          <w:p w14:paraId="369EAF4F" w14:textId="77777777" w:rsidR="00AB1575" w:rsidRPr="00AB1575" w:rsidRDefault="00AB1575" w:rsidP="00AB1575">
            <w:pPr>
              <w:jc w:val="center"/>
              <w:rPr>
                <w:rFonts w:ascii="Times New Roman" w:eastAsia="宋体" w:hAnsi="Times New Roman" w:cs="Times New Roman"/>
                <w:szCs w:val="21"/>
              </w:rPr>
            </w:pPr>
          </w:p>
        </w:tc>
        <w:tc>
          <w:tcPr>
            <w:tcW w:w="2750" w:type="dxa"/>
          </w:tcPr>
          <w:p w14:paraId="00B82D97" w14:textId="77777777" w:rsidR="00AB1575" w:rsidRPr="00AB1575" w:rsidRDefault="00AB1575" w:rsidP="00AB1575">
            <w:pPr>
              <w:jc w:val="center"/>
              <w:rPr>
                <w:rFonts w:ascii="Times New Roman" w:eastAsia="宋体" w:hAnsi="Times New Roman" w:cs="Times New Roman"/>
                <w:szCs w:val="21"/>
              </w:rPr>
            </w:pPr>
          </w:p>
        </w:tc>
        <w:tc>
          <w:tcPr>
            <w:tcW w:w="701" w:type="dxa"/>
          </w:tcPr>
          <w:p w14:paraId="34B99CB3" w14:textId="77777777" w:rsidR="00AB1575" w:rsidRPr="00AB1575" w:rsidRDefault="00AB1575" w:rsidP="00AB1575">
            <w:pPr>
              <w:jc w:val="center"/>
              <w:rPr>
                <w:rFonts w:ascii="Times New Roman" w:eastAsia="宋体" w:hAnsi="Times New Roman" w:cs="Times New Roman"/>
                <w:szCs w:val="21"/>
              </w:rPr>
            </w:pPr>
          </w:p>
        </w:tc>
      </w:tr>
      <w:tr w:rsidR="00AB1575" w:rsidRPr="00AB1575" w14:paraId="71297982" w14:textId="77777777" w:rsidTr="006209FB">
        <w:trPr>
          <w:jc w:val="center"/>
        </w:trPr>
        <w:tc>
          <w:tcPr>
            <w:tcW w:w="437" w:type="dxa"/>
            <w:vAlign w:val="center"/>
          </w:tcPr>
          <w:p w14:paraId="2AF09D63"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3</w:t>
            </w:r>
          </w:p>
        </w:tc>
        <w:tc>
          <w:tcPr>
            <w:tcW w:w="2483" w:type="dxa"/>
            <w:vAlign w:val="center"/>
          </w:tcPr>
          <w:p w14:paraId="6BD2B56E"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涉及放热易造成热失控的反应，通过控制加料速</w:t>
            </w:r>
            <w:r w:rsidRPr="00AB1575">
              <w:rPr>
                <w:rFonts w:ascii="Times New Roman" w:eastAsia="宋体" w:hAnsi="Times New Roman" w:cs="Times New Roman"/>
                <w:szCs w:val="21"/>
              </w:rPr>
              <w:lastRenderedPageBreak/>
              <w:t>度来控制反应放热量时，应采用自动加料系统，控制加料速度在设计的安全范围内。加料速度控制措施应采取至少两种固定不可超调的限流措施，如限制进料管径、设置限流孔板、调节阀物理限位等。</w:t>
            </w:r>
          </w:p>
        </w:tc>
        <w:tc>
          <w:tcPr>
            <w:tcW w:w="2551" w:type="dxa"/>
            <w:vAlign w:val="center"/>
          </w:tcPr>
          <w:p w14:paraId="0D872E55"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16091F9D"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lastRenderedPageBreak/>
              <w:t>第</w:t>
            </w:r>
            <w:r w:rsidRPr="00AB1575">
              <w:rPr>
                <w:rFonts w:ascii="Times New Roman" w:eastAsia="宋体" w:hAnsi="Times New Roman" w:cs="Times New Roman"/>
                <w:szCs w:val="21"/>
              </w:rPr>
              <w:t xml:space="preserve"> 7.2.1.2 </w:t>
            </w:r>
            <w:r w:rsidRPr="00AB1575">
              <w:rPr>
                <w:rFonts w:ascii="Times New Roman" w:eastAsia="宋体" w:hAnsi="Times New Roman" w:cs="Times New Roman"/>
                <w:szCs w:val="21"/>
              </w:rPr>
              <w:t>条</w:t>
            </w:r>
          </w:p>
        </w:tc>
        <w:tc>
          <w:tcPr>
            <w:tcW w:w="1560" w:type="dxa"/>
            <w:vAlign w:val="center"/>
          </w:tcPr>
          <w:p w14:paraId="770E8E5E"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查阅企业涉及反应的资料，</w:t>
            </w:r>
            <w:r w:rsidRPr="00AB1575">
              <w:rPr>
                <w:rFonts w:ascii="Times New Roman" w:eastAsia="宋体" w:hAnsi="Times New Roman" w:cs="Times New Roman"/>
                <w:szCs w:val="21"/>
              </w:rPr>
              <w:lastRenderedPageBreak/>
              <w:t>现场核查。</w:t>
            </w:r>
          </w:p>
        </w:tc>
        <w:tc>
          <w:tcPr>
            <w:tcW w:w="1984" w:type="dxa"/>
          </w:tcPr>
          <w:p w14:paraId="04789F2B" w14:textId="77777777" w:rsidR="00AB1575" w:rsidRPr="00AB1575" w:rsidRDefault="00AB1575" w:rsidP="00AB1575">
            <w:pPr>
              <w:jc w:val="center"/>
              <w:rPr>
                <w:rFonts w:ascii="Times New Roman" w:eastAsia="宋体" w:hAnsi="Times New Roman" w:cs="Times New Roman"/>
                <w:szCs w:val="21"/>
              </w:rPr>
            </w:pPr>
          </w:p>
        </w:tc>
        <w:tc>
          <w:tcPr>
            <w:tcW w:w="1843" w:type="dxa"/>
          </w:tcPr>
          <w:p w14:paraId="227EE135" w14:textId="77777777" w:rsidR="00AB1575" w:rsidRPr="00AB1575" w:rsidRDefault="00AB1575" w:rsidP="00AB1575">
            <w:pPr>
              <w:jc w:val="center"/>
              <w:rPr>
                <w:rFonts w:ascii="Times New Roman" w:eastAsia="宋体" w:hAnsi="Times New Roman" w:cs="Times New Roman"/>
                <w:szCs w:val="21"/>
              </w:rPr>
            </w:pPr>
          </w:p>
        </w:tc>
        <w:tc>
          <w:tcPr>
            <w:tcW w:w="2750" w:type="dxa"/>
          </w:tcPr>
          <w:p w14:paraId="789264A6" w14:textId="77777777" w:rsidR="00AB1575" w:rsidRPr="00AB1575" w:rsidRDefault="00AB1575" w:rsidP="00AB1575">
            <w:pPr>
              <w:jc w:val="center"/>
              <w:rPr>
                <w:rFonts w:ascii="Times New Roman" w:eastAsia="宋体" w:hAnsi="Times New Roman" w:cs="Times New Roman"/>
                <w:szCs w:val="21"/>
              </w:rPr>
            </w:pPr>
          </w:p>
        </w:tc>
        <w:tc>
          <w:tcPr>
            <w:tcW w:w="701" w:type="dxa"/>
          </w:tcPr>
          <w:p w14:paraId="232C2F90" w14:textId="77777777" w:rsidR="00AB1575" w:rsidRPr="00AB1575" w:rsidRDefault="00AB1575" w:rsidP="00AB1575">
            <w:pPr>
              <w:jc w:val="center"/>
              <w:rPr>
                <w:rFonts w:ascii="Times New Roman" w:eastAsia="宋体" w:hAnsi="Times New Roman" w:cs="Times New Roman"/>
                <w:szCs w:val="21"/>
              </w:rPr>
            </w:pPr>
          </w:p>
        </w:tc>
      </w:tr>
      <w:tr w:rsidR="00AB1575" w:rsidRPr="00AB1575" w14:paraId="7A833620" w14:textId="77777777" w:rsidTr="006209FB">
        <w:trPr>
          <w:jc w:val="center"/>
        </w:trPr>
        <w:tc>
          <w:tcPr>
            <w:tcW w:w="437" w:type="dxa"/>
            <w:vAlign w:val="center"/>
          </w:tcPr>
          <w:p w14:paraId="5F27540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4</w:t>
            </w:r>
          </w:p>
        </w:tc>
        <w:tc>
          <w:tcPr>
            <w:tcW w:w="2483" w:type="dxa"/>
            <w:vAlign w:val="center"/>
          </w:tcPr>
          <w:p w14:paraId="02CF8EA7"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存在高压窜低压且会造成设备损害或物料泄漏风险的设备，应采取压力监测报警、安全联锁、紧急切断及安全泄放等防窜压措施。</w:t>
            </w:r>
          </w:p>
        </w:tc>
        <w:tc>
          <w:tcPr>
            <w:tcW w:w="2551" w:type="dxa"/>
            <w:vAlign w:val="center"/>
          </w:tcPr>
          <w:p w14:paraId="6FA044AD"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7277A0E6"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7.2.1.8 </w:t>
            </w:r>
            <w:r w:rsidRPr="00AB1575">
              <w:rPr>
                <w:rFonts w:ascii="Times New Roman" w:eastAsia="宋体" w:hAnsi="Times New Roman" w:cs="Times New Roman"/>
                <w:szCs w:val="21"/>
              </w:rPr>
              <w:t>条</w:t>
            </w:r>
          </w:p>
        </w:tc>
        <w:tc>
          <w:tcPr>
            <w:tcW w:w="1560" w:type="dxa"/>
            <w:vAlign w:val="center"/>
          </w:tcPr>
          <w:p w14:paraId="726498A7"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查阅评价报告，现场核查。</w:t>
            </w:r>
          </w:p>
        </w:tc>
        <w:tc>
          <w:tcPr>
            <w:tcW w:w="1984" w:type="dxa"/>
          </w:tcPr>
          <w:p w14:paraId="18413DAD" w14:textId="77777777" w:rsidR="00AB1575" w:rsidRPr="00AB1575" w:rsidRDefault="00AB1575" w:rsidP="00AB1575">
            <w:pPr>
              <w:jc w:val="center"/>
              <w:rPr>
                <w:rFonts w:ascii="Times New Roman" w:eastAsia="宋体" w:hAnsi="Times New Roman" w:cs="Times New Roman"/>
                <w:szCs w:val="21"/>
              </w:rPr>
            </w:pPr>
          </w:p>
        </w:tc>
        <w:tc>
          <w:tcPr>
            <w:tcW w:w="1843" w:type="dxa"/>
          </w:tcPr>
          <w:p w14:paraId="19E7C4D5" w14:textId="77777777" w:rsidR="00AB1575" w:rsidRPr="00AB1575" w:rsidRDefault="00AB1575" w:rsidP="00AB1575">
            <w:pPr>
              <w:jc w:val="center"/>
              <w:rPr>
                <w:rFonts w:ascii="Times New Roman" w:eastAsia="宋体" w:hAnsi="Times New Roman" w:cs="Times New Roman"/>
                <w:szCs w:val="21"/>
              </w:rPr>
            </w:pPr>
          </w:p>
        </w:tc>
        <w:tc>
          <w:tcPr>
            <w:tcW w:w="2750" w:type="dxa"/>
          </w:tcPr>
          <w:p w14:paraId="6B76CE95" w14:textId="77777777" w:rsidR="00AB1575" w:rsidRPr="00AB1575" w:rsidRDefault="00AB1575" w:rsidP="00AB1575">
            <w:pPr>
              <w:jc w:val="center"/>
              <w:rPr>
                <w:rFonts w:ascii="Times New Roman" w:eastAsia="宋体" w:hAnsi="Times New Roman" w:cs="Times New Roman"/>
                <w:szCs w:val="21"/>
              </w:rPr>
            </w:pPr>
          </w:p>
        </w:tc>
        <w:tc>
          <w:tcPr>
            <w:tcW w:w="701" w:type="dxa"/>
          </w:tcPr>
          <w:p w14:paraId="47E0149A" w14:textId="77777777" w:rsidR="00AB1575" w:rsidRPr="00AB1575" w:rsidRDefault="00AB1575" w:rsidP="00AB1575">
            <w:pPr>
              <w:jc w:val="center"/>
              <w:rPr>
                <w:rFonts w:ascii="Times New Roman" w:eastAsia="宋体" w:hAnsi="Times New Roman" w:cs="Times New Roman"/>
                <w:szCs w:val="21"/>
              </w:rPr>
            </w:pPr>
          </w:p>
        </w:tc>
      </w:tr>
      <w:tr w:rsidR="00AB1575" w:rsidRPr="00AB1575" w14:paraId="033E6EDB" w14:textId="77777777" w:rsidTr="006209FB">
        <w:trPr>
          <w:jc w:val="center"/>
        </w:trPr>
        <w:tc>
          <w:tcPr>
            <w:tcW w:w="437" w:type="dxa"/>
            <w:vAlign w:val="center"/>
          </w:tcPr>
          <w:p w14:paraId="16C07631"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5</w:t>
            </w:r>
          </w:p>
        </w:tc>
        <w:tc>
          <w:tcPr>
            <w:tcW w:w="2483" w:type="dxa"/>
            <w:vAlign w:val="center"/>
          </w:tcPr>
          <w:p w14:paraId="70830659"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建设项目应优先选用过滤、淋洗、干燥一体化设备。企业涉及易燃易爆、有毒物料时，不应采用敞开式真空抽滤设备及敞开式离心分离机，涉及易燃易爆介质的离心分离机系统应按</w:t>
            </w:r>
            <w:r w:rsidRPr="00AB1575">
              <w:rPr>
                <w:rFonts w:ascii="Times New Roman" w:eastAsia="宋体" w:hAnsi="Times New Roman" w:cs="Times New Roman"/>
                <w:szCs w:val="21"/>
              </w:rPr>
              <w:t>GB 19815</w:t>
            </w:r>
            <w:r w:rsidRPr="00AB1575">
              <w:rPr>
                <w:rFonts w:ascii="Times New Roman" w:eastAsia="宋体" w:hAnsi="Times New Roman" w:cs="Times New Roman"/>
                <w:szCs w:val="21"/>
              </w:rPr>
              <w:t>的规定设置惰性气体保护、在线氧含量检测报警联锁系统等设施。</w:t>
            </w:r>
          </w:p>
        </w:tc>
        <w:tc>
          <w:tcPr>
            <w:tcW w:w="2551" w:type="dxa"/>
            <w:vAlign w:val="center"/>
          </w:tcPr>
          <w:p w14:paraId="6D976849"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64889E58"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7.2.2.1 </w:t>
            </w:r>
            <w:r w:rsidRPr="00AB1575">
              <w:rPr>
                <w:rFonts w:ascii="Times New Roman" w:eastAsia="宋体" w:hAnsi="Times New Roman" w:cs="Times New Roman"/>
                <w:szCs w:val="21"/>
              </w:rPr>
              <w:t>条</w:t>
            </w:r>
          </w:p>
        </w:tc>
        <w:tc>
          <w:tcPr>
            <w:tcW w:w="1560" w:type="dxa"/>
            <w:vAlign w:val="center"/>
          </w:tcPr>
          <w:p w14:paraId="682F9079"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03C6717D" w14:textId="77777777" w:rsidR="00AB1575" w:rsidRPr="00AB1575" w:rsidRDefault="00AB1575" w:rsidP="00AB1575">
            <w:pPr>
              <w:jc w:val="center"/>
              <w:rPr>
                <w:rFonts w:ascii="Times New Roman" w:eastAsia="宋体" w:hAnsi="Times New Roman" w:cs="Times New Roman"/>
                <w:szCs w:val="21"/>
              </w:rPr>
            </w:pPr>
          </w:p>
        </w:tc>
        <w:tc>
          <w:tcPr>
            <w:tcW w:w="1843" w:type="dxa"/>
          </w:tcPr>
          <w:p w14:paraId="6EFC81BA" w14:textId="77777777" w:rsidR="00AB1575" w:rsidRPr="00AB1575" w:rsidRDefault="00AB1575" w:rsidP="00AB1575">
            <w:pPr>
              <w:jc w:val="center"/>
              <w:rPr>
                <w:rFonts w:ascii="Times New Roman" w:eastAsia="宋体" w:hAnsi="Times New Roman" w:cs="Times New Roman"/>
                <w:szCs w:val="21"/>
              </w:rPr>
            </w:pPr>
          </w:p>
        </w:tc>
        <w:tc>
          <w:tcPr>
            <w:tcW w:w="2750" w:type="dxa"/>
          </w:tcPr>
          <w:p w14:paraId="6809BB0C" w14:textId="77777777" w:rsidR="00AB1575" w:rsidRPr="00AB1575" w:rsidRDefault="00AB1575" w:rsidP="00AB1575">
            <w:pPr>
              <w:jc w:val="center"/>
              <w:rPr>
                <w:rFonts w:ascii="Times New Roman" w:eastAsia="宋体" w:hAnsi="Times New Roman" w:cs="Times New Roman"/>
                <w:szCs w:val="21"/>
              </w:rPr>
            </w:pPr>
          </w:p>
        </w:tc>
        <w:tc>
          <w:tcPr>
            <w:tcW w:w="701" w:type="dxa"/>
          </w:tcPr>
          <w:p w14:paraId="5859AC93" w14:textId="77777777" w:rsidR="00AB1575" w:rsidRPr="00AB1575" w:rsidRDefault="00AB1575" w:rsidP="00AB1575">
            <w:pPr>
              <w:jc w:val="center"/>
              <w:rPr>
                <w:rFonts w:ascii="Times New Roman" w:eastAsia="宋体" w:hAnsi="Times New Roman" w:cs="Times New Roman"/>
                <w:szCs w:val="21"/>
              </w:rPr>
            </w:pPr>
          </w:p>
        </w:tc>
      </w:tr>
      <w:tr w:rsidR="00AB1575" w:rsidRPr="00AB1575" w14:paraId="24648A04" w14:textId="77777777" w:rsidTr="006209FB">
        <w:trPr>
          <w:jc w:val="center"/>
        </w:trPr>
        <w:tc>
          <w:tcPr>
            <w:tcW w:w="437" w:type="dxa"/>
            <w:vAlign w:val="center"/>
          </w:tcPr>
          <w:p w14:paraId="0D2F66CF"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6</w:t>
            </w:r>
          </w:p>
        </w:tc>
        <w:tc>
          <w:tcPr>
            <w:tcW w:w="2483" w:type="dxa"/>
            <w:vAlign w:val="center"/>
          </w:tcPr>
          <w:p w14:paraId="6E87BCDC"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分离作业场所应设置通风系统，涉及惰性气体使用的封闭、半封闭作业空间应设置氧含量检测报</w:t>
            </w:r>
            <w:r w:rsidRPr="00AB1575">
              <w:rPr>
                <w:rFonts w:ascii="Times New Roman" w:eastAsia="宋体" w:hAnsi="Times New Roman" w:cs="Times New Roman"/>
                <w:szCs w:val="21"/>
              </w:rPr>
              <w:lastRenderedPageBreak/>
              <w:t>警联锁系统。</w:t>
            </w:r>
          </w:p>
        </w:tc>
        <w:tc>
          <w:tcPr>
            <w:tcW w:w="2551" w:type="dxa"/>
            <w:vAlign w:val="center"/>
          </w:tcPr>
          <w:p w14:paraId="68653474"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0D9A3078"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7.2.2.2 </w:t>
            </w:r>
            <w:r w:rsidRPr="00AB1575">
              <w:rPr>
                <w:rFonts w:ascii="Times New Roman" w:eastAsia="宋体" w:hAnsi="Times New Roman" w:cs="Times New Roman"/>
                <w:szCs w:val="21"/>
              </w:rPr>
              <w:t>条</w:t>
            </w:r>
          </w:p>
        </w:tc>
        <w:tc>
          <w:tcPr>
            <w:tcW w:w="1560" w:type="dxa"/>
            <w:vAlign w:val="center"/>
          </w:tcPr>
          <w:p w14:paraId="6F421567"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w:t>
            </w:r>
            <w:r w:rsidRPr="00AB1575">
              <w:rPr>
                <w:rFonts w:ascii="Times New Roman" w:eastAsia="宋体" w:hAnsi="Times New Roman" w:cs="Times New Roman"/>
                <w:szCs w:val="21"/>
              </w:rPr>
              <w:lastRenderedPageBreak/>
              <w:t>告，现场核查。</w:t>
            </w:r>
          </w:p>
        </w:tc>
        <w:tc>
          <w:tcPr>
            <w:tcW w:w="1984" w:type="dxa"/>
          </w:tcPr>
          <w:p w14:paraId="553BF7E5" w14:textId="77777777" w:rsidR="00AB1575" w:rsidRPr="00AB1575" w:rsidRDefault="00AB1575" w:rsidP="00AB1575">
            <w:pPr>
              <w:jc w:val="center"/>
              <w:rPr>
                <w:rFonts w:ascii="Times New Roman" w:eastAsia="宋体" w:hAnsi="Times New Roman" w:cs="Times New Roman"/>
                <w:szCs w:val="21"/>
              </w:rPr>
            </w:pPr>
          </w:p>
        </w:tc>
        <w:tc>
          <w:tcPr>
            <w:tcW w:w="1843" w:type="dxa"/>
          </w:tcPr>
          <w:p w14:paraId="78A1E02F" w14:textId="77777777" w:rsidR="00AB1575" w:rsidRPr="00AB1575" w:rsidRDefault="00AB1575" w:rsidP="00AB1575">
            <w:pPr>
              <w:jc w:val="center"/>
              <w:rPr>
                <w:rFonts w:ascii="Times New Roman" w:eastAsia="宋体" w:hAnsi="Times New Roman" w:cs="Times New Roman"/>
                <w:szCs w:val="21"/>
              </w:rPr>
            </w:pPr>
          </w:p>
        </w:tc>
        <w:tc>
          <w:tcPr>
            <w:tcW w:w="2750" w:type="dxa"/>
          </w:tcPr>
          <w:p w14:paraId="75225CAA" w14:textId="77777777" w:rsidR="00AB1575" w:rsidRPr="00AB1575" w:rsidRDefault="00AB1575" w:rsidP="00AB1575">
            <w:pPr>
              <w:jc w:val="center"/>
              <w:rPr>
                <w:rFonts w:ascii="Times New Roman" w:eastAsia="宋体" w:hAnsi="Times New Roman" w:cs="Times New Roman"/>
                <w:szCs w:val="21"/>
              </w:rPr>
            </w:pPr>
          </w:p>
        </w:tc>
        <w:tc>
          <w:tcPr>
            <w:tcW w:w="701" w:type="dxa"/>
          </w:tcPr>
          <w:p w14:paraId="4249CDAF" w14:textId="77777777" w:rsidR="00AB1575" w:rsidRPr="00AB1575" w:rsidRDefault="00AB1575" w:rsidP="00AB1575">
            <w:pPr>
              <w:jc w:val="center"/>
              <w:rPr>
                <w:rFonts w:ascii="Times New Roman" w:eastAsia="宋体" w:hAnsi="Times New Roman" w:cs="Times New Roman"/>
                <w:szCs w:val="21"/>
              </w:rPr>
            </w:pPr>
          </w:p>
        </w:tc>
      </w:tr>
      <w:tr w:rsidR="00AB1575" w:rsidRPr="00AB1575" w14:paraId="79AE601D" w14:textId="77777777" w:rsidTr="006209FB">
        <w:trPr>
          <w:jc w:val="center"/>
        </w:trPr>
        <w:tc>
          <w:tcPr>
            <w:tcW w:w="437" w:type="dxa"/>
            <w:vAlign w:val="center"/>
          </w:tcPr>
          <w:p w14:paraId="400F9452"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7</w:t>
            </w:r>
          </w:p>
        </w:tc>
        <w:tc>
          <w:tcPr>
            <w:tcW w:w="2483" w:type="dxa"/>
            <w:vAlign w:val="center"/>
          </w:tcPr>
          <w:p w14:paraId="30B9D19A"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挥发性液体危险化学品的装卸应采用设有平衡管或有惰性气体保护的密闭系统。甲</w:t>
            </w:r>
            <w:r w:rsidRPr="00AB1575">
              <w:rPr>
                <w:rFonts w:ascii="Times New Roman" w:eastAsia="宋体" w:hAnsi="Times New Roman" w:cs="Times New Roman"/>
                <w:szCs w:val="21"/>
              </w:rPr>
              <w:t xml:space="preserve"> B</w:t>
            </w:r>
            <w:r w:rsidRPr="00AB1575">
              <w:rPr>
                <w:rFonts w:ascii="Times New Roman" w:eastAsia="宋体" w:hAnsi="Times New Roman" w:cs="Times New Roman"/>
                <w:szCs w:val="21"/>
              </w:rPr>
              <w:t>、乙</w:t>
            </w:r>
            <w:r w:rsidRPr="00AB1575">
              <w:rPr>
                <w:rFonts w:ascii="Times New Roman" w:eastAsia="宋体" w:hAnsi="Times New Roman" w:cs="Times New Roman"/>
                <w:szCs w:val="21"/>
              </w:rPr>
              <w:t xml:space="preserve"> A </w:t>
            </w:r>
            <w:r w:rsidRPr="00AB1575">
              <w:rPr>
                <w:rFonts w:ascii="Times New Roman" w:eastAsia="宋体" w:hAnsi="Times New Roman" w:cs="Times New Roman"/>
                <w:szCs w:val="21"/>
              </w:rPr>
              <w:t>类可燃液体物料不应采用真空或压缩空气压送方式输送。</w:t>
            </w:r>
            <w:r w:rsidRPr="00AB1575">
              <w:rPr>
                <w:rFonts w:ascii="Times New Roman" w:eastAsia="宋体" w:hAnsi="Times New Roman" w:cs="Times New Roman"/>
                <w:szCs w:val="21"/>
              </w:rPr>
              <w:br/>
            </w:r>
            <w:r w:rsidRPr="00AB1575">
              <w:rPr>
                <w:rFonts w:ascii="Times New Roman" w:eastAsia="宋体" w:hAnsi="Times New Roman" w:cs="Times New Roman"/>
                <w:szCs w:val="21"/>
              </w:rPr>
              <w:t>注：挥发性液体是</w:t>
            </w:r>
            <w:proofErr w:type="gramStart"/>
            <w:r w:rsidRPr="00AB1575">
              <w:rPr>
                <w:rFonts w:ascii="Times New Roman" w:eastAsia="宋体" w:hAnsi="Times New Roman" w:cs="Times New Roman"/>
                <w:szCs w:val="21"/>
              </w:rPr>
              <w:t>指</w:t>
            </w:r>
            <w:r w:rsidRPr="00AB1575">
              <w:rPr>
                <w:rFonts w:ascii="Times New Roman" w:eastAsia="宋体" w:hAnsi="Times New Roman" w:cs="Times New Roman"/>
                <w:szCs w:val="21"/>
              </w:rPr>
              <w:t xml:space="preserve"> 20</w:t>
            </w:r>
            <w:proofErr w:type="gramEnd"/>
            <w:r w:rsidRPr="00AB1575">
              <w:rPr>
                <w:rFonts w:ascii="Times New Roman" w:eastAsia="宋体" w:hAnsi="Times New Roman" w:cs="Times New Roman"/>
                <w:szCs w:val="21"/>
              </w:rPr>
              <w:t>℃</w:t>
            </w:r>
            <w:r w:rsidRPr="00AB1575">
              <w:rPr>
                <w:rFonts w:ascii="Times New Roman" w:eastAsia="宋体" w:hAnsi="Times New Roman" w:cs="Times New Roman"/>
                <w:szCs w:val="21"/>
              </w:rPr>
              <w:t>时，真实蒸气压大于</w:t>
            </w:r>
            <w:r w:rsidRPr="00AB1575">
              <w:rPr>
                <w:rFonts w:ascii="Times New Roman" w:eastAsia="宋体" w:hAnsi="Times New Roman" w:cs="Times New Roman"/>
                <w:szCs w:val="21"/>
              </w:rPr>
              <w:t xml:space="preserve">0.3kPa </w:t>
            </w:r>
            <w:r w:rsidRPr="00AB1575">
              <w:rPr>
                <w:rFonts w:ascii="Times New Roman" w:eastAsia="宋体" w:hAnsi="Times New Roman" w:cs="Times New Roman"/>
                <w:szCs w:val="21"/>
              </w:rPr>
              <w:t>的单一组分液体，或者真实蒸气压大于或等于</w:t>
            </w:r>
            <w:r w:rsidRPr="00AB1575">
              <w:rPr>
                <w:rFonts w:ascii="Times New Roman" w:eastAsia="宋体" w:hAnsi="Times New Roman" w:cs="Times New Roman"/>
                <w:szCs w:val="21"/>
              </w:rPr>
              <w:t xml:space="preserve">0.3kPa </w:t>
            </w:r>
            <w:r w:rsidRPr="00AB1575">
              <w:rPr>
                <w:rFonts w:ascii="Times New Roman" w:eastAsia="宋体" w:hAnsi="Times New Roman" w:cs="Times New Roman"/>
                <w:szCs w:val="21"/>
              </w:rPr>
              <w:t>的组分总质量占比大于或</w:t>
            </w:r>
            <w:proofErr w:type="gramStart"/>
            <w:r w:rsidRPr="00AB1575">
              <w:rPr>
                <w:rFonts w:ascii="Times New Roman" w:eastAsia="宋体" w:hAnsi="Times New Roman" w:cs="Times New Roman"/>
                <w:szCs w:val="21"/>
              </w:rPr>
              <w:t>等于</w:t>
            </w:r>
            <w:r w:rsidRPr="00AB1575">
              <w:rPr>
                <w:rFonts w:ascii="Times New Roman" w:eastAsia="宋体" w:hAnsi="Times New Roman" w:cs="Times New Roman"/>
                <w:szCs w:val="21"/>
              </w:rPr>
              <w:t xml:space="preserve"> 20%</w:t>
            </w:r>
            <w:proofErr w:type="gramEnd"/>
            <w:r w:rsidRPr="00AB1575">
              <w:rPr>
                <w:rFonts w:ascii="Times New Roman" w:eastAsia="宋体" w:hAnsi="Times New Roman" w:cs="Times New Roman"/>
                <w:szCs w:val="21"/>
              </w:rPr>
              <w:t>的液体混合物。</w:t>
            </w:r>
          </w:p>
        </w:tc>
        <w:tc>
          <w:tcPr>
            <w:tcW w:w="2551" w:type="dxa"/>
            <w:vAlign w:val="center"/>
          </w:tcPr>
          <w:p w14:paraId="63AAC32E"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290EAB6E"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7.2.4.1 </w:t>
            </w:r>
            <w:r w:rsidRPr="00AB1575">
              <w:rPr>
                <w:rFonts w:ascii="Times New Roman" w:eastAsia="宋体" w:hAnsi="Times New Roman" w:cs="Times New Roman"/>
                <w:szCs w:val="21"/>
              </w:rPr>
              <w:t>条</w:t>
            </w:r>
          </w:p>
        </w:tc>
        <w:tc>
          <w:tcPr>
            <w:tcW w:w="1560" w:type="dxa"/>
            <w:vAlign w:val="center"/>
          </w:tcPr>
          <w:p w14:paraId="32D36E22"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7434D9A7" w14:textId="77777777" w:rsidR="00AB1575" w:rsidRPr="00AB1575" w:rsidRDefault="00AB1575" w:rsidP="00AB1575">
            <w:pPr>
              <w:jc w:val="center"/>
              <w:rPr>
                <w:rFonts w:ascii="Times New Roman" w:eastAsia="宋体" w:hAnsi="Times New Roman" w:cs="Times New Roman"/>
                <w:szCs w:val="21"/>
              </w:rPr>
            </w:pPr>
          </w:p>
        </w:tc>
        <w:tc>
          <w:tcPr>
            <w:tcW w:w="1843" w:type="dxa"/>
          </w:tcPr>
          <w:p w14:paraId="2A8ECA90" w14:textId="77777777" w:rsidR="00AB1575" w:rsidRPr="00AB1575" w:rsidRDefault="00AB1575" w:rsidP="00AB1575">
            <w:pPr>
              <w:jc w:val="center"/>
              <w:rPr>
                <w:rFonts w:ascii="Times New Roman" w:eastAsia="宋体" w:hAnsi="Times New Roman" w:cs="Times New Roman"/>
                <w:szCs w:val="21"/>
              </w:rPr>
            </w:pPr>
          </w:p>
        </w:tc>
        <w:tc>
          <w:tcPr>
            <w:tcW w:w="2750" w:type="dxa"/>
          </w:tcPr>
          <w:p w14:paraId="42FDC98F" w14:textId="77777777" w:rsidR="00AB1575" w:rsidRPr="00AB1575" w:rsidRDefault="00AB1575" w:rsidP="00AB1575">
            <w:pPr>
              <w:jc w:val="center"/>
              <w:rPr>
                <w:rFonts w:ascii="Times New Roman" w:eastAsia="宋体" w:hAnsi="Times New Roman" w:cs="Times New Roman"/>
                <w:szCs w:val="21"/>
              </w:rPr>
            </w:pPr>
          </w:p>
        </w:tc>
        <w:tc>
          <w:tcPr>
            <w:tcW w:w="701" w:type="dxa"/>
          </w:tcPr>
          <w:p w14:paraId="1D2A4539" w14:textId="77777777" w:rsidR="00AB1575" w:rsidRPr="00AB1575" w:rsidRDefault="00AB1575" w:rsidP="00AB1575">
            <w:pPr>
              <w:jc w:val="center"/>
              <w:rPr>
                <w:rFonts w:ascii="Times New Roman" w:eastAsia="宋体" w:hAnsi="Times New Roman" w:cs="Times New Roman"/>
                <w:szCs w:val="21"/>
              </w:rPr>
            </w:pPr>
          </w:p>
        </w:tc>
      </w:tr>
      <w:tr w:rsidR="00AB1575" w:rsidRPr="00AB1575" w14:paraId="4F14E049" w14:textId="77777777" w:rsidTr="006209FB">
        <w:trPr>
          <w:jc w:val="center"/>
        </w:trPr>
        <w:tc>
          <w:tcPr>
            <w:tcW w:w="437" w:type="dxa"/>
            <w:vAlign w:val="center"/>
          </w:tcPr>
          <w:p w14:paraId="31AA3285"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8</w:t>
            </w:r>
          </w:p>
        </w:tc>
        <w:tc>
          <w:tcPr>
            <w:tcW w:w="2483" w:type="dxa"/>
            <w:vAlign w:val="center"/>
          </w:tcPr>
          <w:p w14:paraId="6960E710" w14:textId="77777777" w:rsidR="00AB1575" w:rsidRPr="00AB1575" w:rsidRDefault="00AB1575" w:rsidP="00AB1575">
            <w:pPr>
              <w:rPr>
                <w:rFonts w:ascii="Times New Roman" w:eastAsia="宋体" w:hAnsi="Times New Roman" w:cs="Times New Roman"/>
                <w:szCs w:val="21"/>
              </w:rPr>
            </w:pPr>
            <w:r w:rsidRPr="00AB1575">
              <w:rPr>
                <w:rFonts w:ascii="Times New Roman" w:eastAsia="宋体" w:hAnsi="Times New Roman" w:cs="Times New Roman"/>
                <w:szCs w:val="21"/>
              </w:rPr>
              <w:t>建设项目甲、乙类厂房（装置）内单品种桶装易燃、有毒液体物料</w:t>
            </w:r>
            <w:r w:rsidRPr="00AB1575">
              <w:rPr>
                <w:rFonts w:ascii="Times New Roman" w:eastAsia="宋体" w:hAnsi="Times New Roman" w:cs="Times New Roman"/>
                <w:szCs w:val="21"/>
              </w:rPr>
              <w:t>1</w:t>
            </w:r>
            <w:r w:rsidRPr="00AB1575">
              <w:rPr>
                <w:rFonts w:ascii="Times New Roman" w:eastAsia="宋体" w:hAnsi="Times New Roman" w:cs="Times New Roman"/>
                <w:szCs w:val="21"/>
              </w:rPr>
              <w:t>天（</w:t>
            </w:r>
            <w:r w:rsidRPr="00AB1575">
              <w:rPr>
                <w:rFonts w:ascii="Times New Roman" w:eastAsia="宋体" w:hAnsi="Times New Roman" w:cs="Times New Roman"/>
                <w:szCs w:val="21"/>
              </w:rPr>
              <w:t>24h</w:t>
            </w:r>
            <w:r w:rsidRPr="00AB1575">
              <w:rPr>
                <w:rFonts w:ascii="Times New Roman" w:eastAsia="宋体" w:hAnsi="Times New Roman" w:cs="Times New Roman"/>
                <w:szCs w:val="21"/>
              </w:rPr>
              <w:t>）使用量超过</w:t>
            </w:r>
            <w:r w:rsidRPr="00AB1575">
              <w:rPr>
                <w:rFonts w:ascii="Times New Roman" w:eastAsia="宋体" w:hAnsi="Times New Roman" w:cs="Times New Roman"/>
                <w:szCs w:val="21"/>
              </w:rPr>
              <w:t>1</w:t>
            </w:r>
            <w:r w:rsidRPr="00AB1575">
              <w:rPr>
                <w:rFonts w:ascii="Times New Roman" w:eastAsia="宋体" w:hAnsi="Times New Roman" w:cs="Times New Roman"/>
                <w:szCs w:val="21"/>
              </w:rPr>
              <w:t>吨时，应设置供料间转送物料。供料间布置在厂房（装置）内时，应设置在本厂房（装置）首层的一侧，并采用无门、窗、洞口的防火隔墙和耐火极限不低于</w:t>
            </w:r>
            <w:r w:rsidRPr="00AB1575">
              <w:rPr>
                <w:rFonts w:ascii="Times New Roman" w:eastAsia="宋体" w:hAnsi="Times New Roman" w:cs="Times New Roman"/>
                <w:szCs w:val="21"/>
              </w:rPr>
              <w:t>1.50h</w:t>
            </w:r>
            <w:r w:rsidRPr="00AB1575">
              <w:rPr>
                <w:rFonts w:ascii="Times New Roman" w:eastAsia="宋体" w:hAnsi="Times New Roman" w:cs="Times New Roman"/>
                <w:szCs w:val="21"/>
              </w:rPr>
              <w:t>的不燃性楼板与厂房（装置）的其他部位分隔。供料间应根据物料性质设置必要的隔离、防流散、防渗、防</w:t>
            </w:r>
            <w:r w:rsidRPr="00AB1575">
              <w:rPr>
                <w:rFonts w:ascii="Times New Roman" w:eastAsia="宋体" w:hAnsi="Times New Roman" w:cs="Times New Roman"/>
                <w:szCs w:val="21"/>
              </w:rPr>
              <w:lastRenderedPageBreak/>
              <w:t>腐、静电接地、机械通风设施以及可燃气体和有毒气体检测报警系统（</w:t>
            </w:r>
            <w:r w:rsidRPr="00AB1575">
              <w:rPr>
                <w:rFonts w:ascii="Times New Roman" w:eastAsia="宋体" w:hAnsi="Times New Roman" w:cs="Times New Roman"/>
                <w:szCs w:val="21"/>
              </w:rPr>
              <w:t>GDS</w:t>
            </w:r>
            <w:r w:rsidRPr="00AB1575">
              <w:rPr>
                <w:rFonts w:ascii="Times New Roman" w:eastAsia="宋体" w:hAnsi="Times New Roman" w:cs="Times New Roman"/>
                <w:szCs w:val="21"/>
              </w:rPr>
              <w:t>）等，并满足</w:t>
            </w:r>
            <w:r w:rsidRPr="00AB1575">
              <w:rPr>
                <w:rFonts w:ascii="Times New Roman" w:eastAsia="宋体" w:hAnsi="Times New Roman" w:cs="Times New Roman"/>
                <w:szCs w:val="21"/>
              </w:rPr>
              <w:t>9.2.10</w:t>
            </w:r>
            <w:r w:rsidRPr="00AB1575">
              <w:rPr>
                <w:rFonts w:ascii="Times New Roman" w:eastAsia="宋体" w:hAnsi="Times New Roman" w:cs="Times New Roman"/>
                <w:szCs w:val="21"/>
              </w:rPr>
              <w:t>中间仓库物料存放量的规定。</w:t>
            </w:r>
          </w:p>
        </w:tc>
        <w:tc>
          <w:tcPr>
            <w:tcW w:w="2551" w:type="dxa"/>
            <w:vAlign w:val="center"/>
          </w:tcPr>
          <w:p w14:paraId="458D4D5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58DCFE76"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7.2.4.2 </w:t>
            </w:r>
            <w:r w:rsidRPr="00AB1575">
              <w:rPr>
                <w:rFonts w:ascii="Times New Roman" w:eastAsia="宋体" w:hAnsi="Times New Roman" w:cs="Times New Roman"/>
                <w:szCs w:val="21"/>
              </w:rPr>
              <w:t>条</w:t>
            </w:r>
          </w:p>
        </w:tc>
        <w:tc>
          <w:tcPr>
            <w:tcW w:w="1560" w:type="dxa"/>
            <w:vAlign w:val="center"/>
          </w:tcPr>
          <w:p w14:paraId="311AD860"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6DEB96BD" w14:textId="77777777" w:rsidR="00AB1575" w:rsidRPr="00AB1575" w:rsidRDefault="00AB1575" w:rsidP="00AB1575">
            <w:pPr>
              <w:jc w:val="center"/>
              <w:rPr>
                <w:rFonts w:ascii="Times New Roman" w:eastAsia="宋体" w:hAnsi="Times New Roman" w:cs="Times New Roman"/>
                <w:szCs w:val="21"/>
              </w:rPr>
            </w:pPr>
          </w:p>
        </w:tc>
        <w:tc>
          <w:tcPr>
            <w:tcW w:w="1843" w:type="dxa"/>
          </w:tcPr>
          <w:p w14:paraId="0202D5E3" w14:textId="77777777" w:rsidR="00AB1575" w:rsidRPr="00AB1575" w:rsidRDefault="00AB1575" w:rsidP="00AB1575">
            <w:pPr>
              <w:jc w:val="center"/>
              <w:rPr>
                <w:rFonts w:ascii="Times New Roman" w:eastAsia="宋体" w:hAnsi="Times New Roman" w:cs="Times New Roman"/>
                <w:szCs w:val="21"/>
              </w:rPr>
            </w:pPr>
          </w:p>
        </w:tc>
        <w:tc>
          <w:tcPr>
            <w:tcW w:w="2750" w:type="dxa"/>
          </w:tcPr>
          <w:p w14:paraId="41D41771" w14:textId="77777777" w:rsidR="00AB1575" w:rsidRPr="00AB1575" w:rsidRDefault="00AB1575" w:rsidP="00AB1575">
            <w:pPr>
              <w:jc w:val="center"/>
              <w:rPr>
                <w:rFonts w:ascii="Times New Roman" w:eastAsia="宋体" w:hAnsi="Times New Roman" w:cs="Times New Roman"/>
                <w:szCs w:val="21"/>
              </w:rPr>
            </w:pPr>
          </w:p>
        </w:tc>
        <w:tc>
          <w:tcPr>
            <w:tcW w:w="701" w:type="dxa"/>
          </w:tcPr>
          <w:p w14:paraId="009429D1" w14:textId="77777777" w:rsidR="00AB1575" w:rsidRPr="00AB1575" w:rsidRDefault="00AB1575" w:rsidP="00AB1575">
            <w:pPr>
              <w:jc w:val="center"/>
              <w:rPr>
                <w:rFonts w:ascii="Times New Roman" w:eastAsia="宋体" w:hAnsi="Times New Roman" w:cs="Times New Roman"/>
                <w:szCs w:val="21"/>
              </w:rPr>
            </w:pPr>
          </w:p>
        </w:tc>
      </w:tr>
      <w:tr w:rsidR="00AB1575" w:rsidRPr="00AB1575" w14:paraId="2360483F" w14:textId="77777777" w:rsidTr="006209FB">
        <w:trPr>
          <w:jc w:val="center"/>
        </w:trPr>
        <w:tc>
          <w:tcPr>
            <w:tcW w:w="437" w:type="dxa"/>
            <w:vAlign w:val="center"/>
          </w:tcPr>
          <w:p w14:paraId="6EED348C"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9</w:t>
            </w:r>
          </w:p>
        </w:tc>
        <w:tc>
          <w:tcPr>
            <w:tcW w:w="2483" w:type="dxa"/>
            <w:vAlign w:val="center"/>
          </w:tcPr>
          <w:p w14:paraId="1D05D6F9"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液体物料应采用管道密闭输送，输送可燃介质的管道应符合静电导除的要求。可燃物料和急性毒性属于类别</w:t>
            </w:r>
            <w:r w:rsidRPr="00AB1575">
              <w:rPr>
                <w:rFonts w:ascii="Times New Roman" w:eastAsia="宋体" w:hAnsi="Times New Roman" w:cs="Times New Roman"/>
                <w:szCs w:val="21"/>
              </w:rPr>
              <w:t>1</w:t>
            </w:r>
            <w:r w:rsidRPr="00AB1575">
              <w:rPr>
                <w:rFonts w:ascii="Times New Roman" w:eastAsia="宋体" w:hAnsi="Times New Roman" w:cs="Times New Roman"/>
                <w:szCs w:val="21"/>
              </w:rPr>
              <w:t>、类别</w:t>
            </w:r>
            <w:r w:rsidRPr="00AB1575">
              <w:rPr>
                <w:rFonts w:ascii="Times New Roman" w:eastAsia="宋体" w:hAnsi="Times New Roman" w:cs="Times New Roman"/>
                <w:szCs w:val="21"/>
              </w:rPr>
              <w:t>2</w:t>
            </w:r>
            <w:r w:rsidRPr="00AB1575">
              <w:rPr>
                <w:rFonts w:ascii="Times New Roman" w:eastAsia="宋体" w:hAnsi="Times New Roman" w:cs="Times New Roman"/>
                <w:szCs w:val="21"/>
              </w:rPr>
              <w:t>物料的输送不应采用非金属管道。</w:t>
            </w:r>
          </w:p>
        </w:tc>
        <w:tc>
          <w:tcPr>
            <w:tcW w:w="2551" w:type="dxa"/>
            <w:vAlign w:val="center"/>
          </w:tcPr>
          <w:p w14:paraId="0414C88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2C5DB41E"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7.2.4.3 </w:t>
            </w:r>
            <w:r w:rsidRPr="00AB1575">
              <w:rPr>
                <w:rFonts w:ascii="Times New Roman" w:eastAsia="宋体" w:hAnsi="Times New Roman" w:cs="Times New Roman"/>
                <w:szCs w:val="21"/>
              </w:rPr>
              <w:t>条</w:t>
            </w:r>
          </w:p>
        </w:tc>
        <w:tc>
          <w:tcPr>
            <w:tcW w:w="1560" w:type="dxa"/>
            <w:vAlign w:val="center"/>
          </w:tcPr>
          <w:p w14:paraId="21D3AAE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现场核查</w:t>
            </w:r>
          </w:p>
        </w:tc>
        <w:tc>
          <w:tcPr>
            <w:tcW w:w="1984" w:type="dxa"/>
          </w:tcPr>
          <w:p w14:paraId="50504F1C" w14:textId="77777777" w:rsidR="00AB1575" w:rsidRPr="00AB1575" w:rsidRDefault="00AB1575" w:rsidP="00AB1575">
            <w:pPr>
              <w:jc w:val="center"/>
              <w:rPr>
                <w:rFonts w:ascii="Times New Roman" w:eastAsia="宋体" w:hAnsi="Times New Roman" w:cs="Times New Roman"/>
                <w:szCs w:val="21"/>
              </w:rPr>
            </w:pPr>
          </w:p>
        </w:tc>
        <w:tc>
          <w:tcPr>
            <w:tcW w:w="1843" w:type="dxa"/>
          </w:tcPr>
          <w:p w14:paraId="33F7D44B" w14:textId="77777777" w:rsidR="00AB1575" w:rsidRPr="00AB1575" w:rsidRDefault="00AB1575" w:rsidP="00AB1575">
            <w:pPr>
              <w:jc w:val="center"/>
              <w:rPr>
                <w:rFonts w:ascii="Times New Roman" w:eastAsia="宋体" w:hAnsi="Times New Roman" w:cs="Times New Roman"/>
                <w:szCs w:val="21"/>
              </w:rPr>
            </w:pPr>
          </w:p>
        </w:tc>
        <w:tc>
          <w:tcPr>
            <w:tcW w:w="2750" w:type="dxa"/>
          </w:tcPr>
          <w:p w14:paraId="45980308" w14:textId="77777777" w:rsidR="00AB1575" w:rsidRPr="00AB1575" w:rsidRDefault="00AB1575" w:rsidP="00AB1575">
            <w:pPr>
              <w:jc w:val="center"/>
              <w:rPr>
                <w:rFonts w:ascii="Times New Roman" w:eastAsia="宋体" w:hAnsi="Times New Roman" w:cs="Times New Roman"/>
                <w:szCs w:val="21"/>
              </w:rPr>
            </w:pPr>
          </w:p>
        </w:tc>
        <w:tc>
          <w:tcPr>
            <w:tcW w:w="701" w:type="dxa"/>
          </w:tcPr>
          <w:p w14:paraId="73B9362D" w14:textId="77777777" w:rsidR="00AB1575" w:rsidRPr="00AB1575" w:rsidRDefault="00AB1575" w:rsidP="00AB1575">
            <w:pPr>
              <w:jc w:val="center"/>
              <w:rPr>
                <w:rFonts w:ascii="Times New Roman" w:eastAsia="宋体" w:hAnsi="Times New Roman" w:cs="Times New Roman"/>
                <w:szCs w:val="21"/>
              </w:rPr>
            </w:pPr>
          </w:p>
        </w:tc>
      </w:tr>
      <w:tr w:rsidR="00AB1575" w:rsidRPr="00AB1575" w14:paraId="5ACD9C78" w14:textId="77777777" w:rsidTr="006209FB">
        <w:trPr>
          <w:jc w:val="center"/>
        </w:trPr>
        <w:tc>
          <w:tcPr>
            <w:tcW w:w="437" w:type="dxa"/>
            <w:vAlign w:val="center"/>
          </w:tcPr>
          <w:p w14:paraId="3FC061F1"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10</w:t>
            </w:r>
          </w:p>
        </w:tc>
        <w:tc>
          <w:tcPr>
            <w:tcW w:w="2483" w:type="dxa"/>
            <w:vAlign w:val="center"/>
          </w:tcPr>
          <w:p w14:paraId="527A3836"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桶装可燃液体生产、使用场所，应在设计中明确桶装可燃液体的放置位置（在设计图上标注）、最大放置总量（设计时应遵循尽可能减量的原则）和单个包装桶最大容积，并按设计严格限量。</w:t>
            </w:r>
          </w:p>
        </w:tc>
        <w:tc>
          <w:tcPr>
            <w:tcW w:w="2551" w:type="dxa"/>
            <w:vAlign w:val="center"/>
          </w:tcPr>
          <w:p w14:paraId="35CB4B68"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事故教训</w:t>
            </w:r>
          </w:p>
        </w:tc>
        <w:tc>
          <w:tcPr>
            <w:tcW w:w="1560" w:type="dxa"/>
            <w:vAlign w:val="center"/>
          </w:tcPr>
          <w:p w14:paraId="53189BD0"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721E5BE4" w14:textId="77777777" w:rsidR="00AB1575" w:rsidRPr="00AB1575" w:rsidRDefault="00AB1575" w:rsidP="00AB1575">
            <w:pPr>
              <w:jc w:val="center"/>
              <w:rPr>
                <w:rFonts w:ascii="Times New Roman" w:eastAsia="宋体" w:hAnsi="Times New Roman" w:cs="Times New Roman"/>
                <w:szCs w:val="21"/>
              </w:rPr>
            </w:pPr>
          </w:p>
        </w:tc>
        <w:tc>
          <w:tcPr>
            <w:tcW w:w="1843" w:type="dxa"/>
          </w:tcPr>
          <w:p w14:paraId="11B83829" w14:textId="77777777" w:rsidR="00AB1575" w:rsidRPr="00AB1575" w:rsidRDefault="00AB1575" w:rsidP="00AB1575">
            <w:pPr>
              <w:jc w:val="center"/>
              <w:rPr>
                <w:rFonts w:ascii="Times New Roman" w:eastAsia="宋体" w:hAnsi="Times New Roman" w:cs="Times New Roman"/>
                <w:szCs w:val="21"/>
              </w:rPr>
            </w:pPr>
          </w:p>
        </w:tc>
        <w:tc>
          <w:tcPr>
            <w:tcW w:w="2750" w:type="dxa"/>
          </w:tcPr>
          <w:p w14:paraId="634F39F6" w14:textId="77777777" w:rsidR="00AB1575" w:rsidRPr="00AB1575" w:rsidRDefault="00AB1575" w:rsidP="00AB1575">
            <w:pPr>
              <w:jc w:val="center"/>
              <w:rPr>
                <w:rFonts w:ascii="Times New Roman" w:eastAsia="宋体" w:hAnsi="Times New Roman" w:cs="Times New Roman"/>
                <w:szCs w:val="21"/>
              </w:rPr>
            </w:pPr>
          </w:p>
        </w:tc>
        <w:tc>
          <w:tcPr>
            <w:tcW w:w="701" w:type="dxa"/>
          </w:tcPr>
          <w:p w14:paraId="716F6DA1" w14:textId="77777777" w:rsidR="00AB1575" w:rsidRPr="00AB1575" w:rsidRDefault="00AB1575" w:rsidP="00AB1575">
            <w:pPr>
              <w:jc w:val="center"/>
              <w:rPr>
                <w:rFonts w:ascii="Times New Roman" w:eastAsia="宋体" w:hAnsi="Times New Roman" w:cs="Times New Roman"/>
                <w:szCs w:val="21"/>
              </w:rPr>
            </w:pPr>
          </w:p>
        </w:tc>
      </w:tr>
      <w:tr w:rsidR="00AB1575" w:rsidRPr="00AB1575" w14:paraId="4AB45C5C" w14:textId="77777777" w:rsidTr="006209FB">
        <w:trPr>
          <w:jc w:val="center"/>
        </w:trPr>
        <w:tc>
          <w:tcPr>
            <w:tcW w:w="437" w:type="dxa"/>
            <w:vAlign w:val="center"/>
          </w:tcPr>
          <w:p w14:paraId="1CF87F7D"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11</w:t>
            </w:r>
          </w:p>
        </w:tc>
        <w:tc>
          <w:tcPr>
            <w:tcW w:w="2483" w:type="dxa"/>
            <w:vAlign w:val="center"/>
          </w:tcPr>
          <w:p w14:paraId="043F945D"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桶装易燃液体开桶、取样、分装、装桶、打料、涨桶处置等作业设施、作业工具应符合防火防爆、防静电等安全要求。</w:t>
            </w:r>
          </w:p>
        </w:tc>
        <w:tc>
          <w:tcPr>
            <w:tcW w:w="2551" w:type="dxa"/>
            <w:vAlign w:val="center"/>
          </w:tcPr>
          <w:p w14:paraId="162B5EDF"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事故教训</w:t>
            </w:r>
          </w:p>
        </w:tc>
        <w:tc>
          <w:tcPr>
            <w:tcW w:w="1560" w:type="dxa"/>
            <w:vAlign w:val="center"/>
          </w:tcPr>
          <w:p w14:paraId="18E35580"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现场核查</w:t>
            </w:r>
          </w:p>
        </w:tc>
        <w:tc>
          <w:tcPr>
            <w:tcW w:w="1984" w:type="dxa"/>
          </w:tcPr>
          <w:p w14:paraId="6453C3B9" w14:textId="77777777" w:rsidR="00AB1575" w:rsidRPr="00AB1575" w:rsidRDefault="00AB1575" w:rsidP="00AB1575">
            <w:pPr>
              <w:jc w:val="center"/>
              <w:rPr>
                <w:rFonts w:ascii="Times New Roman" w:eastAsia="宋体" w:hAnsi="Times New Roman" w:cs="Times New Roman"/>
                <w:szCs w:val="21"/>
              </w:rPr>
            </w:pPr>
          </w:p>
        </w:tc>
        <w:tc>
          <w:tcPr>
            <w:tcW w:w="1843" w:type="dxa"/>
          </w:tcPr>
          <w:p w14:paraId="7C888132" w14:textId="77777777" w:rsidR="00AB1575" w:rsidRPr="00AB1575" w:rsidRDefault="00AB1575" w:rsidP="00AB1575">
            <w:pPr>
              <w:jc w:val="center"/>
              <w:rPr>
                <w:rFonts w:ascii="Times New Roman" w:eastAsia="宋体" w:hAnsi="Times New Roman" w:cs="Times New Roman"/>
                <w:szCs w:val="21"/>
              </w:rPr>
            </w:pPr>
          </w:p>
        </w:tc>
        <w:tc>
          <w:tcPr>
            <w:tcW w:w="2750" w:type="dxa"/>
          </w:tcPr>
          <w:p w14:paraId="1BD15812" w14:textId="77777777" w:rsidR="00AB1575" w:rsidRPr="00AB1575" w:rsidRDefault="00AB1575" w:rsidP="00AB1575">
            <w:pPr>
              <w:jc w:val="center"/>
              <w:rPr>
                <w:rFonts w:ascii="Times New Roman" w:eastAsia="宋体" w:hAnsi="Times New Roman" w:cs="Times New Roman"/>
                <w:szCs w:val="21"/>
              </w:rPr>
            </w:pPr>
          </w:p>
        </w:tc>
        <w:tc>
          <w:tcPr>
            <w:tcW w:w="701" w:type="dxa"/>
          </w:tcPr>
          <w:p w14:paraId="492C7C96" w14:textId="77777777" w:rsidR="00AB1575" w:rsidRPr="00AB1575" w:rsidRDefault="00AB1575" w:rsidP="00AB1575">
            <w:pPr>
              <w:jc w:val="center"/>
              <w:rPr>
                <w:rFonts w:ascii="Times New Roman" w:eastAsia="宋体" w:hAnsi="Times New Roman" w:cs="Times New Roman"/>
                <w:szCs w:val="21"/>
              </w:rPr>
            </w:pPr>
          </w:p>
        </w:tc>
      </w:tr>
      <w:tr w:rsidR="00AB1575" w:rsidRPr="00AB1575" w14:paraId="2895D130" w14:textId="77777777" w:rsidTr="006209FB">
        <w:trPr>
          <w:jc w:val="center"/>
        </w:trPr>
        <w:tc>
          <w:tcPr>
            <w:tcW w:w="437" w:type="dxa"/>
            <w:vAlign w:val="center"/>
          </w:tcPr>
          <w:p w14:paraId="04481569"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12</w:t>
            </w:r>
          </w:p>
        </w:tc>
        <w:tc>
          <w:tcPr>
            <w:tcW w:w="2483" w:type="dxa"/>
            <w:vAlign w:val="center"/>
          </w:tcPr>
          <w:p w14:paraId="5C6A0468"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企业应制定桶装可燃液体相关作业的安全操作规程，并教育和督促作业人员严格执行安全操作</w:t>
            </w:r>
            <w:r w:rsidRPr="00AB1575">
              <w:rPr>
                <w:rFonts w:ascii="Times New Roman" w:eastAsia="宋体" w:hAnsi="Times New Roman" w:cs="Times New Roman"/>
                <w:szCs w:val="21"/>
              </w:rPr>
              <w:lastRenderedPageBreak/>
              <w:t>规程。</w:t>
            </w:r>
          </w:p>
        </w:tc>
        <w:tc>
          <w:tcPr>
            <w:tcW w:w="2551" w:type="dxa"/>
            <w:vAlign w:val="center"/>
          </w:tcPr>
          <w:p w14:paraId="6A37EA83"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lastRenderedPageBreak/>
              <w:t>事故教训</w:t>
            </w:r>
          </w:p>
        </w:tc>
        <w:tc>
          <w:tcPr>
            <w:tcW w:w="1560" w:type="dxa"/>
            <w:vAlign w:val="center"/>
          </w:tcPr>
          <w:p w14:paraId="7E2C908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查安全操作规程</w:t>
            </w:r>
          </w:p>
        </w:tc>
        <w:tc>
          <w:tcPr>
            <w:tcW w:w="1984" w:type="dxa"/>
          </w:tcPr>
          <w:p w14:paraId="0EB1B5A8" w14:textId="77777777" w:rsidR="00AB1575" w:rsidRPr="00AB1575" w:rsidRDefault="00AB1575" w:rsidP="00AB1575">
            <w:pPr>
              <w:jc w:val="center"/>
              <w:rPr>
                <w:rFonts w:ascii="Times New Roman" w:eastAsia="宋体" w:hAnsi="Times New Roman" w:cs="Times New Roman"/>
                <w:szCs w:val="21"/>
              </w:rPr>
            </w:pPr>
          </w:p>
        </w:tc>
        <w:tc>
          <w:tcPr>
            <w:tcW w:w="1843" w:type="dxa"/>
          </w:tcPr>
          <w:p w14:paraId="5292B86F" w14:textId="77777777" w:rsidR="00AB1575" w:rsidRPr="00AB1575" w:rsidRDefault="00AB1575" w:rsidP="00AB1575">
            <w:pPr>
              <w:jc w:val="center"/>
              <w:rPr>
                <w:rFonts w:ascii="Times New Roman" w:eastAsia="宋体" w:hAnsi="Times New Roman" w:cs="Times New Roman"/>
                <w:szCs w:val="21"/>
              </w:rPr>
            </w:pPr>
          </w:p>
        </w:tc>
        <w:tc>
          <w:tcPr>
            <w:tcW w:w="2750" w:type="dxa"/>
          </w:tcPr>
          <w:p w14:paraId="61BA6253" w14:textId="77777777" w:rsidR="00AB1575" w:rsidRPr="00AB1575" w:rsidRDefault="00AB1575" w:rsidP="00AB1575">
            <w:pPr>
              <w:jc w:val="center"/>
              <w:rPr>
                <w:rFonts w:ascii="Times New Roman" w:eastAsia="宋体" w:hAnsi="Times New Roman" w:cs="Times New Roman"/>
                <w:szCs w:val="21"/>
              </w:rPr>
            </w:pPr>
          </w:p>
        </w:tc>
        <w:tc>
          <w:tcPr>
            <w:tcW w:w="701" w:type="dxa"/>
          </w:tcPr>
          <w:p w14:paraId="465AE87D" w14:textId="77777777" w:rsidR="00AB1575" w:rsidRPr="00AB1575" w:rsidRDefault="00AB1575" w:rsidP="00AB1575">
            <w:pPr>
              <w:jc w:val="center"/>
              <w:rPr>
                <w:rFonts w:ascii="Times New Roman" w:eastAsia="宋体" w:hAnsi="Times New Roman" w:cs="Times New Roman"/>
                <w:szCs w:val="21"/>
              </w:rPr>
            </w:pPr>
          </w:p>
        </w:tc>
      </w:tr>
      <w:tr w:rsidR="00AB1575" w:rsidRPr="00AB1575" w14:paraId="38E99FAC" w14:textId="77777777" w:rsidTr="006209FB">
        <w:trPr>
          <w:jc w:val="center"/>
        </w:trPr>
        <w:tc>
          <w:tcPr>
            <w:tcW w:w="437" w:type="dxa"/>
            <w:vAlign w:val="center"/>
          </w:tcPr>
          <w:p w14:paraId="1686E6BF"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13</w:t>
            </w:r>
          </w:p>
        </w:tc>
        <w:tc>
          <w:tcPr>
            <w:tcW w:w="2483" w:type="dxa"/>
            <w:vAlign w:val="center"/>
          </w:tcPr>
          <w:p w14:paraId="504EEBBA"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1.</w:t>
            </w:r>
            <w:r w:rsidRPr="00AB1575">
              <w:rPr>
                <w:rFonts w:ascii="Times New Roman" w:eastAsia="宋体" w:hAnsi="Times New Roman" w:cs="Times New Roman"/>
                <w:szCs w:val="21"/>
              </w:rPr>
              <w:t>采用共线设施的精细化工装置，应结合反应物料及工艺，充分考虑各产品生产工艺操作参数与设备的符合性、产能的匹配性、自动控制系统调整的要求和安全可靠性以及防爆电气的选型、反应釜的泄压设施等。</w:t>
            </w:r>
            <w:r w:rsidRPr="00AB1575">
              <w:rPr>
                <w:rFonts w:ascii="Times New Roman" w:eastAsia="宋体" w:hAnsi="Times New Roman" w:cs="Times New Roman"/>
                <w:szCs w:val="21"/>
              </w:rPr>
              <w:br/>
              <w:t>2.</w:t>
            </w:r>
            <w:r w:rsidRPr="00AB1575">
              <w:rPr>
                <w:rFonts w:ascii="Times New Roman" w:eastAsia="宋体" w:hAnsi="Times New Roman" w:cs="Times New Roman"/>
                <w:szCs w:val="21"/>
              </w:rPr>
              <w:t>建设项目涉及的产品切换时可能存在物料不相容的共线设施，应设计批量控制程序（系统）实现不同生产工况下的自动切换。</w:t>
            </w:r>
          </w:p>
        </w:tc>
        <w:tc>
          <w:tcPr>
            <w:tcW w:w="2551" w:type="dxa"/>
            <w:vAlign w:val="center"/>
          </w:tcPr>
          <w:p w14:paraId="7EB61D34"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2B8B3D8B"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7.2.5.1 </w:t>
            </w:r>
            <w:r w:rsidRPr="00AB1575">
              <w:rPr>
                <w:rFonts w:ascii="Times New Roman" w:eastAsia="宋体" w:hAnsi="Times New Roman" w:cs="Times New Roman"/>
                <w:szCs w:val="21"/>
              </w:rPr>
              <w:t>条、</w:t>
            </w:r>
            <w:proofErr w:type="gramStart"/>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7.2.5.2 </w:t>
            </w:r>
            <w:proofErr w:type="gramEnd"/>
            <w:r w:rsidRPr="00AB1575">
              <w:rPr>
                <w:rFonts w:ascii="Times New Roman" w:eastAsia="宋体" w:hAnsi="Times New Roman" w:cs="Times New Roman"/>
                <w:szCs w:val="21"/>
              </w:rPr>
              <w:t>条</w:t>
            </w:r>
          </w:p>
        </w:tc>
        <w:tc>
          <w:tcPr>
            <w:tcW w:w="1560" w:type="dxa"/>
            <w:vAlign w:val="center"/>
          </w:tcPr>
          <w:p w14:paraId="17C4B578"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70728A5E" w14:textId="77777777" w:rsidR="00AB1575" w:rsidRPr="00AB1575" w:rsidRDefault="00AB1575" w:rsidP="00AB1575">
            <w:pPr>
              <w:jc w:val="center"/>
              <w:rPr>
                <w:rFonts w:ascii="Times New Roman" w:eastAsia="宋体" w:hAnsi="Times New Roman" w:cs="Times New Roman"/>
                <w:szCs w:val="21"/>
              </w:rPr>
            </w:pPr>
          </w:p>
        </w:tc>
        <w:tc>
          <w:tcPr>
            <w:tcW w:w="1843" w:type="dxa"/>
          </w:tcPr>
          <w:p w14:paraId="753326D1" w14:textId="77777777" w:rsidR="00AB1575" w:rsidRPr="00AB1575" w:rsidRDefault="00AB1575" w:rsidP="00AB1575">
            <w:pPr>
              <w:jc w:val="center"/>
              <w:rPr>
                <w:rFonts w:ascii="Times New Roman" w:eastAsia="宋体" w:hAnsi="Times New Roman" w:cs="Times New Roman"/>
                <w:szCs w:val="21"/>
              </w:rPr>
            </w:pPr>
          </w:p>
        </w:tc>
        <w:tc>
          <w:tcPr>
            <w:tcW w:w="2750" w:type="dxa"/>
          </w:tcPr>
          <w:p w14:paraId="466504B4" w14:textId="77777777" w:rsidR="00AB1575" w:rsidRPr="00AB1575" w:rsidRDefault="00AB1575" w:rsidP="00AB1575">
            <w:pPr>
              <w:jc w:val="center"/>
              <w:rPr>
                <w:rFonts w:ascii="Times New Roman" w:eastAsia="宋体" w:hAnsi="Times New Roman" w:cs="Times New Roman"/>
                <w:szCs w:val="21"/>
              </w:rPr>
            </w:pPr>
          </w:p>
        </w:tc>
        <w:tc>
          <w:tcPr>
            <w:tcW w:w="701" w:type="dxa"/>
          </w:tcPr>
          <w:p w14:paraId="2C725312" w14:textId="77777777" w:rsidR="00AB1575" w:rsidRPr="00AB1575" w:rsidRDefault="00AB1575" w:rsidP="00AB1575">
            <w:pPr>
              <w:jc w:val="center"/>
              <w:rPr>
                <w:rFonts w:ascii="Times New Roman" w:eastAsia="宋体" w:hAnsi="Times New Roman" w:cs="Times New Roman"/>
                <w:szCs w:val="21"/>
              </w:rPr>
            </w:pPr>
          </w:p>
        </w:tc>
      </w:tr>
      <w:tr w:rsidR="00AB1575" w:rsidRPr="00AB1575" w14:paraId="3BA156CA" w14:textId="77777777" w:rsidTr="006209FB">
        <w:trPr>
          <w:jc w:val="center"/>
        </w:trPr>
        <w:tc>
          <w:tcPr>
            <w:tcW w:w="437" w:type="dxa"/>
            <w:vAlign w:val="center"/>
          </w:tcPr>
          <w:p w14:paraId="69F71185" w14:textId="60D2ADCC"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w:t>
            </w:r>
            <w:r w:rsidR="00BA773D">
              <w:rPr>
                <w:rFonts w:ascii="Times New Roman" w:eastAsia="宋体" w:hAnsi="Times New Roman" w:cs="Times New Roman" w:hint="eastAsia"/>
                <w:szCs w:val="21"/>
              </w:rPr>
              <w:t>4</w:t>
            </w:r>
          </w:p>
        </w:tc>
        <w:tc>
          <w:tcPr>
            <w:tcW w:w="2483" w:type="dxa"/>
            <w:vAlign w:val="center"/>
          </w:tcPr>
          <w:p w14:paraId="46681081"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危险化学品计量槽、高位槽应设置液位高、低报警，并设置溢流管道或采取液位高高报警值联锁停进料措施。</w:t>
            </w:r>
          </w:p>
        </w:tc>
        <w:tc>
          <w:tcPr>
            <w:tcW w:w="2551" w:type="dxa"/>
            <w:vAlign w:val="center"/>
          </w:tcPr>
          <w:p w14:paraId="214E0200"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48AF8B5F"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7.4.2.4 </w:t>
            </w:r>
            <w:r w:rsidRPr="00AB1575">
              <w:rPr>
                <w:rFonts w:ascii="Times New Roman" w:eastAsia="宋体" w:hAnsi="Times New Roman" w:cs="Times New Roman"/>
                <w:szCs w:val="21"/>
              </w:rPr>
              <w:t>条</w:t>
            </w:r>
          </w:p>
        </w:tc>
        <w:tc>
          <w:tcPr>
            <w:tcW w:w="1560" w:type="dxa"/>
            <w:vAlign w:val="center"/>
          </w:tcPr>
          <w:p w14:paraId="11829F65"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5B299E09" w14:textId="77777777" w:rsidR="00AB1575" w:rsidRPr="00AB1575" w:rsidRDefault="00AB1575" w:rsidP="00AB1575">
            <w:pPr>
              <w:jc w:val="center"/>
              <w:rPr>
                <w:rFonts w:ascii="Times New Roman" w:eastAsia="宋体" w:hAnsi="Times New Roman" w:cs="Times New Roman"/>
                <w:szCs w:val="21"/>
              </w:rPr>
            </w:pPr>
          </w:p>
        </w:tc>
        <w:tc>
          <w:tcPr>
            <w:tcW w:w="1843" w:type="dxa"/>
          </w:tcPr>
          <w:p w14:paraId="66A0AFE2" w14:textId="77777777" w:rsidR="00AB1575" w:rsidRPr="00AB1575" w:rsidRDefault="00AB1575" w:rsidP="00AB1575">
            <w:pPr>
              <w:jc w:val="center"/>
              <w:rPr>
                <w:rFonts w:ascii="Times New Roman" w:eastAsia="宋体" w:hAnsi="Times New Roman" w:cs="Times New Roman"/>
                <w:szCs w:val="21"/>
              </w:rPr>
            </w:pPr>
          </w:p>
        </w:tc>
        <w:tc>
          <w:tcPr>
            <w:tcW w:w="2750" w:type="dxa"/>
          </w:tcPr>
          <w:p w14:paraId="3D887187" w14:textId="77777777" w:rsidR="00AB1575" w:rsidRPr="00AB1575" w:rsidRDefault="00AB1575" w:rsidP="00AB1575">
            <w:pPr>
              <w:jc w:val="center"/>
              <w:rPr>
                <w:rFonts w:ascii="Times New Roman" w:eastAsia="宋体" w:hAnsi="Times New Roman" w:cs="Times New Roman"/>
                <w:szCs w:val="21"/>
              </w:rPr>
            </w:pPr>
          </w:p>
        </w:tc>
        <w:tc>
          <w:tcPr>
            <w:tcW w:w="701" w:type="dxa"/>
          </w:tcPr>
          <w:p w14:paraId="36782E9F" w14:textId="77777777" w:rsidR="00AB1575" w:rsidRPr="00AB1575" w:rsidRDefault="00AB1575" w:rsidP="00AB1575">
            <w:pPr>
              <w:jc w:val="center"/>
              <w:rPr>
                <w:rFonts w:ascii="Times New Roman" w:eastAsia="宋体" w:hAnsi="Times New Roman" w:cs="Times New Roman"/>
                <w:szCs w:val="21"/>
              </w:rPr>
            </w:pPr>
          </w:p>
        </w:tc>
      </w:tr>
      <w:tr w:rsidR="00AB1575" w:rsidRPr="00AB1575" w14:paraId="0BB7814A" w14:textId="77777777" w:rsidTr="006209FB">
        <w:trPr>
          <w:jc w:val="center"/>
        </w:trPr>
        <w:tc>
          <w:tcPr>
            <w:tcW w:w="437" w:type="dxa"/>
            <w:vAlign w:val="center"/>
          </w:tcPr>
          <w:p w14:paraId="378B52BC" w14:textId="11040D09"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1</w:t>
            </w:r>
            <w:r w:rsidR="00BA773D">
              <w:rPr>
                <w:rFonts w:ascii="Times New Roman" w:eastAsia="宋体" w:hAnsi="Times New Roman" w:cs="Times New Roman" w:hint="eastAsia"/>
                <w:szCs w:val="21"/>
              </w:rPr>
              <w:t>5</w:t>
            </w:r>
          </w:p>
        </w:tc>
        <w:tc>
          <w:tcPr>
            <w:tcW w:w="2483" w:type="dxa"/>
            <w:vAlign w:val="center"/>
          </w:tcPr>
          <w:p w14:paraId="76F1B77B" w14:textId="77777777" w:rsidR="00AB1575" w:rsidRPr="00AB1575" w:rsidRDefault="00AB1575" w:rsidP="00AB1575">
            <w:pPr>
              <w:rPr>
                <w:rFonts w:ascii="Times New Roman" w:eastAsia="宋体" w:hAnsi="Times New Roman" w:cs="Times New Roman"/>
                <w:color w:val="000000"/>
                <w:szCs w:val="21"/>
              </w:rPr>
            </w:pPr>
            <w:r w:rsidRPr="00AB1575">
              <w:rPr>
                <w:rFonts w:ascii="Times New Roman" w:eastAsia="宋体" w:hAnsi="Times New Roman" w:cs="Times New Roman"/>
                <w:szCs w:val="21"/>
              </w:rPr>
              <w:t>涉及有毒气体应急处置系统的吸收剂供应泵、吸收剂循环泵和尾气风机等设备应设置应急电源，其配电、控制线路应具备阻燃耐火性能或采取防火保护措施。</w:t>
            </w:r>
          </w:p>
        </w:tc>
        <w:tc>
          <w:tcPr>
            <w:tcW w:w="2551" w:type="dxa"/>
            <w:vAlign w:val="center"/>
          </w:tcPr>
          <w:p w14:paraId="3218EAF0"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00F9B968"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t>第</w:t>
            </w:r>
            <w:r w:rsidRPr="00AB1575">
              <w:rPr>
                <w:rFonts w:ascii="Times New Roman" w:eastAsia="宋体" w:hAnsi="Times New Roman" w:cs="Times New Roman"/>
                <w:szCs w:val="21"/>
              </w:rPr>
              <w:t xml:space="preserve"> 7.</w:t>
            </w:r>
            <w:proofErr w:type="gramStart"/>
            <w:r w:rsidRPr="00AB1575">
              <w:rPr>
                <w:rFonts w:ascii="Times New Roman" w:eastAsia="宋体" w:hAnsi="Times New Roman" w:cs="Times New Roman"/>
                <w:szCs w:val="21"/>
              </w:rPr>
              <w:t xml:space="preserve">5.5 </w:t>
            </w:r>
            <w:r w:rsidRPr="00AB1575">
              <w:rPr>
                <w:rFonts w:ascii="Times New Roman" w:eastAsia="宋体" w:hAnsi="Times New Roman" w:cs="Times New Roman"/>
                <w:szCs w:val="21"/>
              </w:rPr>
              <w:t>条</w:t>
            </w:r>
            <w:proofErr w:type="gramEnd"/>
          </w:p>
        </w:tc>
        <w:tc>
          <w:tcPr>
            <w:tcW w:w="1560" w:type="dxa"/>
            <w:vAlign w:val="center"/>
          </w:tcPr>
          <w:p w14:paraId="074A7173"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t>查阅安全设施设计报告、竣工验收报告、现状评价报告，现场核查。</w:t>
            </w:r>
          </w:p>
        </w:tc>
        <w:tc>
          <w:tcPr>
            <w:tcW w:w="1984" w:type="dxa"/>
          </w:tcPr>
          <w:p w14:paraId="4DEEF1C4" w14:textId="77777777" w:rsidR="00AB1575" w:rsidRPr="00AB1575" w:rsidRDefault="00AB1575" w:rsidP="00AB1575">
            <w:pPr>
              <w:jc w:val="center"/>
              <w:rPr>
                <w:rFonts w:ascii="Times New Roman" w:eastAsia="宋体" w:hAnsi="Times New Roman" w:cs="Times New Roman"/>
                <w:szCs w:val="21"/>
              </w:rPr>
            </w:pPr>
          </w:p>
        </w:tc>
        <w:tc>
          <w:tcPr>
            <w:tcW w:w="1843" w:type="dxa"/>
          </w:tcPr>
          <w:p w14:paraId="62BDB8E4" w14:textId="77777777" w:rsidR="00AB1575" w:rsidRPr="00AB1575" w:rsidRDefault="00AB1575" w:rsidP="00AB1575">
            <w:pPr>
              <w:jc w:val="center"/>
              <w:rPr>
                <w:rFonts w:ascii="Times New Roman" w:eastAsia="宋体" w:hAnsi="Times New Roman" w:cs="Times New Roman"/>
                <w:szCs w:val="21"/>
              </w:rPr>
            </w:pPr>
          </w:p>
        </w:tc>
        <w:tc>
          <w:tcPr>
            <w:tcW w:w="2750" w:type="dxa"/>
          </w:tcPr>
          <w:p w14:paraId="236AEC54" w14:textId="77777777" w:rsidR="00AB1575" w:rsidRPr="00AB1575" w:rsidRDefault="00AB1575" w:rsidP="00AB1575">
            <w:pPr>
              <w:jc w:val="center"/>
              <w:rPr>
                <w:rFonts w:ascii="Times New Roman" w:eastAsia="宋体" w:hAnsi="Times New Roman" w:cs="Times New Roman"/>
                <w:szCs w:val="21"/>
              </w:rPr>
            </w:pPr>
          </w:p>
        </w:tc>
        <w:tc>
          <w:tcPr>
            <w:tcW w:w="701" w:type="dxa"/>
          </w:tcPr>
          <w:p w14:paraId="57F922C3" w14:textId="77777777" w:rsidR="00AB1575" w:rsidRPr="00AB1575" w:rsidRDefault="00AB1575" w:rsidP="00AB1575">
            <w:pPr>
              <w:jc w:val="center"/>
              <w:rPr>
                <w:rFonts w:ascii="Times New Roman" w:eastAsia="宋体" w:hAnsi="Times New Roman" w:cs="Times New Roman"/>
                <w:szCs w:val="21"/>
              </w:rPr>
            </w:pPr>
          </w:p>
        </w:tc>
      </w:tr>
      <w:tr w:rsidR="00AB1575" w:rsidRPr="00AB1575" w14:paraId="4C80A4E4" w14:textId="77777777" w:rsidTr="006209FB">
        <w:trPr>
          <w:jc w:val="center"/>
        </w:trPr>
        <w:tc>
          <w:tcPr>
            <w:tcW w:w="437" w:type="dxa"/>
            <w:vAlign w:val="center"/>
          </w:tcPr>
          <w:p w14:paraId="19E79D52" w14:textId="74CF83B6" w:rsidR="00AB1575" w:rsidRPr="00AB1575" w:rsidRDefault="00BA773D" w:rsidP="00AB1575">
            <w:pPr>
              <w:jc w:val="center"/>
              <w:rPr>
                <w:rFonts w:ascii="Times New Roman" w:eastAsia="宋体" w:hAnsi="Times New Roman" w:cs="Times New Roman"/>
                <w:szCs w:val="21"/>
              </w:rPr>
            </w:pPr>
            <w:r>
              <w:rPr>
                <w:rFonts w:ascii="Times New Roman" w:eastAsia="宋体" w:hAnsi="Times New Roman" w:cs="Times New Roman" w:hint="eastAsia"/>
                <w:szCs w:val="21"/>
              </w:rPr>
              <w:t>16</w:t>
            </w:r>
          </w:p>
        </w:tc>
        <w:tc>
          <w:tcPr>
            <w:tcW w:w="2483" w:type="dxa"/>
            <w:vAlign w:val="center"/>
          </w:tcPr>
          <w:p w14:paraId="658B176C" w14:textId="77777777" w:rsidR="00AB1575" w:rsidRPr="00AB1575" w:rsidRDefault="00AB1575" w:rsidP="00AB1575">
            <w:pPr>
              <w:rPr>
                <w:rFonts w:ascii="Times New Roman" w:eastAsia="宋体" w:hAnsi="Times New Roman" w:cs="Times New Roman"/>
                <w:szCs w:val="21"/>
              </w:rPr>
            </w:pPr>
            <w:r w:rsidRPr="00AB1575">
              <w:rPr>
                <w:rFonts w:ascii="Times New Roman" w:eastAsia="宋体" w:hAnsi="Times New Roman" w:cs="Times New Roman"/>
                <w:szCs w:val="21"/>
              </w:rPr>
              <w:t>厂房（装置</w:t>
            </w:r>
            <w:proofErr w:type="gramStart"/>
            <w:r w:rsidRPr="00AB1575">
              <w:rPr>
                <w:rFonts w:ascii="Times New Roman" w:eastAsia="宋体" w:hAnsi="Times New Roman" w:cs="Times New Roman"/>
                <w:szCs w:val="21"/>
              </w:rPr>
              <w:t>）</w:t>
            </w:r>
            <w:r w:rsidRPr="00AB1575">
              <w:rPr>
                <w:rFonts w:ascii="Times New Roman" w:eastAsia="宋体" w:hAnsi="Times New Roman" w:cs="Times New Roman"/>
                <w:szCs w:val="21"/>
              </w:rPr>
              <w:t xml:space="preserve"> </w:t>
            </w:r>
            <w:r w:rsidRPr="00AB1575">
              <w:rPr>
                <w:rFonts w:ascii="Times New Roman" w:eastAsia="宋体" w:hAnsi="Times New Roman" w:cs="Times New Roman"/>
                <w:szCs w:val="21"/>
              </w:rPr>
              <w:t>内</w:t>
            </w:r>
            <w:proofErr w:type="gramEnd"/>
            <w:r w:rsidRPr="00AB1575">
              <w:rPr>
                <w:rFonts w:ascii="Times New Roman" w:eastAsia="宋体" w:hAnsi="Times New Roman" w:cs="Times New Roman"/>
                <w:szCs w:val="21"/>
              </w:rPr>
              <w:t>物料的存放符合下列要求：</w:t>
            </w:r>
            <w:r w:rsidRPr="00AB1575">
              <w:rPr>
                <w:rFonts w:ascii="Times New Roman" w:eastAsia="宋体" w:hAnsi="Times New Roman" w:cs="Times New Roman"/>
                <w:szCs w:val="21"/>
              </w:rPr>
              <w:br/>
            </w:r>
            <w:r w:rsidRPr="00AB1575">
              <w:rPr>
                <w:rFonts w:ascii="Times New Roman" w:eastAsia="宋体" w:hAnsi="Times New Roman" w:cs="Times New Roman"/>
                <w:szCs w:val="21"/>
              </w:rPr>
              <w:lastRenderedPageBreak/>
              <w:t>1.</w:t>
            </w:r>
            <w:r w:rsidRPr="00AB1575">
              <w:rPr>
                <w:rFonts w:ascii="Times New Roman" w:eastAsia="宋体" w:hAnsi="Times New Roman" w:cs="Times New Roman"/>
                <w:szCs w:val="21"/>
              </w:rPr>
              <w:t>原料、辅料、产品、中间产品、副产品、包装物等应定点存放，存放量不应超过单班或单批次使用（生产）量；</w:t>
            </w:r>
            <w:r w:rsidRPr="00AB1575">
              <w:rPr>
                <w:rFonts w:ascii="Times New Roman" w:eastAsia="宋体" w:hAnsi="Times New Roman" w:cs="Times New Roman"/>
                <w:szCs w:val="21"/>
              </w:rPr>
              <w:br/>
              <w:t>2.</w:t>
            </w:r>
            <w:r w:rsidRPr="00AB1575">
              <w:rPr>
                <w:rFonts w:ascii="Times New Roman" w:eastAsia="宋体" w:hAnsi="Times New Roman" w:cs="Times New Roman"/>
                <w:szCs w:val="21"/>
              </w:rPr>
              <w:t>原料、辅料存放量需要超过单班或单批次使用量时，应按</w:t>
            </w:r>
            <w:r w:rsidRPr="00AB1575">
              <w:rPr>
                <w:rFonts w:ascii="Times New Roman" w:eastAsia="宋体" w:hAnsi="Times New Roman" w:cs="Times New Roman"/>
                <w:szCs w:val="21"/>
              </w:rPr>
              <w:t xml:space="preserve">GB </w:t>
            </w:r>
            <w:proofErr w:type="gramStart"/>
            <w:r w:rsidRPr="00AB1575">
              <w:rPr>
                <w:rFonts w:ascii="Times New Roman" w:eastAsia="宋体" w:hAnsi="Times New Roman" w:cs="Times New Roman"/>
                <w:szCs w:val="21"/>
              </w:rPr>
              <w:t xml:space="preserve">51283 </w:t>
            </w:r>
            <w:r w:rsidRPr="00AB1575">
              <w:rPr>
                <w:rFonts w:ascii="Times New Roman" w:eastAsia="宋体" w:hAnsi="Times New Roman" w:cs="Times New Roman"/>
                <w:szCs w:val="21"/>
              </w:rPr>
              <w:t>的</w:t>
            </w:r>
            <w:proofErr w:type="gramEnd"/>
            <w:r w:rsidRPr="00AB1575">
              <w:rPr>
                <w:rFonts w:ascii="Times New Roman" w:eastAsia="宋体" w:hAnsi="Times New Roman" w:cs="Times New Roman"/>
                <w:szCs w:val="21"/>
              </w:rPr>
              <w:t>要求设置中间仓库；</w:t>
            </w:r>
            <w:r w:rsidRPr="00AB1575">
              <w:rPr>
                <w:rFonts w:ascii="Times New Roman" w:eastAsia="宋体" w:hAnsi="Times New Roman" w:cs="Times New Roman"/>
                <w:szCs w:val="21"/>
              </w:rPr>
              <w:br/>
              <w:t>3.</w:t>
            </w:r>
            <w:r w:rsidRPr="00AB1575">
              <w:rPr>
                <w:rFonts w:ascii="Times New Roman" w:eastAsia="宋体" w:hAnsi="Times New Roman" w:cs="Times New Roman"/>
                <w:szCs w:val="21"/>
              </w:rPr>
              <w:t>原料、辅料单个包装物的满装量超过</w:t>
            </w:r>
            <w:proofErr w:type="gramStart"/>
            <w:r w:rsidRPr="00AB1575">
              <w:rPr>
                <w:rFonts w:ascii="Times New Roman" w:eastAsia="宋体" w:hAnsi="Times New Roman" w:cs="Times New Roman"/>
                <w:szCs w:val="21"/>
              </w:rPr>
              <w:t>其</w:t>
            </w:r>
            <w:r w:rsidRPr="00AB1575">
              <w:rPr>
                <w:rFonts w:ascii="Times New Roman" w:eastAsia="宋体" w:hAnsi="Times New Roman" w:cs="Times New Roman"/>
                <w:szCs w:val="21"/>
              </w:rPr>
              <w:t xml:space="preserve"> 1 </w:t>
            </w:r>
            <w:proofErr w:type="gramEnd"/>
            <w:r w:rsidRPr="00AB1575">
              <w:rPr>
                <w:rFonts w:ascii="Times New Roman" w:eastAsia="宋体" w:hAnsi="Times New Roman" w:cs="Times New Roman"/>
                <w:szCs w:val="21"/>
              </w:rPr>
              <w:t>天（</w:t>
            </w:r>
            <w:r w:rsidRPr="00AB1575">
              <w:rPr>
                <w:rFonts w:ascii="Times New Roman" w:eastAsia="宋体" w:hAnsi="Times New Roman" w:cs="Times New Roman"/>
                <w:szCs w:val="21"/>
              </w:rPr>
              <w:t>24h</w:t>
            </w:r>
            <w:r w:rsidRPr="00AB1575">
              <w:rPr>
                <w:rFonts w:ascii="Times New Roman" w:eastAsia="宋体" w:hAnsi="Times New Roman" w:cs="Times New Roman"/>
                <w:szCs w:val="21"/>
              </w:rPr>
              <w:t>）的使用量时，其中间仓库设计存放量不应</w:t>
            </w:r>
            <w:proofErr w:type="gramStart"/>
            <w:r w:rsidRPr="00AB1575">
              <w:rPr>
                <w:rFonts w:ascii="Times New Roman" w:eastAsia="宋体" w:hAnsi="Times New Roman" w:cs="Times New Roman"/>
                <w:szCs w:val="21"/>
              </w:rPr>
              <w:t>超过</w:t>
            </w:r>
            <w:r w:rsidRPr="00AB1575">
              <w:rPr>
                <w:rFonts w:ascii="Times New Roman" w:eastAsia="宋体" w:hAnsi="Times New Roman" w:cs="Times New Roman"/>
                <w:szCs w:val="21"/>
              </w:rPr>
              <w:t xml:space="preserve"> 1 </w:t>
            </w:r>
            <w:proofErr w:type="gramEnd"/>
            <w:r w:rsidRPr="00AB1575">
              <w:rPr>
                <w:rFonts w:ascii="Times New Roman" w:eastAsia="宋体" w:hAnsi="Times New Roman" w:cs="Times New Roman"/>
                <w:szCs w:val="21"/>
              </w:rPr>
              <w:t>个包装物的满装量；</w:t>
            </w:r>
            <w:r w:rsidRPr="00AB1575">
              <w:rPr>
                <w:rFonts w:ascii="Times New Roman" w:eastAsia="宋体" w:hAnsi="Times New Roman" w:cs="Times New Roman"/>
                <w:szCs w:val="21"/>
              </w:rPr>
              <w:br/>
              <w:t>4.</w:t>
            </w:r>
            <w:r w:rsidRPr="00AB1575">
              <w:rPr>
                <w:rFonts w:ascii="Times New Roman" w:eastAsia="宋体" w:hAnsi="Times New Roman" w:cs="Times New Roman"/>
                <w:szCs w:val="21"/>
              </w:rPr>
              <w:t>物料的堆放不应影响应急疏散和消防救援。</w:t>
            </w:r>
          </w:p>
        </w:tc>
        <w:tc>
          <w:tcPr>
            <w:tcW w:w="2551" w:type="dxa"/>
            <w:vAlign w:val="center"/>
          </w:tcPr>
          <w:p w14:paraId="240E72C3"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《精细化工企业安全管理规范》（</w:t>
            </w:r>
            <w:r w:rsidRPr="00AB1575">
              <w:rPr>
                <w:rFonts w:ascii="Times New Roman" w:eastAsia="宋体" w:hAnsi="Times New Roman" w:cs="Times New Roman"/>
                <w:szCs w:val="21"/>
              </w:rPr>
              <w:t>AQ 3062-2025</w:t>
            </w:r>
            <w:r w:rsidRPr="00AB1575">
              <w:rPr>
                <w:rFonts w:ascii="Times New Roman" w:eastAsia="宋体" w:hAnsi="Times New Roman" w:cs="Times New Roman"/>
                <w:szCs w:val="21"/>
              </w:rPr>
              <w:t>）</w:t>
            </w:r>
          </w:p>
          <w:p w14:paraId="5955653A" w14:textId="77777777" w:rsidR="00AB1575" w:rsidRPr="00AB1575" w:rsidRDefault="00AB1575" w:rsidP="00AB1575">
            <w:pPr>
              <w:jc w:val="center"/>
              <w:rPr>
                <w:rFonts w:ascii="Times New Roman" w:eastAsia="宋体" w:hAnsi="Times New Roman" w:cs="Times New Roman"/>
                <w:color w:val="000000"/>
                <w:szCs w:val="21"/>
              </w:rPr>
            </w:pPr>
            <w:r w:rsidRPr="00AB1575">
              <w:rPr>
                <w:rFonts w:ascii="Times New Roman" w:eastAsia="宋体" w:hAnsi="Times New Roman" w:cs="Times New Roman"/>
                <w:szCs w:val="21"/>
              </w:rPr>
              <w:lastRenderedPageBreak/>
              <w:t>第</w:t>
            </w:r>
            <w:r w:rsidRPr="00AB1575">
              <w:rPr>
                <w:rFonts w:ascii="Times New Roman" w:eastAsia="宋体" w:hAnsi="Times New Roman" w:cs="Times New Roman"/>
                <w:szCs w:val="21"/>
              </w:rPr>
              <w:t xml:space="preserve"> 9.</w:t>
            </w:r>
            <w:proofErr w:type="gramStart"/>
            <w:r w:rsidRPr="00AB1575">
              <w:rPr>
                <w:rFonts w:ascii="Times New Roman" w:eastAsia="宋体" w:hAnsi="Times New Roman" w:cs="Times New Roman"/>
                <w:szCs w:val="21"/>
              </w:rPr>
              <w:t xml:space="preserve">2.10 </w:t>
            </w:r>
            <w:r w:rsidRPr="00AB1575">
              <w:rPr>
                <w:rFonts w:ascii="Times New Roman" w:eastAsia="宋体" w:hAnsi="Times New Roman" w:cs="Times New Roman"/>
                <w:szCs w:val="21"/>
              </w:rPr>
              <w:t>条</w:t>
            </w:r>
            <w:proofErr w:type="gramEnd"/>
          </w:p>
        </w:tc>
        <w:tc>
          <w:tcPr>
            <w:tcW w:w="1560" w:type="dxa"/>
            <w:vAlign w:val="center"/>
          </w:tcPr>
          <w:p w14:paraId="3C19395D" w14:textId="77777777" w:rsidR="00AB1575" w:rsidRPr="00AB1575" w:rsidRDefault="00AB1575" w:rsidP="00AB1575">
            <w:pPr>
              <w:jc w:val="center"/>
              <w:rPr>
                <w:rFonts w:ascii="Times New Roman" w:eastAsia="宋体" w:hAnsi="Times New Roman" w:cs="Times New Roman"/>
                <w:szCs w:val="21"/>
              </w:rPr>
            </w:pPr>
            <w:r w:rsidRPr="00AB1575">
              <w:rPr>
                <w:rFonts w:ascii="Times New Roman" w:eastAsia="宋体" w:hAnsi="Times New Roman" w:cs="Times New Roman"/>
                <w:szCs w:val="21"/>
              </w:rPr>
              <w:lastRenderedPageBreak/>
              <w:t>现场核查</w:t>
            </w:r>
          </w:p>
        </w:tc>
        <w:tc>
          <w:tcPr>
            <w:tcW w:w="1984" w:type="dxa"/>
          </w:tcPr>
          <w:p w14:paraId="2EBA6FB7" w14:textId="77777777" w:rsidR="00AB1575" w:rsidRPr="00AB1575" w:rsidRDefault="00AB1575" w:rsidP="00AB1575">
            <w:pPr>
              <w:jc w:val="center"/>
              <w:rPr>
                <w:rFonts w:ascii="Times New Roman" w:eastAsia="宋体" w:hAnsi="Times New Roman" w:cs="Times New Roman"/>
                <w:szCs w:val="21"/>
              </w:rPr>
            </w:pPr>
          </w:p>
        </w:tc>
        <w:tc>
          <w:tcPr>
            <w:tcW w:w="1843" w:type="dxa"/>
          </w:tcPr>
          <w:p w14:paraId="415C8B88" w14:textId="77777777" w:rsidR="00AB1575" w:rsidRPr="00AB1575" w:rsidRDefault="00AB1575" w:rsidP="00AB1575">
            <w:pPr>
              <w:jc w:val="center"/>
              <w:rPr>
                <w:rFonts w:ascii="Times New Roman" w:eastAsia="宋体" w:hAnsi="Times New Roman" w:cs="Times New Roman"/>
                <w:szCs w:val="21"/>
              </w:rPr>
            </w:pPr>
          </w:p>
        </w:tc>
        <w:tc>
          <w:tcPr>
            <w:tcW w:w="2750" w:type="dxa"/>
          </w:tcPr>
          <w:p w14:paraId="1661C842" w14:textId="77777777" w:rsidR="00AB1575" w:rsidRPr="00AB1575" w:rsidRDefault="00AB1575" w:rsidP="00AB1575">
            <w:pPr>
              <w:jc w:val="center"/>
              <w:rPr>
                <w:rFonts w:ascii="Times New Roman" w:eastAsia="宋体" w:hAnsi="Times New Roman" w:cs="Times New Roman"/>
                <w:szCs w:val="21"/>
              </w:rPr>
            </w:pPr>
          </w:p>
        </w:tc>
        <w:tc>
          <w:tcPr>
            <w:tcW w:w="701" w:type="dxa"/>
          </w:tcPr>
          <w:p w14:paraId="404C5C60" w14:textId="77777777" w:rsidR="00AB1575" w:rsidRPr="00AB1575" w:rsidRDefault="00AB1575" w:rsidP="00AB1575">
            <w:pPr>
              <w:jc w:val="center"/>
              <w:rPr>
                <w:rFonts w:ascii="Times New Roman" w:eastAsia="宋体" w:hAnsi="Times New Roman" w:cs="Times New Roman"/>
                <w:szCs w:val="21"/>
              </w:rPr>
            </w:pPr>
          </w:p>
        </w:tc>
      </w:tr>
    </w:tbl>
    <w:p w14:paraId="7F300180" w14:textId="77777777" w:rsidR="000A052D" w:rsidRPr="000A052D" w:rsidRDefault="000A052D" w:rsidP="00AB1575">
      <w:pPr>
        <w:jc w:val="left"/>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D9B6" w14:textId="77777777" w:rsidR="00900719" w:rsidRDefault="00900719" w:rsidP="00AB1575">
      <w:r>
        <w:separator/>
      </w:r>
    </w:p>
  </w:endnote>
  <w:endnote w:type="continuationSeparator" w:id="0">
    <w:p w14:paraId="535F4EFD" w14:textId="77777777" w:rsidR="00900719" w:rsidRDefault="00900719" w:rsidP="00AB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E79D" w14:textId="77777777" w:rsidR="00900719" w:rsidRDefault="00900719" w:rsidP="00AB1575">
      <w:r>
        <w:separator/>
      </w:r>
    </w:p>
  </w:footnote>
  <w:footnote w:type="continuationSeparator" w:id="0">
    <w:p w14:paraId="472CD50B" w14:textId="77777777" w:rsidR="00900719" w:rsidRDefault="00900719" w:rsidP="00AB15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52D"/>
    <w:rsid w:val="000A052D"/>
    <w:rsid w:val="00172201"/>
    <w:rsid w:val="001C4BEE"/>
    <w:rsid w:val="0030064A"/>
    <w:rsid w:val="003A717D"/>
    <w:rsid w:val="003E17DC"/>
    <w:rsid w:val="00450D08"/>
    <w:rsid w:val="00495447"/>
    <w:rsid w:val="004A6283"/>
    <w:rsid w:val="004B73C4"/>
    <w:rsid w:val="004C7547"/>
    <w:rsid w:val="004D4CB8"/>
    <w:rsid w:val="00617D83"/>
    <w:rsid w:val="006209FB"/>
    <w:rsid w:val="006C1D23"/>
    <w:rsid w:val="006C25E5"/>
    <w:rsid w:val="00720C74"/>
    <w:rsid w:val="0072498E"/>
    <w:rsid w:val="007627C2"/>
    <w:rsid w:val="007C24DF"/>
    <w:rsid w:val="008458C8"/>
    <w:rsid w:val="00880B58"/>
    <w:rsid w:val="008A3345"/>
    <w:rsid w:val="008B6848"/>
    <w:rsid w:val="008D3997"/>
    <w:rsid w:val="00900719"/>
    <w:rsid w:val="009331C8"/>
    <w:rsid w:val="009A4666"/>
    <w:rsid w:val="009B025F"/>
    <w:rsid w:val="00AB1575"/>
    <w:rsid w:val="00AE6D49"/>
    <w:rsid w:val="00B20F3F"/>
    <w:rsid w:val="00B37204"/>
    <w:rsid w:val="00B41B2F"/>
    <w:rsid w:val="00B66709"/>
    <w:rsid w:val="00B72BA4"/>
    <w:rsid w:val="00BA773D"/>
    <w:rsid w:val="00BB7535"/>
    <w:rsid w:val="00BD51CF"/>
    <w:rsid w:val="00C07630"/>
    <w:rsid w:val="00C33310"/>
    <w:rsid w:val="00C4279E"/>
    <w:rsid w:val="00C705C0"/>
    <w:rsid w:val="00C91A34"/>
    <w:rsid w:val="00D94A92"/>
    <w:rsid w:val="00E44CF0"/>
    <w:rsid w:val="00E637CB"/>
    <w:rsid w:val="00ED2959"/>
    <w:rsid w:val="00F339D9"/>
    <w:rsid w:val="00F53458"/>
    <w:rsid w:val="00F85D5B"/>
    <w:rsid w:val="00FB5EFC"/>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574E3"/>
  <w15:docId w15:val="{729DE0C9-702C-4196-AFED-1A22EA31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AB1575"/>
    <w:pPr>
      <w:tabs>
        <w:tab w:val="center" w:pos="4153"/>
        <w:tab w:val="right" w:pos="8306"/>
      </w:tabs>
      <w:snapToGrid w:val="0"/>
      <w:jc w:val="center"/>
    </w:pPr>
    <w:rPr>
      <w:sz w:val="18"/>
      <w:szCs w:val="18"/>
    </w:rPr>
  </w:style>
  <w:style w:type="character" w:customStyle="1" w:styleId="a7">
    <w:name w:val="页眉 字符"/>
    <w:basedOn w:val="a0"/>
    <w:link w:val="a6"/>
    <w:uiPriority w:val="99"/>
    <w:rsid w:val="00AB1575"/>
    <w:rPr>
      <w:sz w:val="18"/>
      <w:szCs w:val="18"/>
    </w:rPr>
  </w:style>
  <w:style w:type="paragraph" w:styleId="a8">
    <w:name w:val="footer"/>
    <w:basedOn w:val="a"/>
    <w:link w:val="a9"/>
    <w:uiPriority w:val="99"/>
    <w:unhideWhenUsed/>
    <w:rsid w:val="00AB1575"/>
    <w:pPr>
      <w:tabs>
        <w:tab w:val="center" w:pos="4153"/>
        <w:tab w:val="right" w:pos="8306"/>
      </w:tabs>
      <w:snapToGrid w:val="0"/>
      <w:jc w:val="left"/>
    </w:pPr>
    <w:rPr>
      <w:sz w:val="18"/>
      <w:szCs w:val="18"/>
    </w:rPr>
  </w:style>
  <w:style w:type="character" w:customStyle="1" w:styleId="a9">
    <w:name w:val="页脚 字符"/>
    <w:basedOn w:val="a0"/>
    <w:link w:val="a8"/>
    <w:uiPriority w:val="99"/>
    <w:rsid w:val="00AB1575"/>
    <w:rPr>
      <w:sz w:val="18"/>
      <w:szCs w:val="18"/>
    </w:rPr>
  </w:style>
  <w:style w:type="table" w:customStyle="1" w:styleId="5">
    <w:name w:val="网格型5"/>
    <w:basedOn w:val="a1"/>
    <w:next w:val="a3"/>
    <w:uiPriority w:val="59"/>
    <w:rsid w:val="00AB1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2191A0-5182-4CB5-A4A9-4B689BB6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xz</cp:lastModifiedBy>
  <cp:revision>7</cp:revision>
  <dcterms:created xsi:type="dcterms:W3CDTF">2026-07-27T04:32:00Z</dcterms:created>
  <dcterms:modified xsi:type="dcterms:W3CDTF">2026-08-09T16:06:00Z</dcterms:modified>
</cp:coreProperties>
</file>