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364F98">
      <w:pPr>
        <w:pStyle w:val="2"/>
        <w:keepNext w:val="0"/>
        <w:keepLines w:val="0"/>
        <w:pageBreakBefore w:val="0"/>
        <w:widowControl/>
        <w:kinsoku/>
        <w:wordWrap/>
        <w:overflowPunct/>
        <w:topLinePunct w:val="0"/>
        <w:autoSpaceDE/>
        <w:autoSpaceDN/>
        <w:bidi w:val="0"/>
        <w:adjustRightInd/>
        <w:snapToGrid/>
        <w:spacing w:before="0" w:after="0" w:line="700" w:lineRule="exact"/>
        <w:jc w:val="center"/>
        <w:textAlignment w:val="auto"/>
        <w:rPr>
          <w:rFonts w:hint="default" w:ascii="Times New Roman" w:hAnsi="Times New Roman" w:eastAsia="方正公文小标宋" w:cs="Times New Roman"/>
          <w:b w:val="0"/>
          <w:bCs w:val="0"/>
          <w:color w:val="000000"/>
          <w:sz w:val="44"/>
          <w:szCs w:val="44"/>
        </w:rPr>
      </w:pPr>
      <w:bookmarkStart w:id="15" w:name="_GoBack"/>
      <w:r>
        <w:rPr>
          <w:rFonts w:hint="default" w:ascii="Times New Roman" w:hAnsi="Times New Roman" w:eastAsia="方正公文小标宋" w:cs="Times New Roman"/>
          <w:b w:val="0"/>
          <w:bCs w:val="0"/>
          <w:color w:val="000000"/>
          <w:sz w:val="44"/>
          <w:szCs w:val="44"/>
        </w:rPr>
        <w:t>云南省应急避难场所专项规划</w:t>
      </w:r>
      <w:bookmarkEnd w:id="15"/>
    </w:p>
    <w:p w14:paraId="44393A1F">
      <w:pPr>
        <w:pStyle w:val="2"/>
        <w:keepNext w:val="0"/>
        <w:keepLines w:val="0"/>
        <w:pageBreakBefore w:val="0"/>
        <w:widowControl/>
        <w:kinsoku/>
        <w:wordWrap/>
        <w:overflowPunct/>
        <w:topLinePunct w:val="0"/>
        <w:autoSpaceDE/>
        <w:autoSpaceDN/>
        <w:bidi w:val="0"/>
        <w:adjustRightInd/>
        <w:snapToGrid/>
        <w:spacing w:before="0" w:after="0" w:line="700" w:lineRule="exact"/>
        <w:jc w:val="center"/>
        <w:textAlignment w:val="auto"/>
        <w:rPr>
          <w:rFonts w:hint="default" w:ascii="Times New Roman" w:hAnsi="Times New Roman" w:eastAsia="方正公文小标宋" w:cs="Times New Roman"/>
          <w:b w:val="0"/>
          <w:bCs w:val="0"/>
          <w:color w:val="000000"/>
          <w:sz w:val="44"/>
          <w:szCs w:val="44"/>
        </w:rPr>
      </w:pPr>
      <w:r>
        <w:rPr>
          <w:rFonts w:hint="default" w:ascii="Times New Roman" w:hAnsi="Times New Roman" w:eastAsia="方正公文小标宋" w:cs="Times New Roman"/>
          <w:b w:val="0"/>
          <w:bCs w:val="0"/>
          <w:color w:val="000000"/>
          <w:sz w:val="44"/>
          <w:szCs w:val="44"/>
        </w:rPr>
        <w:t>（2024—2035年）</w:t>
      </w:r>
    </w:p>
    <w:p w14:paraId="29EDFDC5">
      <w:pPr>
        <w:pStyle w:val="2"/>
        <w:keepNext w:val="0"/>
        <w:keepLines w:val="0"/>
        <w:pageBreakBefore w:val="0"/>
        <w:widowControl/>
        <w:kinsoku/>
        <w:wordWrap/>
        <w:overflowPunct/>
        <w:topLinePunct w:val="0"/>
        <w:autoSpaceDE/>
        <w:autoSpaceDN/>
        <w:bidi w:val="0"/>
        <w:adjustRightInd/>
        <w:snapToGrid/>
        <w:spacing w:before="0" w:after="0" w:line="700" w:lineRule="exact"/>
        <w:jc w:val="center"/>
        <w:textAlignment w:val="auto"/>
        <w:rPr>
          <w:rFonts w:hint="eastAsia" w:ascii="Times New Roman" w:hAnsi="Times New Roman" w:cs="Times New Roman"/>
          <w:color w:val="000000"/>
          <w:lang w:val="en-US" w:eastAsia="zh-CN"/>
        </w:rPr>
      </w:pPr>
      <w:r>
        <w:rPr>
          <w:rFonts w:hint="eastAsia" w:ascii="方正楷体_GBK" w:hAnsi="方正楷体_GBK" w:eastAsia="方正楷体_GBK" w:cs="方正楷体_GBK"/>
          <w:b w:val="0"/>
          <w:bCs w:val="0"/>
          <w:color w:val="000000"/>
          <w:sz w:val="36"/>
          <w:szCs w:val="36"/>
          <w:lang w:eastAsia="zh-CN"/>
        </w:rPr>
        <w:t>（征求意见稿）</w:t>
      </w:r>
    </w:p>
    <w:p w14:paraId="097257CB">
      <w:pPr>
        <w:spacing w:before="0" w:after="0" w:line="240" w:lineRule="auto"/>
        <w:ind w:left="0" w:leftChars="0" w:right="0" w:rightChars="0" w:firstLine="0" w:firstLineChars="0"/>
        <w:jc w:val="both"/>
        <w:rPr>
          <w:rFonts w:hint="default" w:ascii="Times New Roman" w:hAnsi="Times New Roman" w:eastAsia="方正公文小标宋" w:cs="Times New Roman"/>
          <w:bCs w:val="0"/>
          <w:color w:val="000000"/>
          <w:sz w:val="21"/>
          <w:szCs w:val="44"/>
        </w:rPr>
      </w:pPr>
    </w:p>
    <w:p w14:paraId="726851EA">
      <w:pPr>
        <w:pStyle w:val="3"/>
        <w:numPr>
          <w:ilvl w:val="0"/>
          <w:numId w:val="0"/>
        </w:numPr>
        <w:rPr>
          <w:rFonts w:hint="default" w:ascii="Times New Roman" w:hAnsi="Times New Roman" w:cs="Times New Roman"/>
          <w:color w:val="000000"/>
        </w:rPr>
      </w:pPr>
      <w:bookmarkStart w:id="0" w:name="_Toc28308"/>
      <w:r>
        <w:rPr>
          <w:rFonts w:hint="eastAsia" w:ascii="Times New Roman" w:hAnsi="Times New Roman" w:cs="Times New Roman"/>
          <w:color w:val="000000"/>
          <w:lang w:val="en-US" w:eastAsia="zh-CN"/>
        </w:rPr>
        <w:t xml:space="preserve">       </w:t>
      </w:r>
      <w:r>
        <w:rPr>
          <w:rFonts w:hint="eastAsia" w:ascii="Times New Roman" w:hAnsi="Times New Roman" w:cs="Times New Roman"/>
          <w:color w:val="000000"/>
          <w:lang w:eastAsia="zh-CN"/>
        </w:rPr>
        <w:t>一、</w:t>
      </w:r>
      <w:r>
        <w:rPr>
          <w:rFonts w:hint="default" w:ascii="Times New Roman" w:hAnsi="Times New Roman" w:cs="Times New Roman"/>
          <w:color w:val="000000"/>
        </w:rPr>
        <w:t>规划背景与意义</w:t>
      </w:r>
      <w:bookmarkEnd w:id="0"/>
    </w:p>
    <w:p w14:paraId="1248A25E">
      <w:pPr>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firstLine="560" w:firstLineChars="200"/>
        <w:jc w:val="both"/>
        <w:textAlignment w:val="auto"/>
        <w:rPr>
          <w:rFonts w:hint="default" w:ascii="Times New Roman" w:hAnsi="Times New Roman" w:eastAsia="方正仿宋简体" w:cs="Times New Roman"/>
          <w:color w:val="000000"/>
          <w:sz w:val="28"/>
          <w:szCs w:val="28"/>
          <w:highlight w:val="none"/>
          <w:lang w:val="en-US" w:eastAsia="zh-CN"/>
        </w:rPr>
      </w:pPr>
      <w:r>
        <w:rPr>
          <w:rFonts w:hint="default" w:ascii="Times New Roman" w:hAnsi="Times New Roman" w:eastAsia="方正仿宋简体" w:cs="Times New Roman"/>
          <w:color w:val="000000"/>
          <w:sz w:val="28"/>
          <w:szCs w:val="28"/>
          <w:highlight w:val="none"/>
          <w:lang w:val="en-US" w:eastAsia="zh-CN"/>
        </w:rPr>
        <w:t>习近平总书记强调坚持人民至上、生命至上，坚持安全发展理念，把保护人民生命安全摆在首位。应急避难场所作为突发事件发生时群众避险、安置与救援的重要依托，直接关系到受灾群众的基本生活保障和社会稳定。</w:t>
      </w:r>
      <w:r>
        <w:rPr>
          <w:rFonts w:hint="eastAsia" w:ascii="Times New Roman" w:hAnsi="Times New Roman" w:eastAsia="方正仿宋简体" w:cs="Times New Roman"/>
          <w:color w:val="000000"/>
          <w:sz w:val="28"/>
          <w:szCs w:val="28"/>
          <w:highlight w:val="none"/>
          <w:lang w:val="en-US" w:eastAsia="zh-CN"/>
        </w:rPr>
        <w:t>应急避难场所专项规划的编制，是构建和完善大应急体系、筑牢大安全格局的关键支撑和重要抓手。</w:t>
      </w:r>
      <w:r>
        <w:rPr>
          <w:rFonts w:hint="default" w:ascii="Times New Roman" w:hAnsi="Times New Roman" w:eastAsia="方正仿宋简体" w:cs="Times New Roman"/>
          <w:color w:val="000000"/>
          <w:sz w:val="28"/>
          <w:szCs w:val="28"/>
          <w:highlight w:val="none"/>
          <w:lang w:val="en-US" w:eastAsia="zh-CN"/>
        </w:rPr>
        <w:t>云南地处地震、</w:t>
      </w:r>
      <w:r>
        <w:rPr>
          <w:rFonts w:hint="eastAsia" w:ascii="Times New Roman" w:hAnsi="Times New Roman" w:eastAsia="方正仿宋简体" w:cs="Times New Roman"/>
          <w:color w:val="000000"/>
          <w:sz w:val="28"/>
          <w:szCs w:val="28"/>
          <w:highlight w:val="none"/>
          <w:lang w:val="en-US" w:eastAsia="zh-CN"/>
        </w:rPr>
        <w:t>地质</w:t>
      </w:r>
      <w:r>
        <w:rPr>
          <w:rFonts w:hint="default" w:ascii="Times New Roman" w:hAnsi="Times New Roman" w:eastAsia="方正仿宋简体" w:cs="Times New Roman"/>
          <w:color w:val="000000"/>
          <w:sz w:val="28"/>
          <w:szCs w:val="28"/>
          <w:highlight w:val="none"/>
          <w:lang w:val="en-US" w:eastAsia="zh-CN"/>
        </w:rPr>
        <w:t>、洪涝等自然灾害多发区，全省43个多灾易灾县级行政区占全国总数的20.38%</w:t>
      </w:r>
      <w:r>
        <w:rPr>
          <w:rFonts w:hint="eastAsia" w:ascii="Times New Roman" w:hAnsi="Times New Roman" w:eastAsia="方正仿宋简体" w:cs="Times New Roman"/>
          <w:color w:val="000000"/>
          <w:sz w:val="28"/>
          <w:szCs w:val="28"/>
          <w:highlight w:val="none"/>
          <w:lang w:val="en-US" w:eastAsia="zh-CN"/>
        </w:rPr>
        <w:t>，</w:t>
      </w:r>
      <w:r>
        <w:rPr>
          <w:rFonts w:hint="default" w:ascii="Times New Roman" w:hAnsi="Times New Roman" w:eastAsia="方正仿宋简体" w:cs="Times New Roman"/>
          <w:color w:val="000000"/>
          <w:sz w:val="28"/>
          <w:szCs w:val="28"/>
          <w:highlight w:val="none"/>
          <w:lang w:val="en-US" w:eastAsia="zh-CN"/>
        </w:rPr>
        <w:t>在全球气候变化的背景下，极端天气频发，地震、地质灾害、水旱灾害及森林火灾形势严峻，自然灾害状况日趋复杂</w:t>
      </w:r>
      <w:r>
        <w:rPr>
          <w:rFonts w:hint="eastAsia" w:ascii="Times New Roman" w:hAnsi="Times New Roman" w:eastAsia="方正仿宋简体" w:cs="Times New Roman"/>
          <w:color w:val="000000"/>
          <w:sz w:val="28"/>
          <w:szCs w:val="28"/>
          <w:highlight w:val="none"/>
          <w:lang w:val="en-US" w:eastAsia="zh-CN"/>
        </w:rPr>
        <w:t>，</w:t>
      </w:r>
      <w:r>
        <w:rPr>
          <w:rFonts w:hint="default" w:ascii="Times New Roman" w:hAnsi="Times New Roman" w:eastAsia="方正仿宋简体" w:cs="Times New Roman"/>
          <w:color w:val="000000"/>
          <w:sz w:val="28"/>
          <w:szCs w:val="28"/>
          <w:highlight w:val="none"/>
          <w:lang w:val="en-US" w:eastAsia="zh-CN"/>
        </w:rPr>
        <w:t>提升应急避难场所的规划、建设与管理水平尤为迫切。</w:t>
      </w:r>
    </w:p>
    <w:p w14:paraId="4D749006">
      <w:pPr>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firstLine="560" w:firstLineChars="200"/>
        <w:jc w:val="both"/>
        <w:textAlignment w:val="auto"/>
        <w:rPr>
          <w:rFonts w:hint="default"/>
          <w:color w:val="000000"/>
        </w:rPr>
      </w:pPr>
      <w:r>
        <w:rPr>
          <w:rFonts w:hint="default" w:ascii="Times New Roman" w:hAnsi="Times New Roman" w:eastAsia="方正仿宋简体" w:cs="Times New Roman"/>
          <w:color w:val="000000"/>
          <w:sz w:val="28"/>
          <w:szCs w:val="28"/>
          <w:highlight w:val="none"/>
          <w:lang w:val="en-US" w:eastAsia="zh-CN"/>
        </w:rPr>
        <w:t>云南省应急避难场所专项规划（202</w:t>
      </w:r>
      <w:r>
        <w:rPr>
          <w:rFonts w:hint="eastAsia" w:ascii="Times New Roman" w:hAnsi="Times New Roman" w:eastAsia="方正仿宋简体" w:cs="Times New Roman"/>
          <w:color w:val="000000"/>
          <w:sz w:val="28"/>
          <w:szCs w:val="28"/>
          <w:highlight w:val="none"/>
          <w:lang w:val="en-US" w:eastAsia="zh-CN"/>
        </w:rPr>
        <w:t>4</w:t>
      </w:r>
      <w:r>
        <w:rPr>
          <w:rFonts w:hint="default" w:ascii="Times New Roman" w:hAnsi="Times New Roman" w:eastAsia="方正仿宋简体" w:cs="Times New Roman"/>
          <w:color w:val="000000"/>
          <w:sz w:val="28"/>
          <w:szCs w:val="28"/>
          <w:highlight w:val="none"/>
          <w:lang w:val="en-US" w:eastAsia="zh-CN"/>
        </w:rPr>
        <w:t>—2035年</w:t>
      </w:r>
      <w:r>
        <w:rPr>
          <w:rFonts w:hint="eastAsia" w:ascii="Times New Roman" w:hAnsi="Times New Roman" w:eastAsia="方正仿宋简体" w:cs="Times New Roman"/>
          <w:color w:val="000000"/>
          <w:sz w:val="28"/>
          <w:szCs w:val="28"/>
          <w:highlight w:val="none"/>
          <w:lang w:val="en-US" w:eastAsia="zh-CN"/>
        </w:rPr>
        <w:t>）</w:t>
      </w:r>
      <w:r>
        <w:rPr>
          <w:rFonts w:hint="default" w:ascii="Times New Roman" w:hAnsi="Times New Roman" w:eastAsia="方正仿宋简体" w:cs="Times New Roman"/>
          <w:color w:val="000000"/>
          <w:sz w:val="28"/>
          <w:szCs w:val="28"/>
          <w:highlight w:val="none"/>
          <w:lang w:val="en-US" w:eastAsia="zh-CN"/>
        </w:rPr>
        <w:t>是贯彻落实习近平总书记关于防灾减灾救灾重要论述和党中央、国务院决策部署的具体行动，也是云南提升灾害综合防范能力、保障人民群众生命财产安全的重要举措。</w:t>
      </w:r>
      <w:r>
        <w:rPr>
          <w:rFonts w:hint="eastAsia" w:ascii="Times New Roman" w:hAnsi="Times New Roman" w:eastAsia="方正仿宋简体" w:cs="Times New Roman"/>
          <w:color w:val="000000"/>
          <w:sz w:val="28"/>
          <w:szCs w:val="28"/>
          <w:highlight w:val="none"/>
          <w:lang w:val="en-US" w:eastAsia="zh-CN"/>
        </w:rPr>
        <w:t>通过系统性规划，有效解决应急场景中的无序性和碎片化问题，通过科学选址布局、标准化设施配置、全链条流程衔接，实现风险前置防控和提升应急响应效率。规范构建长效保障机制，将安全保障转化为可落地、可操作的具体实践，</w:t>
      </w:r>
      <w:r>
        <w:rPr>
          <w:rFonts w:hint="default" w:ascii="Times New Roman" w:hAnsi="Times New Roman" w:eastAsia="方正仿宋简体" w:cs="Times New Roman"/>
          <w:color w:val="000000"/>
          <w:sz w:val="28"/>
          <w:szCs w:val="28"/>
          <w:highlight w:val="none"/>
          <w:lang w:val="en-US" w:eastAsia="zh-CN"/>
        </w:rPr>
        <w:t>构建布局合理、功能完备、平急结合的应急避难场所体系，为全省人民生命安全和社会和谐稳定提供坚实保障。</w:t>
      </w:r>
    </w:p>
    <w:p w14:paraId="7BBB9CC9">
      <w:pPr>
        <w:pStyle w:val="3"/>
        <w:rPr>
          <w:rFonts w:hint="default" w:ascii="Times New Roman" w:hAnsi="Times New Roman" w:cs="Times New Roman"/>
          <w:color w:val="000000"/>
        </w:rPr>
      </w:pPr>
      <w:bookmarkStart w:id="1" w:name="_Toc21053"/>
      <w:r>
        <w:rPr>
          <w:rFonts w:hint="eastAsia" w:ascii="Times New Roman" w:hAnsi="Times New Roman" w:cs="Times New Roman"/>
          <w:color w:val="000000"/>
          <w:lang w:val="en-US" w:eastAsia="zh-CN"/>
        </w:rPr>
        <w:t xml:space="preserve">        </w:t>
      </w:r>
      <w:r>
        <w:rPr>
          <w:rFonts w:hint="default" w:ascii="Times New Roman" w:hAnsi="Times New Roman" w:cs="Times New Roman"/>
          <w:color w:val="000000"/>
        </w:rPr>
        <w:t>二、规划总则</w:t>
      </w:r>
      <w:bookmarkEnd w:id="1"/>
    </w:p>
    <w:p w14:paraId="4C39F2C3">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（一）指导思想</w:t>
      </w:r>
    </w:p>
    <w:p w14:paraId="3C1C548E">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sz w:val="28"/>
          <w:szCs w:val="28"/>
          <w:highlight w:val="none"/>
          <w:lang w:val="en-US" w:eastAsia="zh-CN"/>
        </w:rPr>
      </w:pPr>
      <w:r>
        <w:rPr>
          <w:rFonts w:hint="default" w:ascii="Times New Roman" w:hAnsi="Times New Roman" w:eastAsia="方正仿宋简体" w:cs="Times New Roman"/>
          <w:color w:val="000000"/>
          <w:sz w:val="28"/>
          <w:szCs w:val="28"/>
          <w:highlight w:val="none"/>
          <w:lang w:val="en-US" w:eastAsia="zh-CN"/>
        </w:rPr>
        <w:t>以习近平总书记关于应急管理的重要论述为根本遵循，紧扣应急管理在国家治理体系中的重要定位，始终坚守</w:t>
      </w:r>
      <w:r>
        <w:rPr>
          <w:rFonts w:hint="eastAsia" w:ascii="Times New Roman" w:hAnsi="Times New Roman" w:eastAsia="方正仿宋简体" w:cs="Times New Roman"/>
          <w:color w:val="000000"/>
          <w:sz w:val="28"/>
          <w:szCs w:val="28"/>
          <w:highlight w:val="none"/>
          <w:lang w:val="en-US" w:eastAsia="zh-CN"/>
        </w:rPr>
        <w:t>“</w:t>
      </w:r>
      <w:r>
        <w:rPr>
          <w:rFonts w:hint="default" w:ascii="Times New Roman" w:hAnsi="Times New Roman" w:eastAsia="方正仿宋简体" w:cs="Times New Roman"/>
          <w:color w:val="000000"/>
          <w:sz w:val="28"/>
          <w:szCs w:val="28"/>
          <w:highlight w:val="none"/>
          <w:lang w:val="en-US" w:eastAsia="zh-CN"/>
        </w:rPr>
        <w:t>人民至上、生命至上</w:t>
      </w:r>
      <w:r>
        <w:rPr>
          <w:rFonts w:hint="eastAsia" w:ascii="Times New Roman" w:hAnsi="Times New Roman" w:eastAsia="方正仿宋简体" w:cs="Times New Roman"/>
          <w:color w:val="000000"/>
          <w:sz w:val="28"/>
          <w:szCs w:val="28"/>
          <w:highlight w:val="none"/>
          <w:lang w:val="en-US" w:eastAsia="zh-CN"/>
        </w:rPr>
        <w:t>”的</w:t>
      </w:r>
      <w:r>
        <w:rPr>
          <w:rFonts w:hint="default" w:ascii="Times New Roman" w:hAnsi="Times New Roman" w:eastAsia="方正仿宋简体" w:cs="Times New Roman"/>
          <w:color w:val="000000"/>
          <w:sz w:val="28"/>
          <w:szCs w:val="28"/>
          <w:highlight w:val="none"/>
          <w:lang w:val="en-US" w:eastAsia="zh-CN"/>
        </w:rPr>
        <w:t>根本</w:t>
      </w:r>
      <w:r>
        <w:rPr>
          <w:rFonts w:hint="eastAsia" w:ascii="Times New Roman" w:hAnsi="Times New Roman" w:eastAsia="方正仿宋简体" w:cs="Times New Roman"/>
          <w:color w:val="000000"/>
          <w:sz w:val="28"/>
          <w:szCs w:val="28"/>
          <w:highlight w:val="none"/>
          <w:lang w:val="en-US" w:eastAsia="zh-CN"/>
        </w:rPr>
        <w:t>理念，</w:t>
      </w:r>
      <w:r>
        <w:rPr>
          <w:rFonts w:hint="default" w:ascii="Times New Roman" w:hAnsi="Times New Roman" w:eastAsia="方正仿宋简体" w:cs="Times New Roman"/>
          <w:color w:val="000000"/>
          <w:sz w:val="28"/>
          <w:szCs w:val="28"/>
          <w:highlight w:val="none"/>
          <w:lang w:val="en-US" w:eastAsia="zh-CN"/>
        </w:rPr>
        <w:t>以保护人民群众生命财产安全为首要目标，将保民平安作为规划核心导向，聚焦安全需求，通过科学布局避难场所、完善功能配置，为群众提供更坚实的安全保障。</w:t>
      </w:r>
    </w:p>
    <w:p w14:paraId="466FDF40">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sz w:val="28"/>
          <w:szCs w:val="28"/>
          <w:highlight w:val="none"/>
          <w:lang w:val="en-US" w:eastAsia="zh-CN"/>
        </w:rPr>
      </w:pPr>
      <w:r>
        <w:rPr>
          <w:rFonts w:hint="eastAsia" w:ascii="Times New Roman" w:hAnsi="Times New Roman" w:eastAsia="方正仿宋简体" w:cs="Times New Roman"/>
          <w:color w:val="000000"/>
          <w:sz w:val="28"/>
          <w:szCs w:val="28"/>
          <w:highlight w:val="none"/>
          <w:lang w:val="en-US" w:eastAsia="zh-CN"/>
        </w:rPr>
        <w:t>落实</w:t>
      </w:r>
      <w:r>
        <w:rPr>
          <w:rFonts w:hint="default" w:ascii="Times New Roman" w:hAnsi="Times New Roman" w:eastAsia="方正仿宋简体" w:cs="Times New Roman"/>
          <w:color w:val="000000"/>
          <w:sz w:val="28"/>
          <w:szCs w:val="28"/>
          <w:highlight w:val="none"/>
          <w:lang w:val="en-US" w:eastAsia="zh-CN"/>
        </w:rPr>
        <w:t>应急管理部等12部委《关于加强应急避难场所建设的指导意见》</w:t>
      </w:r>
      <w:r>
        <w:rPr>
          <w:rFonts w:hint="eastAsia" w:ascii="Times New Roman" w:hAnsi="Times New Roman" w:eastAsia="方正仿宋简体" w:cs="Times New Roman"/>
          <w:color w:val="000000"/>
          <w:sz w:val="28"/>
          <w:szCs w:val="28"/>
          <w:highlight w:val="none"/>
          <w:lang w:val="en-US" w:eastAsia="zh-CN"/>
        </w:rPr>
        <w:t>（</w:t>
      </w:r>
      <w:r>
        <w:rPr>
          <w:rFonts w:hint="default" w:ascii="Times New Roman" w:hAnsi="Times New Roman" w:eastAsia="方正仿宋简体" w:cs="Times New Roman"/>
          <w:color w:val="000000"/>
          <w:sz w:val="28"/>
          <w:szCs w:val="28"/>
          <w:highlight w:val="none"/>
          <w:lang w:val="en-US" w:eastAsia="zh-CN"/>
        </w:rPr>
        <w:t>应急〔2023〕76号</w:t>
      </w:r>
      <w:r>
        <w:rPr>
          <w:rFonts w:hint="eastAsia" w:ascii="Times New Roman" w:hAnsi="Times New Roman" w:eastAsia="方正仿宋简体" w:cs="Times New Roman"/>
          <w:color w:val="000000"/>
          <w:sz w:val="28"/>
          <w:szCs w:val="28"/>
          <w:highlight w:val="none"/>
          <w:lang w:val="en-US" w:eastAsia="zh-CN"/>
        </w:rPr>
        <w:t>）关于</w:t>
      </w:r>
      <w:r>
        <w:rPr>
          <w:rFonts w:hint="default" w:ascii="Times New Roman" w:hAnsi="Times New Roman" w:eastAsia="方正仿宋简体" w:cs="Times New Roman"/>
          <w:color w:val="000000"/>
          <w:sz w:val="28"/>
          <w:szCs w:val="28"/>
          <w:highlight w:val="none"/>
          <w:lang w:val="en-US" w:eastAsia="zh-CN"/>
        </w:rPr>
        <w:t>科学</w:t>
      </w:r>
      <w:r>
        <w:rPr>
          <w:rFonts w:hint="eastAsia" w:ascii="Times New Roman" w:hAnsi="Times New Roman" w:eastAsia="方正仿宋简体" w:cs="Times New Roman"/>
          <w:color w:val="000000"/>
          <w:sz w:val="28"/>
          <w:szCs w:val="28"/>
          <w:highlight w:val="none"/>
          <w:lang w:val="en-US" w:eastAsia="zh-CN"/>
        </w:rPr>
        <w:t>编制</w:t>
      </w:r>
      <w:r>
        <w:rPr>
          <w:rFonts w:hint="default" w:ascii="Times New Roman" w:hAnsi="Times New Roman" w:eastAsia="方正仿宋简体" w:cs="Times New Roman"/>
          <w:color w:val="000000"/>
          <w:sz w:val="28"/>
          <w:szCs w:val="28"/>
          <w:highlight w:val="none"/>
          <w:lang w:val="en-US" w:eastAsia="zh-CN"/>
        </w:rPr>
        <w:t>应急避难场所</w:t>
      </w:r>
      <w:r>
        <w:rPr>
          <w:rFonts w:hint="eastAsia" w:ascii="Times New Roman" w:hAnsi="Times New Roman" w:eastAsia="方正仿宋简体" w:cs="Times New Roman"/>
          <w:color w:val="000000"/>
          <w:sz w:val="28"/>
          <w:szCs w:val="28"/>
          <w:highlight w:val="none"/>
          <w:lang w:val="en-US" w:eastAsia="zh-CN"/>
        </w:rPr>
        <w:t>专项规划要求</w:t>
      </w:r>
      <w:r>
        <w:rPr>
          <w:rFonts w:hint="default" w:ascii="Times New Roman" w:hAnsi="Times New Roman" w:eastAsia="方正仿宋简体" w:cs="Times New Roman"/>
          <w:color w:val="000000"/>
          <w:sz w:val="28"/>
          <w:szCs w:val="28"/>
          <w:highlight w:val="none"/>
          <w:lang w:val="en-US" w:eastAsia="zh-CN"/>
        </w:rPr>
        <w:t>，</w:t>
      </w:r>
      <w:r>
        <w:rPr>
          <w:rFonts w:hint="eastAsia" w:ascii="Times New Roman" w:hAnsi="Times New Roman" w:eastAsia="方正仿宋简体" w:cs="Times New Roman"/>
          <w:color w:val="000000"/>
          <w:sz w:val="28"/>
          <w:szCs w:val="28"/>
          <w:highlight w:val="none"/>
          <w:lang w:val="en-US" w:eastAsia="zh-CN"/>
        </w:rPr>
        <w:t>建立完善城乡空间布局合理、资源统筹共享、功能设施完备、平急（疫、战）综合利用、管护使用规范的应急避难场所体系，</w:t>
      </w:r>
      <w:r>
        <w:rPr>
          <w:rFonts w:hint="default" w:ascii="Times New Roman" w:hAnsi="Times New Roman" w:eastAsia="方正仿宋简体" w:cs="Times New Roman"/>
          <w:color w:val="000000"/>
          <w:sz w:val="28"/>
          <w:szCs w:val="28"/>
          <w:highlight w:val="none"/>
          <w:lang w:val="en-US" w:eastAsia="zh-CN"/>
        </w:rPr>
        <w:t>统筹发展和安全，最大限度保障人民群众生命安全和维护社会稳定。</w:t>
      </w:r>
    </w:p>
    <w:p w14:paraId="5B999067">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sz w:val="28"/>
          <w:szCs w:val="28"/>
          <w:highlight w:val="none"/>
          <w:lang w:val="en-US" w:eastAsia="zh-CN"/>
        </w:rPr>
      </w:pPr>
      <w:r>
        <w:rPr>
          <w:rFonts w:hint="default" w:ascii="Times New Roman" w:hAnsi="Times New Roman" w:eastAsia="方正仿宋简体" w:cs="Times New Roman"/>
          <w:color w:val="000000"/>
          <w:sz w:val="28"/>
          <w:szCs w:val="28"/>
          <w:highlight w:val="none"/>
          <w:lang w:val="en-US" w:eastAsia="zh-CN"/>
        </w:rPr>
        <w:t>秉持综合防灾减灾救灾理念，立足</w:t>
      </w:r>
      <w:r>
        <w:rPr>
          <w:rFonts w:hint="eastAsia" w:ascii="Times New Roman" w:hAnsi="Times New Roman" w:eastAsia="方正仿宋简体" w:cs="Times New Roman"/>
          <w:color w:val="000000"/>
          <w:sz w:val="28"/>
          <w:szCs w:val="28"/>
          <w:highlight w:val="none"/>
          <w:lang w:val="en-US" w:eastAsia="zh-CN"/>
        </w:rPr>
        <w:t>云南省</w:t>
      </w:r>
      <w:r>
        <w:rPr>
          <w:rFonts w:hint="default" w:ascii="Times New Roman" w:hAnsi="Times New Roman" w:eastAsia="方正仿宋简体" w:cs="Times New Roman"/>
          <w:color w:val="000000"/>
          <w:sz w:val="28"/>
          <w:szCs w:val="28"/>
          <w:highlight w:val="none"/>
          <w:lang w:val="en-US" w:eastAsia="zh-CN"/>
        </w:rPr>
        <w:t>灾害</w:t>
      </w:r>
      <w:r>
        <w:rPr>
          <w:rFonts w:hint="eastAsia" w:ascii="Times New Roman" w:hAnsi="Times New Roman" w:eastAsia="方正仿宋简体" w:cs="Times New Roman"/>
          <w:color w:val="000000"/>
          <w:sz w:val="28"/>
          <w:szCs w:val="28"/>
          <w:highlight w:val="none"/>
          <w:lang w:val="en-US" w:eastAsia="zh-CN"/>
        </w:rPr>
        <w:t>事故风险特征</w:t>
      </w:r>
      <w:r>
        <w:rPr>
          <w:rFonts w:hint="default" w:ascii="Times New Roman" w:hAnsi="Times New Roman" w:eastAsia="方正仿宋简体" w:cs="Times New Roman"/>
          <w:color w:val="000000"/>
          <w:sz w:val="28"/>
          <w:szCs w:val="28"/>
          <w:highlight w:val="none"/>
          <w:lang w:val="en-US" w:eastAsia="zh-CN"/>
        </w:rPr>
        <w:t>，推动从灾后救助向灾前预防、单一灾种应对向综合减灾、减少</w:t>
      </w:r>
      <w:r>
        <w:rPr>
          <w:rFonts w:hint="eastAsia" w:ascii="Times New Roman" w:hAnsi="Times New Roman" w:eastAsia="方正仿宋简体" w:cs="Times New Roman"/>
          <w:color w:val="000000"/>
          <w:sz w:val="28"/>
          <w:szCs w:val="28"/>
          <w:highlight w:val="none"/>
          <w:lang w:val="en-US" w:eastAsia="zh-CN"/>
        </w:rPr>
        <w:t>灾害</w:t>
      </w:r>
      <w:r>
        <w:rPr>
          <w:rFonts w:hint="default" w:ascii="Times New Roman" w:hAnsi="Times New Roman" w:eastAsia="方正仿宋简体" w:cs="Times New Roman"/>
          <w:color w:val="000000"/>
          <w:sz w:val="28"/>
          <w:szCs w:val="28"/>
          <w:highlight w:val="none"/>
          <w:lang w:val="en-US" w:eastAsia="zh-CN"/>
        </w:rPr>
        <w:t>损失向减轻</w:t>
      </w:r>
      <w:r>
        <w:rPr>
          <w:rFonts w:hint="eastAsia" w:ascii="Times New Roman" w:hAnsi="Times New Roman" w:eastAsia="方正仿宋简体" w:cs="Times New Roman"/>
          <w:color w:val="000000"/>
          <w:sz w:val="28"/>
          <w:szCs w:val="28"/>
          <w:highlight w:val="none"/>
          <w:lang w:val="en-US" w:eastAsia="zh-CN"/>
        </w:rPr>
        <w:t>灾害</w:t>
      </w:r>
      <w:r>
        <w:rPr>
          <w:rFonts w:hint="default" w:ascii="Times New Roman" w:hAnsi="Times New Roman" w:eastAsia="方正仿宋简体" w:cs="Times New Roman"/>
          <w:color w:val="000000"/>
          <w:sz w:val="28"/>
          <w:szCs w:val="28"/>
          <w:highlight w:val="none"/>
          <w:lang w:val="en-US" w:eastAsia="zh-CN"/>
        </w:rPr>
        <w:t>风险转变，构建覆盖防灾减灾救灾各环节的避难场所体系。以推进应急管理体系和能力现代化为统领，完善避难场所规划</w:t>
      </w:r>
      <w:r>
        <w:rPr>
          <w:rFonts w:hint="eastAsia" w:ascii="Times New Roman" w:hAnsi="Times New Roman" w:eastAsia="方正仿宋简体" w:cs="Times New Roman"/>
          <w:color w:val="000000"/>
          <w:sz w:val="28"/>
          <w:szCs w:val="28"/>
          <w:highlight w:val="none"/>
          <w:lang w:val="en-US" w:eastAsia="zh-CN"/>
        </w:rPr>
        <w:t>、建设、管护、评估、使用等</w:t>
      </w:r>
      <w:r>
        <w:rPr>
          <w:rFonts w:hint="default" w:ascii="Times New Roman" w:hAnsi="Times New Roman" w:eastAsia="方正仿宋简体" w:cs="Times New Roman"/>
          <w:color w:val="000000"/>
          <w:sz w:val="28"/>
          <w:szCs w:val="28"/>
          <w:highlight w:val="none"/>
          <w:lang w:val="en-US" w:eastAsia="zh-CN"/>
        </w:rPr>
        <w:t>机制，强化基层应急能力建设。​</w:t>
      </w:r>
    </w:p>
    <w:p w14:paraId="5427D5DE">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（二）规划原则</w:t>
      </w:r>
    </w:p>
    <w:p w14:paraId="61E1EB08">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_GBK" w:cs="Times New Roman"/>
          <w:color w:val="000000"/>
          <w:sz w:val="28"/>
          <w:szCs w:val="28"/>
          <w:highlight w:val="none"/>
          <w:lang w:val="en-US" w:eastAsia="zh-CN"/>
        </w:rPr>
      </w:pPr>
      <w:r>
        <w:rPr>
          <w:rFonts w:hint="default" w:ascii="Times New Roman" w:hAnsi="Times New Roman" w:eastAsia="方正仿宋_GBK" w:cs="Times New Roman"/>
          <w:b/>
          <w:bCs/>
          <w:color w:val="000000"/>
          <w:sz w:val="28"/>
          <w:szCs w:val="28"/>
          <w:highlight w:val="none"/>
          <w:lang w:val="en-US" w:eastAsia="zh-CN"/>
        </w:rPr>
        <w:t>生命至上，安全至上。</w:t>
      </w:r>
      <w:r>
        <w:rPr>
          <w:rFonts w:hint="default" w:ascii="Times New Roman" w:hAnsi="Times New Roman" w:eastAsia="方正仿宋_GBK" w:cs="Times New Roman"/>
          <w:color w:val="000000"/>
          <w:sz w:val="28"/>
          <w:szCs w:val="28"/>
          <w:highlight w:val="none"/>
          <w:lang w:val="en-US" w:eastAsia="zh-CN"/>
        </w:rPr>
        <w:t>始终将保障民众生命安全作为规划核心，针对不同灾害特点</w:t>
      </w:r>
      <w:r>
        <w:rPr>
          <w:rFonts w:hint="eastAsia" w:ascii="Times New Roman" w:hAnsi="Times New Roman" w:eastAsia="方正仿宋_GBK" w:cs="Times New Roman"/>
          <w:color w:val="000000"/>
          <w:sz w:val="28"/>
          <w:szCs w:val="28"/>
          <w:highlight w:val="none"/>
          <w:lang w:val="en-US" w:eastAsia="zh-CN"/>
        </w:rPr>
        <w:t>，突出选址安全，</w:t>
      </w:r>
      <w:r>
        <w:rPr>
          <w:rFonts w:hint="default" w:ascii="Times New Roman" w:hAnsi="Times New Roman" w:eastAsia="方正仿宋_GBK" w:cs="Times New Roman"/>
          <w:b w:val="0"/>
          <w:bCs w:val="0"/>
          <w:color w:val="000000"/>
          <w:sz w:val="28"/>
          <w:szCs w:val="28"/>
          <w:highlight w:val="none"/>
          <w:lang w:val="en" w:eastAsia="zh-CN"/>
        </w:rPr>
        <w:t>避让</w:t>
      </w:r>
      <w:r>
        <w:rPr>
          <w:rFonts w:hint="default" w:ascii="Times New Roman" w:hAnsi="Times New Roman" w:eastAsia="方正仿宋_GBK" w:cs="Times New Roman"/>
          <w:b w:val="0"/>
          <w:bCs w:val="0"/>
          <w:color w:val="000000"/>
          <w:sz w:val="28"/>
          <w:szCs w:val="28"/>
          <w:highlight w:val="none"/>
          <w:lang w:val="en-US" w:eastAsia="zh-CN"/>
        </w:rPr>
        <w:t>洪水淹没区</w:t>
      </w:r>
      <w:r>
        <w:rPr>
          <w:rFonts w:hint="eastAsia" w:ascii="Times New Roman" w:hAnsi="Times New Roman" w:eastAsia="方正仿宋_GBK" w:cs="Times New Roman"/>
          <w:b w:val="0"/>
          <w:bCs w:val="0"/>
          <w:color w:val="000000"/>
          <w:sz w:val="28"/>
          <w:szCs w:val="28"/>
          <w:highlight w:val="none"/>
          <w:lang w:val="en-US" w:eastAsia="zh-CN"/>
        </w:rPr>
        <w:t>、地质灾害隐患点</w:t>
      </w:r>
      <w:r>
        <w:rPr>
          <w:rFonts w:hint="default" w:ascii="Times New Roman" w:hAnsi="Times New Roman" w:eastAsia="方正仿宋_GBK" w:cs="Times New Roman"/>
          <w:b w:val="0"/>
          <w:bCs w:val="0"/>
          <w:color w:val="000000"/>
          <w:sz w:val="28"/>
          <w:szCs w:val="28"/>
          <w:highlight w:val="none"/>
          <w:lang w:val="en-US" w:eastAsia="zh-CN"/>
        </w:rPr>
        <w:t>等危险地段，</w:t>
      </w:r>
      <w:r>
        <w:rPr>
          <w:rFonts w:hint="eastAsia" w:ascii="Times New Roman" w:hAnsi="Times New Roman" w:eastAsia="方正仿宋_GBK" w:cs="Times New Roman"/>
          <w:b w:val="0"/>
          <w:bCs w:val="0"/>
          <w:color w:val="000000"/>
          <w:sz w:val="28"/>
          <w:szCs w:val="28"/>
          <w:highlight w:val="none"/>
          <w:lang w:val="en-US" w:eastAsia="zh-CN"/>
        </w:rPr>
        <w:t>无法避让的必须采取工程防治措施，</w:t>
      </w:r>
      <w:r>
        <w:rPr>
          <w:rFonts w:hint="default" w:ascii="Times New Roman" w:hAnsi="Times New Roman" w:eastAsia="方正仿宋_GBK" w:cs="Times New Roman"/>
          <w:b w:val="0"/>
          <w:bCs w:val="0"/>
          <w:color w:val="000000"/>
          <w:sz w:val="28"/>
          <w:szCs w:val="28"/>
          <w:highlight w:val="none"/>
          <w:lang w:val="en-US" w:eastAsia="zh-CN"/>
        </w:rPr>
        <w:t>提</w:t>
      </w:r>
      <w:r>
        <w:rPr>
          <w:rFonts w:hint="eastAsia" w:ascii="Times New Roman" w:hAnsi="Times New Roman" w:eastAsia="方正仿宋_GBK" w:cs="Times New Roman"/>
          <w:b w:val="0"/>
          <w:bCs w:val="0"/>
          <w:color w:val="000000"/>
          <w:sz w:val="28"/>
          <w:szCs w:val="28"/>
          <w:highlight w:val="none"/>
          <w:lang w:val="en-US" w:eastAsia="zh-CN"/>
        </w:rPr>
        <w:t>高</w:t>
      </w:r>
      <w:r>
        <w:rPr>
          <w:rFonts w:hint="default" w:ascii="Times New Roman" w:hAnsi="Times New Roman" w:eastAsia="方正仿宋_GBK" w:cs="Times New Roman"/>
          <w:b w:val="0"/>
          <w:bCs w:val="0"/>
          <w:color w:val="000000"/>
          <w:sz w:val="28"/>
          <w:szCs w:val="28"/>
          <w:highlight w:val="none"/>
          <w:lang w:val="en-US" w:eastAsia="zh-CN"/>
        </w:rPr>
        <w:t>建筑抗震、防洪等</w:t>
      </w:r>
      <w:r>
        <w:rPr>
          <w:rFonts w:hint="eastAsia" w:ascii="Times New Roman" w:hAnsi="Times New Roman" w:eastAsia="方正仿宋_GBK" w:cs="Times New Roman"/>
          <w:b w:val="0"/>
          <w:bCs w:val="0"/>
          <w:color w:val="000000"/>
          <w:sz w:val="28"/>
          <w:szCs w:val="28"/>
          <w:highlight w:val="none"/>
          <w:lang w:val="en-US" w:eastAsia="zh-CN"/>
        </w:rPr>
        <w:t>设防标准，确保应急避难场所安全能力</w:t>
      </w:r>
      <w:r>
        <w:rPr>
          <w:rFonts w:hint="default" w:ascii="Times New Roman" w:hAnsi="Times New Roman" w:eastAsia="方正仿宋_GBK" w:cs="Times New Roman"/>
          <w:color w:val="000000"/>
          <w:sz w:val="28"/>
          <w:szCs w:val="28"/>
          <w:highlight w:val="none"/>
          <w:lang w:val="en-US" w:eastAsia="zh-CN"/>
        </w:rPr>
        <w:t>。</w:t>
      </w:r>
    </w:p>
    <w:p w14:paraId="7AD6F7D7">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eastAsia" w:ascii="Times New Roman" w:hAnsi="Times New Roman" w:eastAsia="方正仿宋_GBK" w:cs="Times New Roman"/>
          <w:color w:val="000000"/>
          <w:sz w:val="28"/>
          <w:szCs w:val="28"/>
          <w:highlight w:val="none"/>
          <w:lang w:val="en-US" w:eastAsia="zh-CN"/>
        </w:rPr>
      </w:pPr>
      <w:r>
        <w:rPr>
          <w:rFonts w:hint="default" w:ascii="Times New Roman" w:hAnsi="Times New Roman" w:eastAsia="方正仿宋_GBK" w:cs="Times New Roman"/>
          <w:b/>
          <w:bCs/>
          <w:color w:val="000000"/>
          <w:sz w:val="28"/>
          <w:szCs w:val="28"/>
          <w:highlight w:val="none"/>
          <w:lang w:val="en-US" w:eastAsia="zh-CN"/>
        </w:rPr>
        <w:t>突出</w:t>
      </w:r>
      <w:r>
        <w:rPr>
          <w:rFonts w:hint="eastAsia" w:ascii="Times New Roman" w:hAnsi="Times New Roman" w:eastAsia="方正仿宋_GBK" w:cs="Times New Roman"/>
          <w:b/>
          <w:bCs/>
          <w:color w:val="000000"/>
          <w:sz w:val="28"/>
          <w:szCs w:val="28"/>
          <w:highlight w:val="none"/>
          <w:lang w:val="en-US" w:eastAsia="zh-CN"/>
        </w:rPr>
        <w:t>特征</w:t>
      </w:r>
      <w:r>
        <w:rPr>
          <w:rFonts w:hint="default" w:ascii="Times New Roman" w:hAnsi="Times New Roman" w:eastAsia="方正仿宋_GBK" w:cs="Times New Roman"/>
          <w:b/>
          <w:bCs/>
          <w:color w:val="000000"/>
          <w:sz w:val="28"/>
          <w:szCs w:val="28"/>
          <w:highlight w:val="none"/>
          <w:lang w:val="en-US" w:eastAsia="zh-CN"/>
        </w:rPr>
        <w:t>，因地制宜。</w:t>
      </w:r>
      <w:r>
        <w:rPr>
          <w:rFonts w:hint="eastAsia" w:ascii="Times New Roman" w:hAnsi="Times New Roman" w:eastAsia="方正仿宋_GBK" w:cs="Times New Roman"/>
          <w:color w:val="000000"/>
          <w:sz w:val="28"/>
          <w:szCs w:val="28"/>
          <w:highlight w:val="none"/>
          <w:lang w:val="en-US" w:eastAsia="zh-CN"/>
        </w:rPr>
        <w:t>基于云南地区地震、洪涝（洪水）、地质</w:t>
      </w:r>
      <w:r>
        <w:rPr>
          <w:rFonts w:hint="default" w:ascii="Times New Roman" w:hAnsi="Times New Roman" w:eastAsia="方正仿宋_GBK" w:cs="Times New Roman"/>
          <w:color w:val="000000"/>
          <w:sz w:val="28"/>
          <w:szCs w:val="28"/>
          <w:highlight w:val="none"/>
          <w:lang w:val="en" w:eastAsia="zh-CN"/>
        </w:rPr>
        <w:t>灾害</w:t>
      </w:r>
      <w:r>
        <w:rPr>
          <w:rFonts w:hint="eastAsia" w:ascii="Times New Roman" w:hAnsi="Times New Roman" w:eastAsia="方正仿宋_GBK" w:cs="Times New Roman"/>
          <w:color w:val="000000"/>
          <w:sz w:val="28"/>
          <w:szCs w:val="28"/>
          <w:highlight w:val="none"/>
          <w:lang w:val="en-US" w:eastAsia="zh-CN"/>
        </w:rPr>
        <w:t>、森林火灾等多灾种分布特征，针对滇中、滇西、滇东等不同区域的灾害风险情况，结合人口分布和地形特征，采取差异化建设策略，实现避难场所与避难需求相适配。</w:t>
      </w:r>
    </w:p>
    <w:p w14:paraId="6CB85AEB">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eastAsia" w:ascii="Times New Roman" w:hAnsi="Times New Roman" w:eastAsia="方正仿宋_GBK" w:cs="Times New Roman"/>
          <w:color w:val="000000"/>
          <w:sz w:val="28"/>
          <w:szCs w:val="28"/>
          <w:highlight w:val="none"/>
          <w:lang w:val="en-US" w:eastAsia="zh-CN"/>
        </w:rPr>
      </w:pPr>
      <w:r>
        <w:rPr>
          <w:rFonts w:hint="eastAsia" w:ascii="Times New Roman" w:hAnsi="Times New Roman" w:eastAsia="方正仿宋_GBK" w:cs="Times New Roman"/>
          <w:b/>
          <w:bCs/>
          <w:color w:val="000000"/>
          <w:sz w:val="28"/>
          <w:szCs w:val="28"/>
          <w:highlight w:val="none"/>
          <w:lang w:val="en-US" w:eastAsia="zh-CN"/>
        </w:rPr>
        <w:t>区域协调，统筹布局。</w:t>
      </w:r>
      <w:r>
        <w:rPr>
          <w:rFonts w:hint="eastAsia" w:ascii="Times New Roman" w:hAnsi="Times New Roman" w:eastAsia="方正仿宋_GBK" w:cs="Times New Roman"/>
          <w:color w:val="000000"/>
          <w:sz w:val="28"/>
          <w:szCs w:val="28"/>
          <w:highlight w:val="none"/>
          <w:lang w:val="en-US" w:eastAsia="zh-CN"/>
        </w:rPr>
        <w:t>强化本地区应急避难场所与区域、流域周边地区资源共享，明确服务本地区与周边的双重功能；结合区域路网规划跨区域疏散通道，</w:t>
      </w:r>
      <w:r>
        <w:rPr>
          <w:rFonts w:hint="eastAsia" w:ascii="Times New Roman" w:hAnsi="Times New Roman" w:eastAsia="方正仿宋_GBK" w:cs="Times New Roman"/>
          <w:color w:val="000000"/>
          <w:sz w:val="28"/>
          <w:szCs w:val="28"/>
          <w:highlight w:val="none"/>
          <w:u w:val="none"/>
          <w:lang w:val="en-US" w:eastAsia="zh-CN"/>
        </w:rPr>
        <w:t>衔接区域内外重要应急救援疏散设施。</w:t>
      </w:r>
    </w:p>
    <w:p w14:paraId="334E6854">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_GBK" w:cs="Times New Roman"/>
          <w:color w:val="000000"/>
          <w:sz w:val="28"/>
          <w:szCs w:val="28"/>
          <w:highlight w:val="none"/>
          <w:lang w:val="en-US" w:eastAsia="zh-CN"/>
        </w:rPr>
      </w:pPr>
      <w:r>
        <w:rPr>
          <w:rFonts w:hint="default" w:ascii="Times New Roman" w:hAnsi="Times New Roman" w:eastAsia="方正仿宋_GBK" w:cs="Times New Roman"/>
          <w:b/>
          <w:bCs/>
          <w:color w:val="000000"/>
          <w:sz w:val="28"/>
          <w:szCs w:val="28"/>
          <w:highlight w:val="none"/>
          <w:lang w:val="en-US" w:eastAsia="zh-CN"/>
        </w:rPr>
        <w:t>平急结合，共建共治。</w:t>
      </w:r>
      <w:r>
        <w:rPr>
          <w:rFonts w:hint="default" w:ascii="Times New Roman" w:hAnsi="Times New Roman" w:eastAsia="方正仿宋_GBK" w:cs="Times New Roman"/>
          <w:color w:val="000000"/>
          <w:sz w:val="28"/>
          <w:szCs w:val="28"/>
          <w:highlight w:val="none"/>
          <w:lang w:val="en-US" w:eastAsia="zh-CN"/>
        </w:rPr>
        <w:t>推动</w:t>
      </w:r>
      <w:r>
        <w:rPr>
          <w:rFonts w:hint="eastAsia" w:ascii="Times New Roman" w:hAnsi="Times New Roman" w:eastAsia="方正仿宋_GBK" w:cs="Times New Roman"/>
          <w:color w:val="000000"/>
          <w:sz w:val="28"/>
          <w:szCs w:val="28"/>
          <w:highlight w:val="none"/>
          <w:lang w:val="en-US" w:eastAsia="zh-CN"/>
        </w:rPr>
        <w:t>应急</w:t>
      </w:r>
      <w:r>
        <w:rPr>
          <w:rFonts w:hint="default" w:ascii="Times New Roman" w:hAnsi="Times New Roman" w:eastAsia="方正仿宋_GBK" w:cs="Times New Roman"/>
          <w:color w:val="000000"/>
          <w:sz w:val="28"/>
          <w:szCs w:val="28"/>
          <w:highlight w:val="none"/>
          <w:lang w:val="en-US" w:eastAsia="zh-CN"/>
        </w:rPr>
        <w:t>避难场所与公园、学校、广场等公共设施的功能融合，平时服务民生、灾时应急避险</w:t>
      </w:r>
      <w:r>
        <w:rPr>
          <w:rFonts w:hint="eastAsia" w:ascii="Times New Roman" w:hAnsi="Times New Roman" w:eastAsia="方正仿宋_GBK" w:cs="Times New Roman"/>
          <w:color w:val="000000"/>
          <w:sz w:val="28"/>
          <w:szCs w:val="28"/>
          <w:highlight w:val="none"/>
          <w:lang w:val="en-US" w:eastAsia="zh-CN"/>
        </w:rPr>
        <w:t>，</w:t>
      </w:r>
      <w:r>
        <w:rPr>
          <w:rFonts w:hint="default" w:ascii="Times New Roman" w:hAnsi="Times New Roman" w:eastAsia="方正仿宋_GBK" w:cs="Times New Roman"/>
          <w:color w:val="000000"/>
          <w:sz w:val="28"/>
          <w:szCs w:val="28"/>
          <w:highlight w:val="none"/>
          <w:lang w:val="en-US" w:eastAsia="zh-CN"/>
        </w:rPr>
        <w:t>鼓励多元主体参与规划建设与管理，实现</w:t>
      </w:r>
      <w:r>
        <w:rPr>
          <w:rFonts w:hint="eastAsia" w:ascii="Times New Roman" w:hAnsi="Times New Roman" w:eastAsia="方正仿宋_GBK" w:cs="Times New Roman"/>
          <w:color w:val="000000"/>
          <w:sz w:val="28"/>
          <w:szCs w:val="28"/>
          <w:highlight w:val="none"/>
          <w:lang w:val="en-US" w:eastAsia="zh-CN"/>
        </w:rPr>
        <w:t>共建共治共享</w:t>
      </w:r>
      <w:r>
        <w:rPr>
          <w:rFonts w:hint="default" w:ascii="Times New Roman" w:hAnsi="Times New Roman" w:eastAsia="方正仿宋_GBK" w:cs="Times New Roman"/>
          <w:color w:val="000000"/>
          <w:sz w:val="28"/>
          <w:szCs w:val="28"/>
          <w:highlight w:val="none"/>
          <w:lang w:val="en-US" w:eastAsia="zh-CN"/>
        </w:rPr>
        <w:t>。</w:t>
      </w:r>
    </w:p>
    <w:p w14:paraId="7CE53742">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（三）规划范围与期限</w:t>
      </w:r>
    </w:p>
    <w:p w14:paraId="50DCB972">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color w:val="000000"/>
          <w:kern w:val="2"/>
          <w:sz w:val="28"/>
          <w:szCs w:val="28"/>
          <w:highlight w:val="none"/>
          <w:lang w:val="en-US" w:eastAsia="zh-CN" w:bidi="ar-SA"/>
        </w:rPr>
        <w:t>范围：云南省全境，涵盖16个州（市）、129个县（市、区）。</w:t>
      </w:r>
    </w:p>
    <w:p w14:paraId="13BC75BF">
      <w:pPr>
        <w:keepNext w:val="0"/>
        <w:keepLines w:val="0"/>
        <w:pageBreakBefore w:val="0"/>
        <w:widowControl/>
        <w:kinsoku/>
        <w:wordWrap w:val="0"/>
        <w:overflowPunct/>
        <w:topLinePunct/>
        <w:autoSpaceDE w:val="0"/>
        <w:autoSpaceDN w:val="0"/>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color w:val="000000"/>
          <w:kern w:val="2"/>
          <w:sz w:val="28"/>
          <w:szCs w:val="28"/>
          <w:highlight w:val="none"/>
          <w:lang w:val="en-US" w:eastAsia="zh-CN" w:bidi="ar-SA"/>
        </w:rPr>
        <w:t>期限：2024—2035年，基期年为2023年</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近期至2030年，远期至</w:t>
      </w:r>
      <w:r>
        <w:rPr>
          <w:rFonts w:hint="eastAsia" w:ascii="Times New Roman" w:hAnsi="Times New Roman" w:eastAsia="方正仿宋简体" w:cs="Times New Roman"/>
          <w:color w:val="000000"/>
          <w:kern w:val="2"/>
          <w:sz w:val="28"/>
          <w:szCs w:val="28"/>
          <w:highlight w:val="none"/>
          <w:lang w:val="en-US" w:eastAsia="zh-CN" w:bidi="ar-SA"/>
        </w:rPr>
        <w:t>2035</w:t>
      </w:r>
      <w:r>
        <w:rPr>
          <w:rFonts w:hint="default" w:ascii="Times New Roman" w:hAnsi="Times New Roman" w:eastAsia="方正仿宋简体" w:cs="Times New Roman"/>
          <w:color w:val="000000"/>
          <w:kern w:val="2"/>
          <w:sz w:val="28"/>
          <w:szCs w:val="28"/>
          <w:highlight w:val="none"/>
          <w:lang w:val="en-US" w:eastAsia="zh-CN" w:bidi="ar-SA"/>
        </w:rPr>
        <w:t>年，愿景展望至2050年。</w:t>
      </w:r>
    </w:p>
    <w:p w14:paraId="469FFAF1">
      <w:pPr>
        <w:pStyle w:val="3"/>
        <w:rPr>
          <w:rFonts w:hint="default" w:ascii="Times New Roman" w:hAnsi="Times New Roman" w:cs="Times New Roman"/>
          <w:color w:val="000000"/>
        </w:rPr>
      </w:pPr>
      <w:bookmarkStart w:id="2" w:name="_Toc15798"/>
      <w:r>
        <w:rPr>
          <w:rFonts w:hint="eastAsia" w:ascii="Times New Roman" w:hAnsi="Times New Roman" w:cs="Times New Roman"/>
          <w:color w:val="000000"/>
          <w:lang w:val="en-US" w:eastAsia="zh-CN"/>
        </w:rPr>
        <w:t xml:space="preserve">        </w:t>
      </w:r>
      <w:r>
        <w:rPr>
          <w:rFonts w:hint="default" w:ascii="Times New Roman" w:hAnsi="Times New Roman" w:cs="Times New Roman"/>
          <w:color w:val="000000"/>
        </w:rPr>
        <w:t>三、现状与问题</w:t>
      </w:r>
      <w:bookmarkEnd w:id="2"/>
    </w:p>
    <w:p w14:paraId="42B3571E">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（一）应急管理发展现状</w:t>
      </w:r>
    </w:p>
    <w:p w14:paraId="0D07AAFE">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b/>
          <w:bCs/>
          <w:color w:val="000000"/>
          <w:kern w:val="2"/>
          <w:sz w:val="28"/>
          <w:szCs w:val="28"/>
          <w:highlight w:val="none"/>
          <w:lang w:val="en-US" w:eastAsia="zh-CN" w:bidi="ar-SA"/>
        </w:rPr>
        <w:t> 健全体制机制</w:t>
      </w:r>
      <w:r>
        <w:rPr>
          <w:rFonts w:hint="eastAsia" w:ascii="Times New Roman" w:hAnsi="Times New Roman" w:eastAsia="方正仿宋简体" w:cs="Times New Roman"/>
          <w:b/>
          <w:bCs/>
          <w:color w:val="000000"/>
          <w:kern w:val="2"/>
          <w:sz w:val="28"/>
          <w:szCs w:val="28"/>
          <w:highlight w:val="none"/>
          <w:lang w:val="en-US" w:eastAsia="zh-CN" w:bidi="ar-SA"/>
        </w:rPr>
        <w:t>，</w:t>
      </w:r>
      <w:r>
        <w:rPr>
          <w:rFonts w:hint="default" w:ascii="Times New Roman" w:hAnsi="Times New Roman" w:eastAsia="方正仿宋简体" w:cs="Times New Roman"/>
          <w:b/>
          <w:bCs/>
          <w:color w:val="000000"/>
          <w:kern w:val="2"/>
          <w:sz w:val="28"/>
          <w:szCs w:val="28"/>
          <w:highlight w:val="none"/>
          <w:lang w:val="en-US" w:eastAsia="zh-CN" w:bidi="ar-SA"/>
        </w:rPr>
        <w:t>提升应急指挥能力</w:t>
      </w:r>
      <w:r>
        <w:rPr>
          <w:rFonts w:hint="eastAsia" w:ascii="Times New Roman" w:hAnsi="Times New Roman" w:eastAsia="方正仿宋简体" w:cs="Times New Roman"/>
          <w:b/>
          <w:bCs/>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通过整合设立省防灾减灾救灾委员会</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厘清与防汛抗旱指挥部、森林草原防灭火指挥部、</w:t>
      </w:r>
      <w:r>
        <w:rPr>
          <w:rFonts w:hint="eastAsia" w:ascii="Times New Roman" w:hAnsi="Times New Roman" w:eastAsia="方正仿宋简体" w:cs="Times New Roman"/>
          <w:color w:val="000000"/>
          <w:kern w:val="2"/>
          <w:sz w:val="28"/>
          <w:szCs w:val="28"/>
          <w:highlight w:val="none"/>
          <w:lang w:val="en-US" w:eastAsia="zh-CN" w:bidi="ar-SA"/>
        </w:rPr>
        <w:t>抗震救灾指挥部</w:t>
      </w:r>
      <w:r>
        <w:rPr>
          <w:rFonts w:hint="default" w:ascii="Times New Roman" w:hAnsi="Times New Roman" w:eastAsia="方正仿宋简体" w:cs="Times New Roman"/>
          <w:color w:val="000000"/>
          <w:kern w:val="2"/>
          <w:sz w:val="28"/>
          <w:szCs w:val="28"/>
          <w:highlight w:val="none"/>
          <w:lang w:val="en-US" w:eastAsia="zh-CN" w:bidi="ar-SA"/>
        </w:rPr>
        <w:t>、地质灾害应急指挥部4个专项指挥部的职责边界，建立防汛</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1262</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预警叫应机制、重特大地震灾害</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123</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快速响应机制、森林草原防灭火一体化联席会议等机制</w:t>
      </w:r>
      <w:r>
        <w:rPr>
          <w:rFonts w:hint="eastAsia" w:ascii="Times New Roman" w:hAnsi="Times New Roman" w:eastAsia="方正仿宋简体" w:cs="Times New Roman"/>
          <w:color w:val="000000"/>
          <w:kern w:val="2"/>
          <w:sz w:val="28"/>
          <w:szCs w:val="28"/>
          <w:highlight w:val="none"/>
          <w:lang w:val="en-US" w:eastAsia="zh-CN" w:bidi="ar-SA"/>
        </w:rPr>
        <w:t>。</w:t>
      </w:r>
    </w:p>
    <w:p w14:paraId="73A1D6F9">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b/>
          <w:bCs/>
          <w:color w:val="000000"/>
          <w:kern w:val="2"/>
          <w:sz w:val="28"/>
          <w:szCs w:val="28"/>
          <w:highlight w:val="none"/>
          <w:lang w:val="en-US" w:eastAsia="zh-CN" w:bidi="ar-SA"/>
        </w:rPr>
        <w:t>强化监测预警</w:t>
      </w:r>
      <w:r>
        <w:rPr>
          <w:rFonts w:hint="eastAsia" w:ascii="Times New Roman" w:hAnsi="Times New Roman" w:eastAsia="方正仿宋简体" w:cs="Times New Roman"/>
          <w:b/>
          <w:bCs/>
          <w:color w:val="000000"/>
          <w:kern w:val="2"/>
          <w:sz w:val="28"/>
          <w:szCs w:val="28"/>
          <w:highlight w:val="none"/>
          <w:lang w:val="en-US" w:eastAsia="zh-CN" w:bidi="ar-SA"/>
        </w:rPr>
        <w:t>，</w:t>
      </w:r>
      <w:r>
        <w:rPr>
          <w:rFonts w:hint="default" w:ascii="Times New Roman" w:hAnsi="Times New Roman" w:eastAsia="方正仿宋简体" w:cs="Times New Roman"/>
          <w:b/>
          <w:bCs/>
          <w:color w:val="000000"/>
          <w:kern w:val="2"/>
          <w:sz w:val="28"/>
          <w:szCs w:val="28"/>
          <w:highlight w:val="none"/>
          <w:lang w:val="en-US" w:eastAsia="zh-CN" w:bidi="ar-SA"/>
        </w:rPr>
        <w:t>提升灾害感知能力</w:t>
      </w:r>
      <w:r>
        <w:rPr>
          <w:rFonts w:hint="eastAsia" w:ascii="Times New Roman" w:hAnsi="Times New Roman" w:eastAsia="方正仿宋简体" w:cs="Times New Roman"/>
          <w:b/>
          <w:bCs/>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加强灾害监测网络建设，加密地震、地质灾害、气象、水文等监测站点，尤其在偏远山区、灾害多发区和人员密集场所，增加监测网点，提高监测覆盖率和数据准确性。完善预警信息发布</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打通预警</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最后一公里</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，确保预警信息快速、准确传递到每个群众。</w:t>
      </w:r>
    </w:p>
    <w:p w14:paraId="530C6707">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b/>
          <w:bCs/>
          <w:color w:val="000000"/>
          <w:kern w:val="2"/>
          <w:sz w:val="28"/>
          <w:szCs w:val="28"/>
          <w:highlight w:val="none"/>
          <w:lang w:val="en-US" w:eastAsia="zh-CN" w:bidi="ar-SA"/>
        </w:rPr>
        <w:t>加强风险防范</w:t>
      </w:r>
      <w:r>
        <w:rPr>
          <w:rFonts w:hint="eastAsia" w:ascii="Times New Roman" w:hAnsi="Times New Roman" w:eastAsia="方正仿宋简体" w:cs="Times New Roman"/>
          <w:b/>
          <w:bCs/>
          <w:color w:val="000000"/>
          <w:kern w:val="2"/>
          <w:sz w:val="28"/>
          <w:szCs w:val="28"/>
          <w:highlight w:val="none"/>
          <w:lang w:val="en-US" w:eastAsia="zh-CN" w:bidi="ar-SA"/>
        </w:rPr>
        <w:t>，</w:t>
      </w:r>
      <w:r>
        <w:rPr>
          <w:rFonts w:hint="default" w:ascii="Times New Roman" w:hAnsi="Times New Roman" w:eastAsia="方正仿宋简体" w:cs="Times New Roman"/>
          <w:b/>
          <w:bCs/>
          <w:color w:val="000000"/>
          <w:kern w:val="2"/>
          <w:sz w:val="28"/>
          <w:szCs w:val="28"/>
          <w:highlight w:val="none"/>
          <w:lang w:val="en-US" w:eastAsia="zh-CN" w:bidi="ar-SA"/>
        </w:rPr>
        <w:t>提升综合防御能力</w:t>
      </w:r>
      <w:r>
        <w:rPr>
          <w:rFonts w:hint="eastAsia" w:ascii="Times New Roman" w:hAnsi="Times New Roman" w:eastAsia="方正仿宋简体" w:cs="Times New Roman"/>
          <w:b/>
          <w:bCs/>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持续推进自然灾害综合风险普查数据更新和成果应用，完善灾害风险数据库和风险地图，为灾害风险防范提供科学依据。推进地震易发区房屋加固、地质灾害避险移民搬迁等重点工程，开展老旧房屋、病险水库等隐患常态化排查，综合防</w:t>
      </w:r>
      <w:r>
        <w:rPr>
          <w:rFonts w:hint="eastAsia" w:ascii="Times New Roman" w:hAnsi="Times New Roman" w:eastAsia="方正仿宋简体" w:cs="Times New Roman"/>
          <w:color w:val="000000"/>
          <w:kern w:val="2"/>
          <w:sz w:val="28"/>
          <w:szCs w:val="28"/>
          <w:highlight w:val="none"/>
          <w:lang w:val="en-US" w:eastAsia="zh-CN" w:bidi="ar-SA"/>
        </w:rPr>
        <w:t>治</w:t>
      </w:r>
      <w:r>
        <w:rPr>
          <w:rFonts w:hint="default" w:ascii="Times New Roman" w:hAnsi="Times New Roman" w:eastAsia="方正仿宋简体" w:cs="Times New Roman"/>
          <w:color w:val="000000"/>
          <w:kern w:val="2"/>
          <w:sz w:val="28"/>
          <w:szCs w:val="28"/>
          <w:highlight w:val="none"/>
          <w:lang w:val="en-US" w:eastAsia="zh-CN" w:bidi="ar-SA"/>
        </w:rPr>
        <w:t>能力</w:t>
      </w:r>
      <w:r>
        <w:rPr>
          <w:rFonts w:hint="eastAsia" w:ascii="Times New Roman" w:hAnsi="Times New Roman" w:eastAsia="方正仿宋简体" w:cs="Times New Roman"/>
          <w:color w:val="000000"/>
          <w:kern w:val="2"/>
          <w:sz w:val="28"/>
          <w:szCs w:val="28"/>
          <w:highlight w:val="none"/>
          <w:lang w:val="en-US" w:eastAsia="zh-CN" w:bidi="ar-SA"/>
        </w:rPr>
        <w:t>有效</w:t>
      </w:r>
      <w:r>
        <w:rPr>
          <w:rFonts w:hint="default" w:ascii="Times New Roman" w:hAnsi="Times New Roman" w:eastAsia="方正仿宋简体" w:cs="Times New Roman"/>
          <w:color w:val="000000"/>
          <w:kern w:val="2"/>
          <w:sz w:val="28"/>
          <w:szCs w:val="28"/>
          <w:highlight w:val="none"/>
          <w:lang w:val="en-US" w:eastAsia="zh-CN" w:bidi="ar-SA"/>
        </w:rPr>
        <w:t>增强</w:t>
      </w:r>
      <w:r>
        <w:rPr>
          <w:rFonts w:hint="eastAsia" w:ascii="Times New Roman" w:hAnsi="Times New Roman" w:eastAsia="方正仿宋简体" w:cs="Times New Roman"/>
          <w:color w:val="000000"/>
          <w:kern w:val="2"/>
          <w:sz w:val="28"/>
          <w:szCs w:val="28"/>
          <w:highlight w:val="none"/>
          <w:lang w:val="en-US" w:eastAsia="zh-CN" w:bidi="ar-SA"/>
        </w:rPr>
        <w:t>。</w:t>
      </w:r>
    </w:p>
    <w:p w14:paraId="72EC5DE6">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eastAsia" w:ascii="Times New Roman" w:hAnsi="Times New Roman" w:eastAsia="方正仿宋简体" w:cs="Times New Roman"/>
          <w:b/>
          <w:bCs/>
          <w:color w:val="000000"/>
          <w:kern w:val="2"/>
          <w:sz w:val="28"/>
          <w:szCs w:val="28"/>
          <w:highlight w:val="none"/>
          <w:lang w:val="en-US" w:eastAsia="zh-CN" w:bidi="ar-SA"/>
        </w:rPr>
        <w:t>完善救援体系，提升快速响应能力。</w:t>
      </w:r>
      <w:r>
        <w:rPr>
          <w:rFonts w:hint="default" w:ascii="Times New Roman" w:hAnsi="Times New Roman" w:eastAsia="方正仿宋简体" w:cs="Times New Roman"/>
          <w:color w:val="000000"/>
          <w:kern w:val="2"/>
          <w:sz w:val="28"/>
          <w:szCs w:val="28"/>
          <w:highlight w:val="none"/>
          <w:lang w:val="en-US" w:eastAsia="zh-CN" w:bidi="ar-SA"/>
        </w:rPr>
        <w:t>打造以国家综合性消防救援队伍为主力、专业队伍协同、军队力量突击、社会力量辅助的应急救援体系，建成</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6个省属分库—10个州（市）库—129个县级库—801个乡镇储备点</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的四级救灾物资储备体系，快速响应能力有效提升。</w:t>
      </w:r>
    </w:p>
    <w:p w14:paraId="619DDCBA">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（二）避难场所建设现状</w:t>
      </w:r>
    </w:p>
    <w:p w14:paraId="20BB1026">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default" w:ascii="Times New Roman" w:hAnsi="Times New Roman" w:eastAsia="方正仿宋_GBK" w:cs="Times New Roman"/>
          <w:color w:val="000000"/>
          <w:sz w:val="28"/>
          <w:szCs w:val="28"/>
          <w:highlight w:val="none"/>
          <w:lang w:val="en-US" w:eastAsia="zh-CN"/>
        </w:rPr>
      </w:pPr>
      <w:r>
        <w:rPr>
          <w:rFonts w:hint="default" w:ascii="Times New Roman" w:hAnsi="Times New Roman" w:eastAsia="方正仿宋_GBK" w:cs="Times New Roman"/>
          <w:b/>
          <w:bCs/>
          <w:color w:val="000000"/>
          <w:sz w:val="28"/>
          <w:szCs w:val="28"/>
          <w:highlight w:val="none"/>
          <w:lang w:val="en-US" w:eastAsia="zh-CN"/>
        </w:rPr>
        <w:t>总体建设规模</w:t>
      </w:r>
      <w:r>
        <w:rPr>
          <w:rFonts w:hint="eastAsia" w:ascii="Times New Roman" w:hAnsi="Times New Roman" w:eastAsia="方正仿宋_GBK" w:cs="Times New Roman"/>
          <w:b/>
          <w:bCs/>
          <w:color w:val="000000"/>
          <w:sz w:val="28"/>
          <w:szCs w:val="28"/>
          <w:highlight w:val="none"/>
          <w:lang w:val="en-US" w:eastAsia="zh-CN"/>
        </w:rPr>
        <w:t>方面：</w:t>
      </w:r>
      <w:r>
        <w:rPr>
          <w:rFonts w:hint="default" w:ascii="Times New Roman" w:hAnsi="Times New Roman" w:eastAsia="方正仿宋_GBK" w:cs="Times New Roman"/>
          <w:color w:val="000000"/>
          <w:sz w:val="28"/>
          <w:szCs w:val="28"/>
          <w:highlight w:val="none"/>
          <w:lang w:val="en-US" w:eastAsia="zh-CN"/>
        </w:rPr>
        <w:t>全省共建成应急避难场所6822个，总面积达5043.59</w:t>
      </w:r>
      <w:r>
        <w:rPr>
          <w:rFonts w:hint="eastAsia" w:ascii="Times New Roman" w:hAnsi="Times New Roman" w:eastAsia="方正仿宋_GBK" w:cs="Times New Roman"/>
          <w:color w:val="000000"/>
          <w:sz w:val="28"/>
          <w:szCs w:val="28"/>
          <w:highlight w:val="none"/>
          <w:lang w:val="en-US" w:eastAsia="zh-CN"/>
        </w:rPr>
        <w:t>万平方米</w:t>
      </w:r>
      <w:r>
        <w:rPr>
          <w:rFonts w:hint="default" w:ascii="Times New Roman" w:hAnsi="Times New Roman" w:eastAsia="方正仿宋_GBK" w:cs="Times New Roman"/>
          <w:color w:val="000000"/>
          <w:sz w:val="28"/>
          <w:szCs w:val="28"/>
          <w:highlight w:val="none"/>
          <w:lang w:val="en-US" w:eastAsia="zh-CN"/>
        </w:rPr>
        <w:t>，有效避难面积3153.45</w:t>
      </w:r>
      <w:r>
        <w:rPr>
          <w:rFonts w:hint="eastAsia" w:ascii="Times New Roman" w:hAnsi="Times New Roman" w:eastAsia="方正仿宋_GBK" w:cs="Times New Roman"/>
          <w:color w:val="000000"/>
          <w:sz w:val="28"/>
          <w:szCs w:val="28"/>
          <w:highlight w:val="none"/>
          <w:lang w:val="en-US" w:eastAsia="zh-CN"/>
        </w:rPr>
        <w:t>万平方米</w:t>
      </w:r>
      <w:r>
        <w:rPr>
          <w:rFonts w:hint="default" w:ascii="Times New Roman" w:hAnsi="Times New Roman" w:eastAsia="方正仿宋_GBK" w:cs="Times New Roman"/>
          <w:color w:val="000000"/>
          <w:sz w:val="28"/>
          <w:szCs w:val="28"/>
          <w:highlight w:val="none"/>
          <w:lang w:val="en-US" w:eastAsia="zh-CN"/>
        </w:rPr>
        <w:t>，可满足约1711.62万人应急避难，</w:t>
      </w:r>
      <w:r>
        <w:rPr>
          <w:rFonts w:hint="eastAsia" w:ascii="Times New Roman" w:hAnsi="Times New Roman" w:eastAsia="方正仿宋_GBK" w:cs="Times New Roman"/>
          <w:color w:val="000000"/>
          <w:sz w:val="28"/>
          <w:szCs w:val="28"/>
          <w:highlight w:val="none"/>
          <w:lang w:val="en-US" w:eastAsia="zh-CN"/>
        </w:rPr>
        <w:t>覆盖全省129个县（市、区）政府所在地及重点乡村地区</w:t>
      </w:r>
      <w:r>
        <w:rPr>
          <w:rFonts w:hint="default" w:ascii="Times New Roman" w:hAnsi="Times New Roman" w:eastAsia="方正仿宋_GBK" w:cs="Times New Roman"/>
          <w:color w:val="000000"/>
          <w:sz w:val="28"/>
          <w:szCs w:val="28"/>
          <w:highlight w:val="none"/>
          <w:lang w:val="en-US" w:eastAsia="zh-CN"/>
        </w:rPr>
        <w:t>。​</w:t>
      </w:r>
    </w:p>
    <w:p w14:paraId="3AB7BC76">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default" w:ascii="Times New Roman" w:hAnsi="Times New Roman" w:eastAsia="方正仿宋_GBK" w:cs="Times New Roman"/>
          <w:color w:val="000000"/>
          <w:sz w:val="28"/>
          <w:szCs w:val="28"/>
          <w:highlight w:val="none"/>
          <w:lang w:val="en-US" w:eastAsia="zh-CN"/>
        </w:rPr>
      </w:pPr>
      <w:r>
        <w:rPr>
          <w:rFonts w:hint="eastAsia" w:ascii="Times New Roman" w:hAnsi="Times New Roman" w:eastAsia="方正仿宋_GBK" w:cs="Times New Roman"/>
          <w:b/>
          <w:bCs/>
          <w:color w:val="000000"/>
          <w:sz w:val="28"/>
          <w:szCs w:val="28"/>
          <w:highlight w:val="none"/>
          <w:lang w:val="en-US" w:eastAsia="zh-CN"/>
        </w:rPr>
        <w:t>场所</w:t>
      </w:r>
      <w:r>
        <w:rPr>
          <w:rFonts w:hint="default" w:ascii="Times New Roman" w:hAnsi="Times New Roman" w:eastAsia="方正仿宋_GBK" w:cs="Times New Roman"/>
          <w:b/>
          <w:bCs/>
          <w:color w:val="000000"/>
          <w:sz w:val="28"/>
          <w:szCs w:val="28"/>
          <w:highlight w:val="none"/>
          <w:lang w:val="en-US" w:eastAsia="zh-CN"/>
        </w:rPr>
        <w:t>空间类型</w:t>
      </w:r>
      <w:r>
        <w:rPr>
          <w:rFonts w:hint="eastAsia" w:ascii="Times New Roman" w:hAnsi="Times New Roman" w:eastAsia="方正仿宋_GBK" w:cs="Times New Roman"/>
          <w:b/>
          <w:bCs/>
          <w:color w:val="000000"/>
          <w:sz w:val="28"/>
          <w:szCs w:val="28"/>
          <w:highlight w:val="none"/>
          <w:lang w:val="en-US" w:eastAsia="zh-CN"/>
        </w:rPr>
        <w:t>方面</w:t>
      </w:r>
      <w:r>
        <w:rPr>
          <w:rFonts w:hint="default" w:ascii="Times New Roman" w:hAnsi="Times New Roman" w:eastAsia="方正仿宋_GBK" w:cs="Times New Roman"/>
          <w:b/>
          <w:bCs/>
          <w:color w:val="000000"/>
          <w:sz w:val="28"/>
          <w:szCs w:val="28"/>
          <w:highlight w:val="none"/>
          <w:lang w:val="en-US" w:eastAsia="zh-CN"/>
        </w:rPr>
        <w:t>：</w:t>
      </w:r>
      <w:r>
        <w:rPr>
          <w:rFonts w:hint="default" w:ascii="Times New Roman" w:hAnsi="Times New Roman" w:eastAsia="方正仿宋_GBK" w:cs="Times New Roman"/>
          <w:color w:val="000000"/>
          <w:sz w:val="28"/>
          <w:szCs w:val="28"/>
          <w:highlight w:val="none"/>
          <w:lang w:val="en-US" w:eastAsia="zh-CN"/>
        </w:rPr>
        <w:t>从空间类型看，室外型避难场所数量达4648个，有效避难面积2789.64</w:t>
      </w:r>
      <w:r>
        <w:rPr>
          <w:rFonts w:hint="eastAsia" w:ascii="Times New Roman" w:hAnsi="Times New Roman" w:eastAsia="方正仿宋_GBK" w:cs="Times New Roman"/>
          <w:color w:val="000000"/>
          <w:sz w:val="28"/>
          <w:szCs w:val="28"/>
          <w:highlight w:val="none"/>
          <w:lang w:val="en-US" w:eastAsia="zh-CN"/>
        </w:rPr>
        <w:t>万平方米</w:t>
      </w:r>
      <w:r>
        <w:rPr>
          <w:rFonts w:hint="default" w:ascii="Times New Roman" w:hAnsi="Times New Roman" w:eastAsia="方正仿宋_GBK" w:cs="Times New Roman"/>
          <w:color w:val="000000"/>
          <w:sz w:val="28"/>
          <w:szCs w:val="28"/>
          <w:highlight w:val="none"/>
          <w:lang w:val="en-US" w:eastAsia="zh-CN"/>
        </w:rPr>
        <w:t>，分别占全省总量的68.1%、88.5%；室内型场所2174个，有效面积363.81万平方米，占比31.9%、11.5%。</w:t>
      </w:r>
      <w:r>
        <w:rPr>
          <w:rFonts w:hint="eastAsia" w:ascii="Times New Roman" w:hAnsi="Times New Roman" w:eastAsia="方正仿宋_GBK" w:cs="Times New Roman"/>
          <w:color w:val="000000"/>
          <w:sz w:val="28"/>
          <w:szCs w:val="28"/>
          <w:highlight w:val="none"/>
          <w:lang w:val="en-US" w:eastAsia="zh-CN"/>
        </w:rPr>
        <w:t>室外</w:t>
      </w:r>
      <w:r>
        <w:rPr>
          <w:rFonts w:hint="default" w:ascii="Times New Roman" w:hAnsi="Times New Roman" w:eastAsia="方正仿宋_GBK" w:cs="Times New Roman"/>
          <w:color w:val="000000"/>
          <w:sz w:val="28"/>
          <w:szCs w:val="28"/>
          <w:highlight w:val="none"/>
          <w:lang w:val="en-US" w:eastAsia="zh-CN"/>
        </w:rPr>
        <w:t>场所</w:t>
      </w:r>
      <w:r>
        <w:rPr>
          <w:rFonts w:hint="eastAsia" w:ascii="Times New Roman" w:hAnsi="Times New Roman" w:eastAsia="方正仿宋_GBK" w:cs="Times New Roman"/>
          <w:color w:val="000000"/>
          <w:sz w:val="28"/>
          <w:szCs w:val="28"/>
          <w:highlight w:val="none"/>
          <w:lang w:val="en-US" w:eastAsia="zh-CN"/>
        </w:rPr>
        <w:t>是</w:t>
      </w:r>
      <w:r>
        <w:rPr>
          <w:rFonts w:hint="default" w:ascii="Times New Roman" w:hAnsi="Times New Roman" w:eastAsia="方正仿宋_GBK" w:cs="Times New Roman"/>
          <w:color w:val="000000"/>
          <w:sz w:val="28"/>
          <w:szCs w:val="28"/>
          <w:highlight w:val="none"/>
          <w:lang w:val="en-US" w:eastAsia="zh-CN"/>
        </w:rPr>
        <w:t>应急避难的主要</w:t>
      </w:r>
      <w:r>
        <w:rPr>
          <w:rFonts w:hint="eastAsia" w:ascii="Times New Roman" w:hAnsi="Times New Roman" w:eastAsia="方正仿宋_GBK" w:cs="Times New Roman"/>
          <w:color w:val="000000"/>
          <w:sz w:val="28"/>
          <w:szCs w:val="28"/>
          <w:highlight w:val="none"/>
          <w:lang w:val="en-US" w:eastAsia="zh-CN"/>
        </w:rPr>
        <w:t>空间类型</w:t>
      </w:r>
      <w:r>
        <w:rPr>
          <w:rFonts w:hint="default" w:ascii="Times New Roman" w:hAnsi="Times New Roman" w:eastAsia="方正仿宋_GBK" w:cs="Times New Roman"/>
          <w:color w:val="000000"/>
          <w:sz w:val="28"/>
          <w:szCs w:val="28"/>
          <w:highlight w:val="none"/>
          <w:lang w:val="en-US" w:eastAsia="zh-CN"/>
        </w:rPr>
        <w:t>。​</w:t>
      </w:r>
    </w:p>
    <w:p w14:paraId="76B36D87">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default" w:ascii="楷体" w:hAnsi="楷体" w:eastAsia="楷体" w:cs="楷体"/>
          <w:b/>
          <w:bCs/>
          <w:color w:val="000000"/>
          <w:sz w:val="28"/>
          <w:szCs w:val="28"/>
          <w:highlight w:val="none"/>
          <w:lang w:val="en-US" w:eastAsia="zh-CN"/>
        </w:rPr>
      </w:pPr>
      <w:r>
        <w:rPr>
          <w:rFonts w:hint="default" w:ascii="Times New Roman" w:hAnsi="Times New Roman" w:eastAsia="方正仿宋_GBK" w:cs="Times New Roman"/>
          <w:b/>
          <w:bCs/>
          <w:color w:val="000000"/>
          <w:sz w:val="28"/>
          <w:szCs w:val="28"/>
          <w:highlight w:val="none"/>
          <w:lang w:val="en-US" w:eastAsia="zh-CN"/>
        </w:rPr>
        <w:t>避难时长</w:t>
      </w:r>
      <w:r>
        <w:rPr>
          <w:rFonts w:hint="eastAsia" w:ascii="Times New Roman" w:hAnsi="Times New Roman" w:eastAsia="方正仿宋_GBK" w:cs="Times New Roman"/>
          <w:b/>
          <w:bCs/>
          <w:color w:val="000000"/>
          <w:sz w:val="28"/>
          <w:szCs w:val="28"/>
          <w:highlight w:val="none"/>
          <w:lang w:val="en-US" w:eastAsia="zh-CN"/>
        </w:rPr>
        <w:t>类型方面：</w:t>
      </w:r>
      <w:r>
        <w:rPr>
          <w:rFonts w:hint="default" w:ascii="Times New Roman" w:hAnsi="Times New Roman" w:eastAsia="方正仿宋_GBK" w:cs="Times New Roman"/>
          <w:color w:val="000000"/>
          <w:sz w:val="28"/>
          <w:szCs w:val="28"/>
          <w:highlight w:val="none"/>
          <w:lang w:val="en-US" w:eastAsia="zh-CN"/>
        </w:rPr>
        <w:t>按时长划分，紧急避难场所数量3986个，有效面积1470.31</w:t>
      </w:r>
      <w:r>
        <w:rPr>
          <w:rFonts w:hint="eastAsia" w:ascii="Times New Roman" w:hAnsi="Times New Roman" w:eastAsia="方正仿宋_GBK" w:cs="Times New Roman"/>
          <w:color w:val="000000"/>
          <w:sz w:val="28"/>
          <w:szCs w:val="28"/>
          <w:highlight w:val="none"/>
          <w:lang w:val="en-US" w:eastAsia="zh-CN"/>
        </w:rPr>
        <w:t>万平方米</w:t>
      </w:r>
      <w:r>
        <w:rPr>
          <w:rFonts w:hint="default" w:ascii="Times New Roman" w:hAnsi="Times New Roman" w:eastAsia="方正仿宋_GBK" w:cs="Times New Roman"/>
          <w:color w:val="000000"/>
          <w:sz w:val="28"/>
          <w:szCs w:val="28"/>
          <w:highlight w:val="none"/>
          <w:lang w:val="en-US" w:eastAsia="zh-CN"/>
        </w:rPr>
        <w:t>，分别占总量的58.</w:t>
      </w:r>
      <w:r>
        <w:rPr>
          <w:rFonts w:hint="default" w:ascii="Times New Roman" w:hAnsi="Times New Roman" w:eastAsia="方正仿宋_GBK" w:cs="Times New Roman"/>
          <w:color w:val="000000"/>
          <w:sz w:val="28"/>
          <w:szCs w:val="28"/>
          <w:highlight w:val="none"/>
          <w:lang w:val="en" w:eastAsia="zh-CN"/>
        </w:rPr>
        <w:t>5</w:t>
      </w:r>
      <w:r>
        <w:rPr>
          <w:rFonts w:hint="default" w:ascii="Times New Roman" w:hAnsi="Times New Roman" w:eastAsia="方正仿宋_GBK" w:cs="Times New Roman"/>
          <w:color w:val="000000"/>
          <w:sz w:val="28"/>
          <w:szCs w:val="28"/>
          <w:highlight w:val="none"/>
          <w:lang w:val="en-US" w:eastAsia="zh-CN"/>
        </w:rPr>
        <w:t>%、46.6%；短期避难场所1680个、有效面积991.87万平方米，占比24.6%、31.5%；长期避难场所1156个、有效面积691.27万平方米，占比16.9%、21.9%。</w:t>
      </w:r>
      <w:r>
        <w:rPr>
          <w:rFonts w:hint="default" w:ascii="楷体" w:hAnsi="楷体" w:eastAsia="楷体" w:cs="楷体"/>
          <w:b/>
          <w:bCs/>
          <w:color w:val="000000"/>
          <w:sz w:val="28"/>
          <w:szCs w:val="28"/>
          <w:highlight w:val="none"/>
          <w:lang w:val="en-US" w:eastAsia="zh-CN"/>
        </w:rPr>
        <w:t>​</w:t>
      </w:r>
    </w:p>
    <w:p w14:paraId="6B5D4DE8">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default" w:ascii="Times New Roman" w:hAnsi="Times New Roman" w:eastAsia="方正仿宋_GBK" w:cs="Times New Roman"/>
          <w:color w:val="000000"/>
          <w:sz w:val="28"/>
          <w:szCs w:val="28"/>
          <w:highlight w:val="none"/>
          <w:lang w:val="en-US" w:eastAsia="zh-CN"/>
        </w:rPr>
      </w:pPr>
      <w:r>
        <w:rPr>
          <w:rFonts w:hint="default" w:ascii="Times New Roman" w:hAnsi="Times New Roman" w:eastAsia="方正仿宋_GBK" w:cs="Times New Roman"/>
          <w:b/>
          <w:bCs/>
          <w:color w:val="000000"/>
          <w:sz w:val="28"/>
          <w:szCs w:val="28"/>
          <w:highlight w:val="none"/>
          <w:lang w:val="en-US" w:eastAsia="zh-CN"/>
        </w:rPr>
        <w:t>功能类型特征</w:t>
      </w:r>
      <w:r>
        <w:rPr>
          <w:rFonts w:hint="eastAsia" w:ascii="Times New Roman" w:hAnsi="Times New Roman" w:eastAsia="方正仿宋_GBK" w:cs="Times New Roman"/>
          <w:b/>
          <w:bCs/>
          <w:color w:val="000000"/>
          <w:sz w:val="28"/>
          <w:szCs w:val="28"/>
          <w:highlight w:val="none"/>
          <w:lang w:val="en-US" w:eastAsia="zh-CN"/>
        </w:rPr>
        <w:t>方面：</w:t>
      </w:r>
      <w:r>
        <w:rPr>
          <w:rFonts w:hint="default" w:ascii="Times New Roman" w:hAnsi="Times New Roman" w:eastAsia="方正仿宋_GBK" w:cs="Times New Roman"/>
          <w:color w:val="000000"/>
          <w:sz w:val="28"/>
          <w:szCs w:val="28"/>
          <w:highlight w:val="none"/>
          <w:lang w:val="en-US" w:eastAsia="zh-CN"/>
        </w:rPr>
        <w:t>场所功能</w:t>
      </w:r>
      <w:r>
        <w:rPr>
          <w:rFonts w:hint="eastAsia" w:ascii="Times New Roman" w:hAnsi="Times New Roman" w:eastAsia="方正仿宋_GBK" w:cs="Times New Roman"/>
          <w:color w:val="000000"/>
          <w:sz w:val="28"/>
          <w:szCs w:val="28"/>
          <w:highlight w:val="none"/>
          <w:lang w:val="en-US" w:eastAsia="zh-CN"/>
        </w:rPr>
        <w:t>方面</w:t>
      </w:r>
      <w:r>
        <w:rPr>
          <w:rFonts w:hint="default" w:ascii="Times New Roman" w:hAnsi="Times New Roman" w:eastAsia="方正仿宋_GBK" w:cs="Times New Roman"/>
          <w:color w:val="000000"/>
          <w:sz w:val="28"/>
          <w:szCs w:val="28"/>
          <w:highlight w:val="none"/>
          <w:lang w:val="en-US" w:eastAsia="zh-CN"/>
        </w:rPr>
        <w:t>，综合性避难场所6542个，有效面积2939.10</w:t>
      </w:r>
      <w:r>
        <w:rPr>
          <w:rFonts w:hint="eastAsia" w:ascii="Times New Roman" w:hAnsi="Times New Roman" w:eastAsia="方正仿宋_GBK" w:cs="Times New Roman"/>
          <w:color w:val="000000"/>
          <w:sz w:val="28"/>
          <w:szCs w:val="28"/>
          <w:highlight w:val="none"/>
          <w:lang w:val="en-US" w:eastAsia="zh-CN"/>
        </w:rPr>
        <w:t>万平方米</w:t>
      </w:r>
      <w:r>
        <w:rPr>
          <w:rFonts w:hint="default" w:ascii="Times New Roman" w:hAnsi="Times New Roman" w:eastAsia="方正仿宋_GBK" w:cs="Times New Roman"/>
          <w:color w:val="000000"/>
          <w:sz w:val="28"/>
          <w:szCs w:val="28"/>
          <w:highlight w:val="none"/>
          <w:lang w:val="en-US" w:eastAsia="zh-CN"/>
        </w:rPr>
        <w:t>，</w:t>
      </w:r>
      <w:r>
        <w:rPr>
          <w:rFonts w:hint="eastAsia" w:ascii="Times New Roman" w:hAnsi="Times New Roman" w:eastAsia="方正仿宋_GBK" w:cs="Times New Roman"/>
          <w:color w:val="000000"/>
          <w:sz w:val="28"/>
          <w:szCs w:val="28"/>
          <w:highlight w:val="none"/>
          <w:lang w:val="en-US" w:eastAsia="zh-CN"/>
        </w:rPr>
        <w:t>分别</w:t>
      </w:r>
      <w:r>
        <w:rPr>
          <w:rFonts w:hint="default" w:ascii="Times New Roman" w:hAnsi="Times New Roman" w:eastAsia="方正仿宋_GBK" w:cs="Times New Roman"/>
          <w:color w:val="000000"/>
          <w:sz w:val="28"/>
          <w:szCs w:val="28"/>
          <w:highlight w:val="none"/>
          <w:lang w:val="en-US" w:eastAsia="zh-CN"/>
        </w:rPr>
        <w:t>占总量的95.9%、93.2%；单一性场所280个，有效面积214.35</w:t>
      </w:r>
      <w:r>
        <w:rPr>
          <w:rFonts w:hint="eastAsia" w:ascii="Times New Roman" w:hAnsi="Times New Roman" w:eastAsia="方正仿宋_GBK" w:cs="Times New Roman"/>
          <w:color w:val="000000"/>
          <w:sz w:val="28"/>
          <w:szCs w:val="28"/>
          <w:highlight w:val="none"/>
          <w:lang w:val="en-US" w:eastAsia="zh-CN"/>
        </w:rPr>
        <w:t>万平方米</w:t>
      </w:r>
      <w:r>
        <w:rPr>
          <w:rFonts w:hint="default" w:ascii="Times New Roman" w:hAnsi="Times New Roman" w:eastAsia="方正仿宋_GBK" w:cs="Times New Roman"/>
          <w:color w:val="000000"/>
          <w:sz w:val="28"/>
          <w:szCs w:val="28"/>
          <w:highlight w:val="none"/>
          <w:lang w:val="en-US" w:eastAsia="zh-CN"/>
        </w:rPr>
        <w:t>，占比4.1%、6.8%，主要用于特定场景下的</w:t>
      </w:r>
      <w:r>
        <w:rPr>
          <w:rFonts w:hint="eastAsia" w:ascii="Times New Roman" w:hAnsi="Times New Roman" w:eastAsia="方正仿宋_GBK" w:cs="Times New Roman"/>
          <w:color w:val="000000"/>
          <w:sz w:val="28"/>
          <w:szCs w:val="28"/>
          <w:highlight w:val="none"/>
          <w:lang w:val="en-US" w:eastAsia="zh-CN"/>
        </w:rPr>
        <w:t>避难需求</w:t>
      </w:r>
      <w:r>
        <w:rPr>
          <w:rFonts w:hint="default" w:ascii="Times New Roman" w:hAnsi="Times New Roman" w:eastAsia="方正仿宋_GBK" w:cs="Times New Roman"/>
          <w:color w:val="000000"/>
          <w:sz w:val="28"/>
          <w:szCs w:val="28"/>
          <w:highlight w:val="none"/>
          <w:lang w:val="en-US" w:eastAsia="zh-CN"/>
        </w:rPr>
        <w:t>。</w:t>
      </w:r>
    </w:p>
    <w:p w14:paraId="37851DAA">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（三）建设成效</w:t>
      </w:r>
    </w:p>
    <w:p w14:paraId="1D47B03A">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default" w:ascii="Times New Roman" w:hAnsi="Times New Roman" w:eastAsia="方正仿宋简体" w:cs="Times New Roman"/>
          <w:b/>
          <w:bCs/>
          <w:color w:val="000000"/>
          <w:sz w:val="28"/>
          <w:szCs w:val="28"/>
          <w:highlight w:val="none"/>
          <w:lang w:val="en-US" w:eastAsia="zh-CN"/>
        </w:rPr>
      </w:pPr>
      <w:r>
        <w:rPr>
          <w:rFonts w:hint="eastAsia" w:ascii="Times New Roman" w:hAnsi="Times New Roman" w:eastAsia="方正仿宋简体" w:cs="Times New Roman"/>
          <w:b/>
          <w:bCs/>
          <w:color w:val="000000"/>
          <w:sz w:val="28"/>
          <w:szCs w:val="28"/>
          <w:highlight w:val="none"/>
          <w:lang w:val="en-US" w:eastAsia="zh-CN"/>
        </w:rPr>
        <w:t>建设规模持续增加。</w:t>
      </w:r>
      <w:r>
        <w:rPr>
          <w:rFonts w:hint="eastAsia" w:ascii="Times New Roman" w:hAnsi="Times New Roman" w:eastAsia="方正仿宋简体" w:cs="Times New Roman"/>
          <w:b w:val="0"/>
          <w:bCs w:val="0"/>
          <w:color w:val="000000"/>
          <w:sz w:val="28"/>
          <w:szCs w:val="28"/>
          <w:highlight w:val="none"/>
          <w:lang w:val="en-US" w:eastAsia="zh-CN"/>
        </w:rPr>
        <w:t>按照《云南省人民政府办公厅关于加强应急避难场所建设和管理工作的意见》、综合防灾减灾规划等政策要求，应急避难场所数量增长至6822个。从区域覆盖情况来看，应急避难场所的布局正逐步优化，在自然灾害频发的县（市、区）及乡镇（街道），正逐步达成避难场所全覆盖的目标。</w:t>
      </w:r>
      <w:bookmarkStart w:id="3" w:name="_Toc426"/>
    </w:p>
    <w:p w14:paraId="65889C34">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eastAsia" w:ascii="Times New Roman" w:hAnsi="Times New Roman" w:eastAsia="方正仿宋简体" w:cs="Times New Roman"/>
          <w:b w:val="0"/>
          <w:bCs w:val="0"/>
          <w:color w:val="000000"/>
          <w:sz w:val="28"/>
          <w:szCs w:val="28"/>
          <w:highlight w:val="none"/>
          <w:lang w:val="en-US" w:eastAsia="zh-CN"/>
        </w:rPr>
      </w:pPr>
      <w:r>
        <w:rPr>
          <w:rFonts w:hint="default" w:ascii="Times New Roman" w:hAnsi="Times New Roman" w:eastAsia="方正仿宋简体" w:cs="Times New Roman"/>
          <w:b/>
          <w:bCs/>
          <w:color w:val="000000"/>
          <w:sz w:val="28"/>
          <w:szCs w:val="28"/>
          <w:highlight w:val="none"/>
          <w:lang w:val="en-US" w:eastAsia="zh-CN"/>
        </w:rPr>
        <w:t>平</w:t>
      </w:r>
      <w:r>
        <w:rPr>
          <w:rFonts w:hint="eastAsia" w:ascii="Times New Roman" w:hAnsi="Times New Roman" w:eastAsia="方正仿宋简体" w:cs="Times New Roman"/>
          <w:b/>
          <w:bCs/>
          <w:color w:val="000000"/>
          <w:sz w:val="28"/>
          <w:szCs w:val="28"/>
          <w:highlight w:val="none"/>
          <w:lang w:val="en-US" w:eastAsia="zh-CN"/>
        </w:rPr>
        <w:t>急</w:t>
      </w:r>
      <w:r>
        <w:rPr>
          <w:rFonts w:hint="default" w:ascii="Times New Roman" w:hAnsi="Times New Roman" w:eastAsia="方正仿宋简体" w:cs="Times New Roman"/>
          <w:b/>
          <w:bCs/>
          <w:color w:val="000000"/>
          <w:sz w:val="28"/>
          <w:szCs w:val="28"/>
          <w:highlight w:val="none"/>
          <w:lang w:val="en-US" w:eastAsia="zh-CN"/>
        </w:rPr>
        <w:t>结合模式有效推广</w:t>
      </w:r>
      <w:r>
        <w:rPr>
          <w:rFonts w:hint="eastAsia" w:ascii="Times New Roman" w:hAnsi="Times New Roman" w:eastAsia="方正仿宋简体" w:cs="Times New Roman"/>
          <w:b/>
          <w:bCs/>
          <w:color w:val="000000"/>
          <w:sz w:val="28"/>
          <w:szCs w:val="28"/>
          <w:highlight w:val="none"/>
          <w:lang w:val="en-US" w:eastAsia="zh-CN"/>
        </w:rPr>
        <w:t>。</w:t>
      </w:r>
      <w:r>
        <w:rPr>
          <w:rFonts w:hint="eastAsia" w:ascii="Times New Roman" w:hAnsi="Times New Roman" w:eastAsia="方正仿宋简体" w:cs="Times New Roman"/>
          <w:b w:val="0"/>
          <w:bCs w:val="0"/>
          <w:color w:val="000000"/>
          <w:sz w:val="28"/>
          <w:szCs w:val="28"/>
          <w:highlight w:val="none"/>
          <w:lang w:val="en-US" w:eastAsia="zh-CN"/>
        </w:rPr>
        <w:t>云南省积极促进应急避难场所与现有公共设施的整合利用，实现了“平急结合”的利用模式。</w:t>
      </w:r>
      <w:bookmarkEnd w:id="3"/>
      <w:r>
        <w:rPr>
          <w:rFonts w:hint="eastAsia" w:ascii="Times New Roman" w:hAnsi="Times New Roman" w:eastAsia="方正仿宋简体" w:cs="Times New Roman"/>
          <w:b w:val="0"/>
          <w:bCs w:val="0"/>
          <w:color w:val="000000"/>
          <w:sz w:val="28"/>
          <w:szCs w:val="28"/>
          <w:highlight w:val="none"/>
          <w:lang w:val="en-US" w:eastAsia="zh-CN"/>
        </w:rPr>
        <w:t>全省应急避难场所主要依托公园、绿地、休闲广场、学校操场、体育场馆等现有公共设施建设，节约建设成本，提高了设施的日常使用效率。</w:t>
      </w:r>
    </w:p>
    <w:p w14:paraId="22F94D1D">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eastAsia" w:ascii="Times New Roman" w:hAnsi="Times New Roman" w:eastAsia="方正仿宋简体" w:cs="Times New Roman"/>
          <w:b w:val="0"/>
          <w:bCs w:val="0"/>
          <w:color w:val="000000"/>
          <w:sz w:val="28"/>
          <w:szCs w:val="28"/>
          <w:highlight w:val="none"/>
          <w:lang w:val="en-US" w:eastAsia="zh-CN"/>
        </w:rPr>
      </w:pPr>
      <w:bookmarkStart w:id="4" w:name="_Toc4307"/>
      <w:r>
        <w:rPr>
          <w:rFonts w:hint="default" w:ascii="Times New Roman" w:hAnsi="Times New Roman" w:eastAsia="方正仿宋简体" w:cs="Times New Roman"/>
          <w:b/>
          <w:bCs/>
          <w:color w:val="000000"/>
          <w:sz w:val="28"/>
          <w:szCs w:val="28"/>
          <w:highlight w:val="none"/>
          <w:lang w:val="en-US" w:eastAsia="zh-CN"/>
        </w:rPr>
        <w:t>应急保障能力</w:t>
      </w:r>
      <w:r>
        <w:rPr>
          <w:rFonts w:hint="eastAsia" w:ascii="Times New Roman" w:hAnsi="Times New Roman" w:eastAsia="方正仿宋简体" w:cs="Times New Roman"/>
          <w:b/>
          <w:bCs/>
          <w:color w:val="000000"/>
          <w:sz w:val="28"/>
          <w:szCs w:val="28"/>
          <w:highlight w:val="none"/>
          <w:lang w:val="en-US" w:eastAsia="zh-CN"/>
        </w:rPr>
        <w:t>明显</w:t>
      </w:r>
      <w:r>
        <w:rPr>
          <w:rFonts w:hint="default" w:ascii="Times New Roman" w:hAnsi="Times New Roman" w:eastAsia="方正仿宋简体" w:cs="Times New Roman"/>
          <w:b/>
          <w:bCs/>
          <w:color w:val="000000"/>
          <w:sz w:val="28"/>
          <w:szCs w:val="28"/>
          <w:highlight w:val="none"/>
          <w:lang w:val="en-US" w:eastAsia="zh-CN"/>
        </w:rPr>
        <w:t>提升</w:t>
      </w:r>
      <w:r>
        <w:rPr>
          <w:rFonts w:hint="eastAsia" w:ascii="Times New Roman" w:hAnsi="Times New Roman" w:eastAsia="方正仿宋简体" w:cs="Times New Roman"/>
          <w:b/>
          <w:bCs/>
          <w:color w:val="000000"/>
          <w:sz w:val="28"/>
          <w:szCs w:val="28"/>
          <w:highlight w:val="none"/>
          <w:lang w:val="en-US" w:eastAsia="zh-CN"/>
        </w:rPr>
        <w:t>。</w:t>
      </w:r>
      <w:r>
        <w:rPr>
          <w:rFonts w:hint="eastAsia" w:ascii="Times New Roman" w:hAnsi="Times New Roman" w:eastAsia="方正仿宋简体" w:cs="Times New Roman"/>
          <w:b w:val="0"/>
          <w:bCs w:val="0"/>
          <w:color w:val="000000"/>
          <w:sz w:val="28"/>
          <w:szCs w:val="28"/>
          <w:highlight w:val="none"/>
          <w:lang w:val="en-US" w:eastAsia="zh-CN"/>
        </w:rPr>
        <w:t>在应急物资储备方面，构建了较为完善的四级应急救灾物资储备体系，以省级储备库为核心、省属分库和州市级储备库为基础、县级储备库为支撑、乡镇储备点为补充，形成了纵向衔接、横向支撑、规模趋于合理的储备网络。</w:t>
      </w:r>
      <w:bookmarkEnd w:id="4"/>
    </w:p>
    <w:p w14:paraId="7720FD1F">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eastAsia" w:ascii="Times New Roman" w:hAnsi="Times New Roman" w:eastAsia="方正仿宋简体" w:cs="Times New Roman"/>
          <w:b w:val="0"/>
          <w:bCs w:val="0"/>
          <w:color w:val="000000"/>
          <w:sz w:val="28"/>
          <w:szCs w:val="28"/>
          <w:highlight w:val="none"/>
          <w:lang w:val="en-US" w:eastAsia="zh-CN"/>
        </w:rPr>
      </w:pPr>
      <w:bookmarkStart w:id="5" w:name="_Toc11963"/>
      <w:r>
        <w:rPr>
          <w:rFonts w:hint="eastAsia" w:ascii="Times New Roman" w:hAnsi="Times New Roman" w:eastAsia="方正仿宋简体" w:cs="Times New Roman"/>
          <w:b/>
          <w:bCs/>
          <w:color w:val="000000"/>
          <w:sz w:val="28"/>
          <w:szCs w:val="28"/>
          <w:highlight w:val="none"/>
          <w:lang w:val="en-US" w:eastAsia="zh-CN"/>
        </w:rPr>
        <w:t>基层防灾减灾能力</w:t>
      </w:r>
      <w:r>
        <w:rPr>
          <w:rFonts w:hint="eastAsia" w:ascii="Times New Roman" w:hAnsi="Times New Roman" w:eastAsia="方正仿宋简体" w:cs="Times New Roman"/>
          <w:b/>
          <w:bCs/>
          <w:color w:val="000000"/>
          <w:kern w:val="2"/>
          <w:sz w:val="28"/>
          <w:szCs w:val="28"/>
          <w:highlight w:val="none"/>
          <w:lang w:val="en-US" w:eastAsia="zh-CN" w:bidi="ar-SA"/>
        </w:rPr>
        <w:t>得到</w:t>
      </w:r>
      <w:r>
        <w:rPr>
          <w:rFonts w:hint="eastAsia" w:ascii="Times New Roman" w:hAnsi="Times New Roman" w:eastAsia="方正仿宋简体" w:cs="Times New Roman"/>
          <w:b/>
          <w:bCs/>
          <w:color w:val="000000"/>
          <w:sz w:val="28"/>
          <w:szCs w:val="28"/>
          <w:highlight w:val="none"/>
          <w:lang w:val="en-US" w:eastAsia="zh-CN"/>
        </w:rPr>
        <w:t>增强。</w:t>
      </w:r>
      <w:r>
        <w:rPr>
          <w:rFonts w:hint="eastAsia" w:ascii="Times New Roman" w:hAnsi="Times New Roman" w:eastAsia="方正仿宋简体" w:cs="Times New Roman"/>
          <w:b w:val="0"/>
          <w:bCs w:val="0"/>
          <w:color w:val="000000"/>
          <w:sz w:val="28"/>
          <w:szCs w:val="28"/>
          <w:highlight w:val="none"/>
          <w:lang w:val="en-US" w:eastAsia="zh-CN"/>
        </w:rPr>
        <w:t>积极推进综合减灾示范社区创建工作，创建104个全国综合减灾示范社区、159个国家级和省级地震安全示范社区。多次组织地震应急演练，增强公众的防灾减灾意识与自救互救能力，妥善应对通海、墨江、巧家等6次破坏性地震。</w:t>
      </w:r>
      <w:bookmarkEnd w:id="5"/>
      <w:r>
        <w:rPr>
          <w:rFonts w:hint="eastAsia" w:ascii="Times New Roman" w:hAnsi="Times New Roman" w:eastAsia="方正仿宋简体" w:cs="Times New Roman"/>
          <w:b w:val="0"/>
          <w:bCs w:val="0"/>
          <w:color w:val="000000"/>
          <w:kern w:val="2"/>
          <w:sz w:val="28"/>
          <w:szCs w:val="28"/>
          <w:highlight w:val="none"/>
          <w:lang w:val="en-US" w:eastAsia="zh-CN" w:bidi="ar-SA"/>
        </w:rPr>
        <w:t xml:space="preserve"> </w:t>
      </w:r>
    </w:p>
    <w:p w14:paraId="0127BB95">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（四）存在问题</w:t>
      </w:r>
    </w:p>
    <w:p w14:paraId="5B9A8660">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b/>
          <w:bCs/>
          <w:color w:val="000000"/>
          <w:kern w:val="2"/>
          <w:sz w:val="28"/>
          <w:szCs w:val="28"/>
          <w:highlight w:val="none"/>
          <w:lang w:val="en-US" w:eastAsia="zh-CN" w:bidi="ar-SA"/>
        </w:rPr>
        <w:t>人均资源不足：</w:t>
      </w:r>
      <w:r>
        <w:rPr>
          <w:rFonts w:hint="default" w:ascii="Times New Roman" w:hAnsi="Times New Roman" w:eastAsia="方正仿宋简体" w:cs="Times New Roman"/>
          <w:color w:val="000000"/>
          <w:kern w:val="2"/>
          <w:sz w:val="28"/>
          <w:szCs w:val="28"/>
          <w:highlight w:val="none"/>
          <w:lang w:val="en-US" w:eastAsia="zh-CN" w:bidi="ar-SA"/>
        </w:rPr>
        <w:t>需避难人口人均有效避难面积低于国家标准，难以满足大规模灾害</w:t>
      </w:r>
      <w:r>
        <w:rPr>
          <w:rFonts w:hint="eastAsia" w:ascii="Times New Roman" w:hAnsi="Times New Roman" w:eastAsia="方正仿宋简体" w:cs="Times New Roman"/>
          <w:color w:val="000000"/>
          <w:kern w:val="2"/>
          <w:sz w:val="28"/>
          <w:szCs w:val="28"/>
          <w:highlight w:val="none"/>
          <w:lang w:val="en-US" w:eastAsia="zh-CN" w:bidi="ar-SA"/>
        </w:rPr>
        <w:t>后</w:t>
      </w:r>
      <w:r>
        <w:rPr>
          <w:rFonts w:hint="default" w:ascii="Times New Roman" w:hAnsi="Times New Roman" w:eastAsia="方正仿宋简体" w:cs="Times New Roman"/>
          <w:color w:val="000000"/>
          <w:kern w:val="2"/>
          <w:sz w:val="28"/>
          <w:szCs w:val="28"/>
          <w:highlight w:val="none"/>
          <w:lang w:val="en-US" w:eastAsia="zh-CN" w:bidi="ar-SA"/>
        </w:rPr>
        <w:t>安置需求</w:t>
      </w:r>
      <w:r>
        <w:rPr>
          <w:rFonts w:hint="eastAsia" w:ascii="Times New Roman" w:hAnsi="Times New Roman" w:eastAsia="方正仿宋简体" w:cs="Times New Roman"/>
          <w:color w:val="000000"/>
          <w:kern w:val="2"/>
          <w:sz w:val="28"/>
          <w:szCs w:val="28"/>
          <w:highlight w:val="none"/>
          <w:lang w:val="en-US" w:eastAsia="zh-CN" w:bidi="ar-SA"/>
        </w:rPr>
        <w:t>，场所</w:t>
      </w:r>
      <w:r>
        <w:rPr>
          <w:rFonts w:hint="default" w:ascii="Times New Roman" w:hAnsi="Times New Roman" w:eastAsia="方正仿宋简体" w:cs="Times New Roman"/>
          <w:color w:val="000000"/>
          <w:kern w:val="2"/>
          <w:sz w:val="28"/>
          <w:szCs w:val="28"/>
          <w:highlight w:val="none"/>
          <w:lang w:val="en-US" w:eastAsia="zh-CN" w:bidi="ar-SA"/>
        </w:rPr>
        <w:t>主要集中于城市、乡镇中心，山区、边境及乡村地区存在服务缺口。</w:t>
      </w:r>
    </w:p>
    <w:p w14:paraId="61579CB3">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b/>
          <w:bCs/>
          <w:color w:val="000000"/>
          <w:kern w:val="2"/>
          <w:sz w:val="28"/>
          <w:szCs w:val="28"/>
          <w:highlight w:val="none"/>
          <w:lang w:val="en-US" w:eastAsia="zh-CN" w:bidi="ar-SA"/>
        </w:rPr>
        <w:t>功能结构失衡：</w:t>
      </w:r>
      <w:r>
        <w:rPr>
          <w:rFonts w:hint="default" w:ascii="Times New Roman" w:hAnsi="Times New Roman" w:eastAsia="方正仿宋简体" w:cs="Times New Roman"/>
          <w:color w:val="000000"/>
          <w:kern w:val="2"/>
          <w:sz w:val="28"/>
          <w:szCs w:val="28"/>
          <w:highlight w:val="none"/>
          <w:lang w:val="en-US" w:eastAsia="zh-CN" w:bidi="ar-SA"/>
        </w:rPr>
        <w:t>长期型、室内型场所数量少且分布不均，</w:t>
      </w:r>
      <w:r>
        <w:rPr>
          <w:rFonts w:hint="eastAsia" w:ascii="Times New Roman" w:hAnsi="Times New Roman" w:eastAsia="方正仿宋简体" w:cs="Times New Roman"/>
          <w:color w:val="000000"/>
          <w:kern w:val="2"/>
          <w:sz w:val="28"/>
          <w:szCs w:val="28"/>
          <w:highlight w:val="none"/>
          <w:lang w:val="en-US" w:eastAsia="zh-CN" w:bidi="ar-SA"/>
        </w:rPr>
        <w:t>77个</w:t>
      </w:r>
      <w:r>
        <w:rPr>
          <w:rFonts w:hint="default" w:ascii="Times New Roman" w:hAnsi="Times New Roman" w:eastAsia="方正仿宋简体" w:cs="Times New Roman"/>
          <w:color w:val="000000"/>
          <w:kern w:val="2"/>
          <w:sz w:val="28"/>
          <w:szCs w:val="28"/>
          <w:highlight w:val="none"/>
          <w:lang w:val="en-US" w:eastAsia="zh-CN" w:bidi="ar-SA"/>
        </w:rPr>
        <w:t>县（市、区）缺乏长期避难场所，难以满足灾后15天以上的安置需求，室内型</w:t>
      </w:r>
      <w:r>
        <w:rPr>
          <w:rFonts w:hint="eastAsia" w:ascii="Times New Roman" w:hAnsi="Times New Roman" w:eastAsia="方正仿宋简体" w:cs="Times New Roman"/>
          <w:color w:val="000000"/>
          <w:kern w:val="2"/>
          <w:sz w:val="28"/>
          <w:szCs w:val="28"/>
          <w:highlight w:val="none"/>
          <w:lang w:val="en-US" w:eastAsia="zh-CN" w:bidi="ar-SA"/>
        </w:rPr>
        <w:t>场所</w:t>
      </w:r>
      <w:r>
        <w:rPr>
          <w:rFonts w:hint="default" w:ascii="Times New Roman" w:hAnsi="Times New Roman" w:eastAsia="方正仿宋简体" w:cs="Times New Roman"/>
          <w:color w:val="000000"/>
          <w:kern w:val="2"/>
          <w:sz w:val="28"/>
          <w:szCs w:val="28"/>
          <w:highlight w:val="none"/>
          <w:lang w:val="en-US" w:eastAsia="zh-CN" w:bidi="ar-SA"/>
        </w:rPr>
        <w:t>面积仅占</w:t>
      </w:r>
      <w:r>
        <w:rPr>
          <w:rFonts w:hint="eastAsia" w:ascii="Times New Roman" w:hAnsi="Times New Roman" w:eastAsia="方正仿宋简体" w:cs="Times New Roman"/>
          <w:color w:val="000000"/>
          <w:kern w:val="2"/>
          <w:sz w:val="28"/>
          <w:szCs w:val="28"/>
          <w:highlight w:val="none"/>
          <w:lang w:val="en-US" w:eastAsia="zh-CN" w:bidi="ar-SA"/>
        </w:rPr>
        <w:t>场所总面积的</w:t>
      </w:r>
      <w:r>
        <w:rPr>
          <w:rFonts w:hint="default" w:ascii="Times New Roman" w:hAnsi="Times New Roman" w:eastAsia="方正仿宋简体" w:cs="Times New Roman"/>
          <w:color w:val="000000"/>
          <w:kern w:val="2"/>
          <w:sz w:val="28"/>
          <w:szCs w:val="28"/>
          <w:highlight w:val="none"/>
          <w:lang w:val="en-US" w:eastAsia="zh-CN" w:bidi="ar-SA"/>
        </w:rPr>
        <w:t>11.5%。</w:t>
      </w:r>
    </w:p>
    <w:p w14:paraId="72718A98">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eastAsia" w:ascii="Times New Roman" w:hAnsi="Times New Roman" w:eastAsia="方正仿宋简体" w:cs="Times New Roman"/>
          <w:b/>
          <w:bCs/>
          <w:color w:val="000000"/>
          <w:kern w:val="2"/>
          <w:sz w:val="28"/>
          <w:szCs w:val="28"/>
          <w:highlight w:val="none"/>
          <w:lang w:val="en-US" w:eastAsia="zh-CN" w:bidi="ar-SA"/>
        </w:rPr>
        <w:t>设施物资不足：</w:t>
      </w:r>
      <w:r>
        <w:rPr>
          <w:rFonts w:hint="eastAsia" w:ascii="Times New Roman" w:hAnsi="Times New Roman" w:eastAsia="方正仿宋简体" w:cs="Times New Roman"/>
          <w:color w:val="000000"/>
          <w:kern w:val="2"/>
          <w:sz w:val="28"/>
          <w:szCs w:val="28"/>
          <w:highlight w:val="none"/>
          <w:lang w:val="en-US" w:eastAsia="zh-CN" w:bidi="ar-SA"/>
        </w:rPr>
        <w:t>全省仅11.2%的场所配备应急供电、供水设备，无标识标志的场所占比达61.7%；约87.8%的场所无应急物资储备，乡村地区场所普遍存在管护人员不足、保障不到位等问题。</w:t>
      </w:r>
    </w:p>
    <w:p w14:paraId="139EB926">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b/>
          <w:bCs/>
          <w:color w:val="000000"/>
          <w:kern w:val="2"/>
          <w:sz w:val="28"/>
          <w:szCs w:val="28"/>
          <w:highlight w:val="none"/>
          <w:lang w:val="en-US" w:eastAsia="zh-CN" w:bidi="ar-SA"/>
        </w:rPr>
        <w:t>管理机制不完善：</w:t>
      </w:r>
      <w:r>
        <w:rPr>
          <w:rFonts w:hint="default" w:ascii="Times New Roman" w:hAnsi="Times New Roman" w:eastAsia="方正仿宋简体" w:cs="Times New Roman"/>
          <w:color w:val="000000"/>
          <w:kern w:val="2"/>
          <w:sz w:val="28"/>
          <w:szCs w:val="28"/>
          <w:highlight w:val="none"/>
          <w:lang w:val="en-US" w:eastAsia="zh-CN" w:bidi="ar-SA"/>
        </w:rPr>
        <w:t>应急避难场所的管理涉及多个部门，但缺乏有效的协调机制，导致资源难以整合。部分应急避难场所存在日常维护管理不到位的问题，常态化管理机制尚未完全建立，责任落实不够明确，缺乏日常维护经费。</w:t>
      </w:r>
    </w:p>
    <w:p w14:paraId="76600AEA">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b/>
          <w:bCs/>
          <w:color w:val="000000"/>
          <w:kern w:val="2"/>
          <w:sz w:val="28"/>
          <w:szCs w:val="28"/>
          <w:highlight w:val="none"/>
          <w:lang w:val="en-US" w:eastAsia="zh-CN" w:bidi="ar-SA"/>
        </w:rPr>
        <w:t>分级分类</w:t>
      </w:r>
      <w:r>
        <w:rPr>
          <w:rFonts w:hint="eastAsia" w:ascii="Times New Roman" w:hAnsi="Times New Roman" w:eastAsia="方正仿宋简体" w:cs="Times New Roman"/>
          <w:b/>
          <w:bCs/>
          <w:color w:val="000000"/>
          <w:kern w:val="2"/>
          <w:sz w:val="28"/>
          <w:szCs w:val="28"/>
          <w:highlight w:val="none"/>
          <w:lang w:val="en-US" w:eastAsia="zh-CN" w:bidi="ar-SA"/>
        </w:rPr>
        <w:t>较</w:t>
      </w:r>
      <w:r>
        <w:rPr>
          <w:rFonts w:hint="default" w:ascii="Times New Roman" w:hAnsi="Times New Roman" w:eastAsia="方正仿宋简体" w:cs="Times New Roman"/>
          <w:b/>
          <w:bCs/>
          <w:color w:val="000000"/>
          <w:kern w:val="2"/>
          <w:sz w:val="28"/>
          <w:szCs w:val="28"/>
          <w:highlight w:val="none"/>
          <w:lang w:val="en-US" w:eastAsia="zh-CN" w:bidi="ar-SA"/>
        </w:rPr>
        <w:t>混乱：</w:t>
      </w:r>
      <w:r>
        <w:rPr>
          <w:rFonts w:hint="eastAsia" w:ascii="Times New Roman" w:hAnsi="Times New Roman" w:eastAsia="方正仿宋简体" w:cs="Times New Roman"/>
          <w:color w:val="000000"/>
          <w:kern w:val="2"/>
          <w:sz w:val="28"/>
          <w:szCs w:val="28"/>
          <w:highlight w:val="none"/>
          <w:lang w:val="en-US" w:eastAsia="zh-CN" w:bidi="ar-SA"/>
        </w:rPr>
        <w:t>场所分级分类</w:t>
      </w:r>
      <w:r>
        <w:rPr>
          <w:rFonts w:hint="default" w:ascii="Times New Roman" w:hAnsi="Times New Roman" w:eastAsia="方正仿宋简体" w:cs="Times New Roman"/>
          <w:color w:val="000000"/>
          <w:kern w:val="2"/>
          <w:sz w:val="28"/>
          <w:szCs w:val="28"/>
          <w:highlight w:val="none"/>
          <w:lang w:val="en-US" w:eastAsia="zh-CN" w:bidi="ar-SA"/>
        </w:rPr>
        <w:t>未完全衔接《应急避难场所分级及分类》（GB/T44013-2024），</w:t>
      </w:r>
      <w:r>
        <w:rPr>
          <w:rFonts w:hint="eastAsia" w:ascii="Times New Roman" w:hAnsi="Times New Roman" w:eastAsia="方正仿宋简体" w:cs="Times New Roman"/>
          <w:color w:val="000000"/>
          <w:kern w:val="2"/>
          <w:sz w:val="28"/>
          <w:szCs w:val="28"/>
          <w:highlight w:val="none"/>
          <w:lang w:val="en-US" w:eastAsia="zh-CN" w:bidi="ar-SA"/>
        </w:rPr>
        <w:t>存在分级分类不合理情形，难以指导应急避难场所科学合理建设</w:t>
      </w:r>
      <w:r>
        <w:rPr>
          <w:rFonts w:hint="default" w:ascii="Times New Roman" w:hAnsi="Times New Roman" w:eastAsia="方正仿宋简体" w:cs="Times New Roman"/>
          <w:color w:val="000000"/>
          <w:kern w:val="2"/>
          <w:sz w:val="28"/>
          <w:szCs w:val="28"/>
          <w:highlight w:val="none"/>
          <w:lang w:val="en-US" w:eastAsia="zh-CN" w:bidi="ar-SA"/>
        </w:rPr>
        <w:t>。</w:t>
      </w:r>
    </w:p>
    <w:p w14:paraId="1F6D21BA">
      <w:pPr>
        <w:pStyle w:val="3"/>
        <w:rPr>
          <w:rFonts w:hint="default" w:ascii="Times New Roman" w:hAnsi="Times New Roman" w:cs="Times New Roman"/>
          <w:b/>
          <w:bCs/>
          <w:color w:val="000000"/>
          <w:lang w:val="en-US" w:eastAsia="zh-CN"/>
        </w:rPr>
      </w:pPr>
      <w:r>
        <w:rPr>
          <w:rFonts w:hint="eastAsia" w:ascii="Times New Roman" w:hAnsi="Times New Roman" w:cs="Times New Roman"/>
          <w:color w:val="000000"/>
          <w:lang w:val="en-US" w:eastAsia="zh-CN"/>
        </w:rPr>
        <w:t xml:space="preserve">       </w:t>
      </w:r>
      <w:r>
        <w:rPr>
          <w:rFonts w:hint="eastAsia" w:ascii="Times New Roman" w:hAnsi="Times New Roman" w:cs="Times New Roman"/>
          <w:b/>
          <w:bCs/>
          <w:color w:val="000000"/>
          <w:lang w:val="en-US" w:eastAsia="zh-CN"/>
        </w:rPr>
        <w:t>四、</w:t>
      </w:r>
      <w:r>
        <w:rPr>
          <w:rFonts w:hint="default" w:ascii="Times New Roman" w:hAnsi="Times New Roman" w:cs="Times New Roman"/>
          <w:b/>
          <w:bCs/>
          <w:color w:val="000000"/>
          <w:lang w:val="en-US" w:eastAsia="zh-CN"/>
        </w:rPr>
        <w:t>机遇与挑战</w:t>
      </w:r>
    </w:p>
    <w:p w14:paraId="0EB6671D">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b/>
          <w:bCs/>
          <w:color w:val="000000"/>
          <w:kern w:val="2"/>
          <w:sz w:val="28"/>
          <w:szCs w:val="28"/>
          <w:highlight w:val="none"/>
          <w:lang w:val="en-US" w:eastAsia="zh-CN" w:bidi="ar-SA"/>
        </w:rPr>
        <w:t>战略机遇。</w:t>
      </w:r>
      <w:r>
        <w:rPr>
          <w:rFonts w:hint="default" w:ascii="Times New Roman" w:hAnsi="Times New Roman" w:eastAsia="方正仿宋简体" w:cs="Times New Roman"/>
          <w:color w:val="000000"/>
          <w:kern w:val="2"/>
          <w:sz w:val="28"/>
          <w:szCs w:val="28"/>
          <w:highlight w:val="none"/>
          <w:lang w:val="en-US" w:eastAsia="zh-CN" w:bidi="ar-SA"/>
        </w:rPr>
        <w:t>国家大力推进国家安全体系和防灾减灾救灾能力现代化，提出</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大安全、大应急</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框架，为应急避难场所体系建设提供了政策引领和顶层设计支持。新型城镇化、城市更新和</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平急两用</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公共基础设施建设加快推进，为避难场所与公园、学校、体育场馆等公共空间融合发展创造了有利条件。同时，数字技术、智慧应急平台和地理信息系统广泛应用，为避难场所的智能化管理与精准调度提供了技术支撑。云南作为面向南亚东南亚的辐射中心，也在跨境应急合作、边疆安全治理等方面迎来新的发展空间。</w:t>
      </w:r>
    </w:p>
    <w:p w14:paraId="600F08FC">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b/>
          <w:bCs/>
          <w:color w:val="000000"/>
          <w:kern w:val="2"/>
          <w:sz w:val="28"/>
          <w:szCs w:val="28"/>
          <w:highlight w:val="none"/>
          <w:lang w:val="en-US" w:eastAsia="zh-CN" w:bidi="ar-SA"/>
        </w:rPr>
        <w:t>面临挑战。</w:t>
      </w:r>
      <w:r>
        <w:rPr>
          <w:rFonts w:hint="default" w:ascii="Times New Roman" w:hAnsi="Times New Roman" w:eastAsia="方正仿宋简体" w:cs="Times New Roman"/>
          <w:color w:val="000000"/>
          <w:kern w:val="2"/>
          <w:sz w:val="28"/>
          <w:szCs w:val="28"/>
          <w:highlight w:val="none"/>
          <w:lang w:val="en-US" w:eastAsia="zh-CN" w:bidi="ar-SA"/>
        </w:rPr>
        <w:t>云南地形复杂、山地多、平地少，适宜建设避难场所的空间资源有限，尤其在高海拔、高寒、边境和民族地区，建设与运维成本高、难度大。部分地方对避难场所功能认识不足，日常维护、物资储备和应急演练不到位，导致设施利用率低。跨部门协同机制不健全，</w:t>
      </w:r>
      <w:r>
        <w:rPr>
          <w:rFonts w:hint="eastAsia" w:ascii="Times New Roman" w:hAnsi="Times New Roman" w:eastAsia="方正仿宋简体" w:cs="Times New Roman"/>
          <w:color w:val="000000"/>
          <w:kern w:val="2"/>
          <w:sz w:val="28"/>
          <w:szCs w:val="28"/>
          <w:highlight w:val="none"/>
          <w:lang w:val="en-US" w:eastAsia="zh-CN" w:bidi="ar-SA"/>
        </w:rPr>
        <w:t>相关部门</w:t>
      </w:r>
      <w:r>
        <w:rPr>
          <w:rFonts w:hint="default" w:ascii="Times New Roman" w:hAnsi="Times New Roman" w:eastAsia="方正仿宋简体" w:cs="Times New Roman"/>
          <w:color w:val="000000"/>
          <w:kern w:val="2"/>
          <w:sz w:val="28"/>
          <w:szCs w:val="28"/>
          <w:highlight w:val="none"/>
          <w:lang w:val="en-US" w:eastAsia="zh-CN" w:bidi="ar-SA"/>
        </w:rPr>
        <w:t>职责需进一步统筹。公众防灾意识和自救互救能力有待提升，社会参与度不高，制约了避难体系整体效能的发挥。</w:t>
      </w:r>
    </w:p>
    <w:p w14:paraId="4800DDA7">
      <w:pPr>
        <w:pStyle w:val="3"/>
        <w:rPr>
          <w:rFonts w:hint="default" w:ascii="Times New Roman" w:hAnsi="Times New Roman" w:cs="Times New Roman"/>
          <w:color w:val="000000"/>
        </w:rPr>
      </w:pPr>
      <w:bookmarkStart w:id="6" w:name="_Toc9432"/>
      <w:r>
        <w:rPr>
          <w:rFonts w:hint="eastAsia" w:ascii="Times New Roman" w:hAnsi="Times New Roman" w:cs="Times New Roman"/>
          <w:color w:val="000000"/>
          <w:lang w:val="en-US" w:eastAsia="zh-CN"/>
        </w:rPr>
        <w:t xml:space="preserve">        五</w:t>
      </w:r>
      <w:r>
        <w:rPr>
          <w:rFonts w:hint="default" w:ascii="Times New Roman" w:hAnsi="Times New Roman" w:cs="Times New Roman"/>
          <w:color w:val="000000"/>
        </w:rPr>
        <w:t>、应急避难需求与资源</w:t>
      </w:r>
      <w:bookmarkEnd w:id="6"/>
    </w:p>
    <w:p w14:paraId="708E25F3">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（一）避难人口需求</w:t>
      </w:r>
    </w:p>
    <w:p w14:paraId="25A64273">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color w:val="000000"/>
          <w:kern w:val="2"/>
          <w:sz w:val="28"/>
          <w:szCs w:val="28"/>
          <w:highlight w:val="none"/>
          <w:lang w:val="en-US" w:eastAsia="zh-CN" w:bidi="ar-SA"/>
        </w:rPr>
        <w:t>人口趋势：</w:t>
      </w:r>
      <w:r>
        <w:rPr>
          <w:rFonts w:hint="eastAsia" w:ascii="Times New Roman" w:hAnsi="Times New Roman" w:eastAsia="方正仿宋简体" w:cs="Times New Roman"/>
          <w:color w:val="000000"/>
          <w:kern w:val="2"/>
          <w:sz w:val="28"/>
          <w:szCs w:val="28"/>
          <w:highlight w:val="none"/>
          <w:lang w:val="en-US" w:eastAsia="zh-CN" w:bidi="ar-SA"/>
        </w:rPr>
        <w:t>城镇化率持续提升，</w:t>
      </w:r>
      <w:r>
        <w:rPr>
          <w:rFonts w:hint="default" w:ascii="Times New Roman" w:hAnsi="Times New Roman" w:eastAsia="方正仿宋简体" w:cs="Times New Roman"/>
          <w:color w:val="000000"/>
          <w:kern w:val="2"/>
          <w:sz w:val="28"/>
          <w:szCs w:val="28"/>
          <w:highlight w:val="none"/>
          <w:lang w:val="en-US" w:eastAsia="zh-CN" w:bidi="ar-SA"/>
        </w:rPr>
        <w:t>2023年末全省总人口4673万人（城镇化率52.92%），预计2035年城镇化率达70%；人口空间分布不均，</w:t>
      </w:r>
      <w:r>
        <w:rPr>
          <w:rFonts w:hint="eastAsia" w:ascii="Times New Roman" w:hAnsi="Times New Roman" w:eastAsia="方正仿宋简体" w:cs="Times New Roman"/>
          <w:color w:val="000000"/>
          <w:kern w:val="2"/>
          <w:sz w:val="28"/>
          <w:szCs w:val="28"/>
          <w:highlight w:val="none"/>
          <w:lang w:val="en-US" w:eastAsia="zh-CN" w:bidi="ar-SA"/>
        </w:rPr>
        <w:t>呈现“整体分散、局部集中”的空间特征，</w:t>
      </w:r>
      <w:r>
        <w:rPr>
          <w:rFonts w:hint="default" w:ascii="Times New Roman" w:hAnsi="Times New Roman" w:eastAsia="方正仿宋简体" w:cs="Times New Roman"/>
          <w:color w:val="000000"/>
          <w:kern w:val="2"/>
          <w:sz w:val="28"/>
          <w:szCs w:val="28"/>
          <w:highlight w:val="none"/>
          <w:lang w:val="en-US" w:eastAsia="zh-CN" w:bidi="ar-SA"/>
        </w:rPr>
        <w:t>滇中城市群占全省人口47.06%，流动人口季节性波动</w:t>
      </w:r>
      <w:r>
        <w:rPr>
          <w:rFonts w:hint="eastAsia" w:ascii="Times New Roman" w:hAnsi="Times New Roman" w:eastAsia="方正仿宋简体" w:cs="Times New Roman"/>
          <w:color w:val="000000"/>
          <w:kern w:val="2"/>
          <w:sz w:val="28"/>
          <w:szCs w:val="28"/>
          <w:highlight w:val="none"/>
          <w:lang w:val="en-US" w:eastAsia="zh-CN" w:bidi="ar-SA"/>
        </w:rPr>
        <w:t>明显</w:t>
      </w:r>
      <w:r>
        <w:rPr>
          <w:rFonts w:hint="default" w:ascii="Times New Roman" w:hAnsi="Times New Roman" w:eastAsia="方正仿宋简体" w:cs="Times New Roman"/>
          <w:color w:val="000000"/>
          <w:kern w:val="2"/>
          <w:sz w:val="28"/>
          <w:szCs w:val="28"/>
          <w:highlight w:val="none"/>
          <w:lang w:val="en-US" w:eastAsia="zh-CN" w:bidi="ar-SA"/>
        </w:rPr>
        <w:t>。</w:t>
      </w:r>
    </w:p>
    <w:p w14:paraId="79640CE0">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color w:val="000000"/>
          <w:kern w:val="2"/>
          <w:sz w:val="28"/>
          <w:szCs w:val="28"/>
          <w:highlight w:val="none"/>
          <w:lang w:val="en-US" w:eastAsia="zh-CN" w:bidi="ar-SA"/>
        </w:rPr>
        <w:t>避难需求：规划至2035年，</w:t>
      </w:r>
      <w:r>
        <w:rPr>
          <w:rFonts w:hint="eastAsia" w:ascii="Times New Roman" w:hAnsi="Times New Roman" w:eastAsia="方正仿宋简体" w:cs="Times New Roman"/>
          <w:color w:val="000000"/>
          <w:kern w:val="2"/>
          <w:sz w:val="28"/>
          <w:szCs w:val="28"/>
          <w:highlight w:val="none"/>
          <w:lang w:val="en-US" w:eastAsia="zh-CN" w:bidi="ar-SA"/>
        </w:rPr>
        <w:t>可满足</w:t>
      </w:r>
      <w:r>
        <w:rPr>
          <w:rFonts w:hint="default" w:ascii="Times New Roman" w:hAnsi="Times New Roman" w:eastAsia="方正仿宋简体" w:cs="Times New Roman"/>
          <w:color w:val="000000"/>
          <w:kern w:val="2"/>
          <w:sz w:val="28"/>
          <w:szCs w:val="28"/>
          <w:highlight w:val="none"/>
          <w:lang w:val="en-US" w:eastAsia="zh-CN" w:bidi="ar-SA"/>
        </w:rPr>
        <w:t>紧急避难人口</w:t>
      </w:r>
      <w:r>
        <w:rPr>
          <w:rFonts w:hint="eastAsia" w:ascii="Times New Roman" w:hAnsi="Times New Roman" w:eastAsia="方正仿宋简体" w:cs="Times New Roman"/>
          <w:color w:val="000000"/>
          <w:kern w:val="2"/>
          <w:sz w:val="28"/>
          <w:szCs w:val="28"/>
          <w:highlight w:val="none"/>
          <w:lang w:val="en-US" w:eastAsia="zh-CN" w:bidi="ar-SA"/>
        </w:rPr>
        <w:t>安置规模</w:t>
      </w:r>
      <w:r>
        <w:rPr>
          <w:rFonts w:hint="default" w:ascii="Times New Roman" w:hAnsi="Times New Roman" w:eastAsia="方正仿宋简体" w:cs="Times New Roman"/>
          <w:color w:val="000000"/>
          <w:kern w:val="2"/>
          <w:sz w:val="28"/>
          <w:szCs w:val="28"/>
          <w:highlight w:val="none"/>
          <w:lang w:val="en-US" w:eastAsia="zh-CN" w:bidi="ar-SA"/>
        </w:rPr>
        <w:t>3501.09万人、短期避难</w:t>
      </w:r>
      <w:r>
        <w:rPr>
          <w:rFonts w:hint="eastAsia" w:ascii="Times New Roman" w:hAnsi="Times New Roman" w:eastAsia="方正仿宋简体" w:cs="Times New Roman"/>
          <w:color w:val="000000"/>
          <w:kern w:val="2"/>
          <w:sz w:val="28"/>
          <w:szCs w:val="28"/>
          <w:highlight w:val="none"/>
          <w:lang w:val="en-US" w:eastAsia="zh-CN" w:bidi="ar-SA"/>
        </w:rPr>
        <w:t>人口安置规模</w:t>
      </w:r>
      <w:r>
        <w:rPr>
          <w:rFonts w:hint="default" w:ascii="Times New Roman" w:hAnsi="Times New Roman" w:eastAsia="方正仿宋简体" w:cs="Times New Roman"/>
          <w:color w:val="000000"/>
          <w:kern w:val="2"/>
          <w:sz w:val="28"/>
          <w:szCs w:val="28"/>
          <w:highlight w:val="none"/>
          <w:lang w:val="en-US" w:eastAsia="zh-CN" w:bidi="ar-SA"/>
        </w:rPr>
        <w:t>1049.32万人、长期避难</w:t>
      </w:r>
      <w:r>
        <w:rPr>
          <w:rFonts w:hint="eastAsia" w:ascii="Times New Roman" w:hAnsi="Times New Roman" w:eastAsia="方正仿宋简体" w:cs="Times New Roman"/>
          <w:color w:val="000000"/>
          <w:kern w:val="2"/>
          <w:sz w:val="28"/>
          <w:szCs w:val="28"/>
          <w:highlight w:val="none"/>
          <w:lang w:val="en-US" w:eastAsia="zh-CN" w:bidi="ar-SA"/>
        </w:rPr>
        <w:t>人口安置规模</w:t>
      </w:r>
      <w:r>
        <w:rPr>
          <w:rFonts w:hint="default" w:ascii="Times New Roman" w:hAnsi="Times New Roman" w:eastAsia="方正仿宋简体" w:cs="Times New Roman"/>
          <w:color w:val="000000"/>
          <w:kern w:val="2"/>
          <w:sz w:val="28"/>
          <w:szCs w:val="28"/>
          <w:highlight w:val="none"/>
          <w:lang w:val="en-US" w:eastAsia="zh-CN" w:bidi="ar-SA"/>
        </w:rPr>
        <w:t>307.59万人。</w:t>
      </w:r>
    </w:p>
    <w:p w14:paraId="3592090C">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（二）应急避难资源</w:t>
      </w:r>
    </w:p>
    <w:p w14:paraId="786B4005">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color w:val="000000"/>
          <w:kern w:val="2"/>
          <w:sz w:val="28"/>
          <w:szCs w:val="28"/>
          <w:highlight w:val="none"/>
          <w:lang w:val="en-US" w:eastAsia="zh-CN" w:bidi="ar-SA"/>
        </w:rPr>
        <w:t>全省潜在应急避难资源共39262处，总面积28614.03万平方米，有效避难面积16136.71万平方米。主要依托公园与绿地、广场用地、学校、体育场馆、文化场馆、乡镇（村）办公用房等资源，占比最大的是学校、村（社区）办公用房、公园与绿地三类</w:t>
      </w:r>
      <w:r>
        <w:rPr>
          <w:rFonts w:hint="eastAsia" w:ascii="Times New Roman" w:hAnsi="Times New Roman" w:eastAsia="方正仿宋简体" w:cs="Times New Roman"/>
          <w:color w:val="000000"/>
          <w:kern w:val="2"/>
          <w:sz w:val="28"/>
          <w:szCs w:val="28"/>
          <w:highlight w:val="none"/>
          <w:lang w:val="en-US" w:eastAsia="zh-CN" w:bidi="ar-SA"/>
        </w:rPr>
        <w:t>。全省人均应急避难场所资源大于3平方米/人。</w:t>
      </w:r>
    </w:p>
    <w:p w14:paraId="7C84E33F">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eastAsia" w:ascii="Times New Roman" w:hAnsi="Times New Roman" w:eastAsia="方正仿宋简体" w:cs="Times New Roman"/>
          <w:color w:val="000000"/>
          <w:kern w:val="2"/>
          <w:sz w:val="28"/>
          <w:szCs w:val="28"/>
          <w:highlight w:val="none"/>
          <w:lang w:val="en-US" w:eastAsia="zh-CN" w:bidi="ar-SA"/>
        </w:rPr>
        <w:t>场所空间类型方面：</w:t>
      </w:r>
      <w:r>
        <w:rPr>
          <w:rFonts w:hint="default" w:ascii="Times New Roman" w:hAnsi="Times New Roman" w:eastAsia="方正仿宋简体" w:cs="Times New Roman"/>
          <w:color w:val="000000"/>
          <w:kern w:val="2"/>
          <w:sz w:val="28"/>
          <w:szCs w:val="28"/>
          <w:highlight w:val="none"/>
          <w:lang w:val="en-US" w:eastAsia="zh-CN" w:bidi="ar-SA"/>
        </w:rPr>
        <w:t>室内型资源共28712处，</w:t>
      </w:r>
      <w:r>
        <w:rPr>
          <w:rFonts w:hint="eastAsia" w:ascii="Times New Roman" w:hAnsi="Times New Roman" w:eastAsia="方正仿宋简体" w:cs="Times New Roman"/>
          <w:color w:val="000000"/>
          <w:kern w:val="2"/>
          <w:sz w:val="28"/>
          <w:szCs w:val="28"/>
          <w:highlight w:val="none"/>
          <w:lang w:val="en-US" w:eastAsia="zh-CN" w:bidi="ar-SA"/>
        </w:rPr>
        <w:t>其中</w:t>
      </w:r>
      <w:r>
        <w:rPr>
          <w:rFonts w:hint="default" w:ascii="Times New Roman" w:hAnsi="Times New Roman" w:eastAsia="方正仿宋简体" w:cs="Times New Roman"/>
          <w:color w:val="000000"/>
          <w:kern w:val="2"/>
          <w:sz w:val="28"/>
          <w:szCs w:val="28"/>
          <w:highlight w:val="none"/>
          <w:lang w:val="en-US" w:eastAsia="zh-CN" w:bidi="ar-SA"/>
        </w:rPr>
        <w:t>学校占比60.89%（17482处），面积占比80.35%（10044.29万平方米）</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室外型资源共10550处，</w:t>
      </w:r>
      <w:r>
        <w:rPr>
          <w:rFonts w:hint="eastAsia" w:ascii="Times New Roman" w:hAnsi="Times New Roman" w:eastAsia="方正仿宋简体" w:cs="Times New Roman"/>
          <w:color w:val="000000"/>
          <w:kern w:val="2"/>
          <w:sz w:val="28"/>
          <w:szCs w:val="28"/>
          <w:highlight w:val="none"/>
          <w:lang w:val="en-US" w:eastAsia="zh-CN" w:bidi="ar-SA"/>
        </w:rPr>
        <w:t>其中</w:t>
      </w:r>
      <w:r>
        <w:rPr>
          <w:rFonts w:hint="default" w:ascii="Times New Roman" w:hAnsi="Times New Roman" w:eastAsia="方正仿宋简体" w:cs="Times New Roman"/>
          <w:color w:val="000000"/>
          <w:kern w:val="2"/>
          <w:sz w:val="28"/>
          <w:szCs w:val="28"/>
          <w:highlight w:val="none"/>
          <w:lang w:val="en-US" w:eastAsia="zh-CN" w:bidi="ar-SA"/>
        </w:rPr>
        <w:t>公园与绿地占比70%（7431处），面积占比88%（3203.84万平方米）。</w:t>
      </w:r>
    </w:p>
    <w:p w14:paraId="50ED5DF8">
      <w:pPr>
        <w:pStyle w:val="3"/>
        <w:rPr>
          <w:rFonts w:hint="default" w:ascii="Times New Roman" w:hAnsi="Times New Roman" w:cs="Times New Roman"/>
          <w:color w:val="000000"/>
        </w:rPr>
      </w:pPr>
      <w:bookmarkStart w:id="7" w:name="_Toc27646"/>
      <w:r>
        <w:rPr>
          <w:rFonts w:hint="eastAsia" w:ascii="Times New Roman" w:hAnsi="Times New Roman" w:cs="Times New Roman"/>
          <w:color w:val="000000"/>
          <w:lang w:val="en-US" w:eastAsia="zh-CN"/>
        </w:rPr>
        <w:t xml:space="preserve">        六</w:t>
      </w:r>
      <w:r>
        <w:rPr>
          <w:rFonts w:hint="default" w:ascii="Times New Roman" w:hAnsi="Times New Roman" w:cs="Times New Roman"/>
          <w:color w:val="000000"/>
        </w:rPr>
        <w:t>、规划目标与指标</w:t>
      </w:r>
      <w:bookmarkEnd w:id="7"/>
    </w:p>
    <w:p w14:paraId="2DD23F68">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（一）总体目标</w:t>
      </w:r>
    </w:p>
    <w:p w14:paraId="76406B29">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color w:val="000000"/>
          <w:kern w:val="2"/>
          <w:sz w:val="28"/>
          <w:szCs w:val="28"/>
          <w:highlight w:val="none"/>
          <w:lang w:val="en-US" w:eastAsia="zh-CN" w:bidi="ar-SA"/>
        </w:rPr>
        <w:t>建成与</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大安全、大应急</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要求匹配的应急避难场所体系，形成覆盖全域、分级分类、功能完备、智慧高效、协同联动的现代化格局，为云南自然灾害防治体系与能力现代化提供空间支撑。</w:t>
      </w:r>
    </w:p>
    <w:p w14:paraId="76DB5E1B">
      <w:pPr>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（二）分阶段目标</w:t>
      </w:r>
    </w:p>
    <w:p w14:paraId="0808220E">
      <w:pPr>
        <w:pStyle w:val="4"/>
        <w:spacing w:before="0" w:after="0" w:line="600" w:lineRule="exact"/>
        <w:ind w:left="0" w:leftChars="0" w:firstLine="422" w:firstLineChars="150"/>
        <w:rPr>
          <w:rFonts w:hint="default" w:ascii="Times New Roman" w:hAnsi="Times New Roman" w:eastAsia="方正仿宋_GB2312" w:cs="Times New Roman"/>
          <w:color w:val="000000"/>
        </w:rPr>
      </w:pPr>
      <w:r>
        <w:rPr>
          <w:rFonts w:hint="eastAsia" w:ascii="Times New Roman" w:hAnsi="Times New Roman" w:eastAsia="方正仿宋_GB2312" w:cs="Times New Roman"/>
          <w:color w:val="000000"/>
          <w:lang w:val="en-US" w:eastAsia="zh-CN"/>
        </w:rPr>
        <w:t xml:space="preserve">   </w:t>
      </w:r>
      <w:r>
        <w:rPr>
          <w:rFonts w:hint="default" w:ascii="Times New Roman" w:hAnsi="Times New Roman" w:eastAsia="方正仿宋_GB2312" w:cs="Times New Roman"/>
          <w:color w:val="000000"/>
        </w:rPr>
        <w:t>1.近期目标（至2030年）</w:t>
      </w:r>
    </w:p>
    <w:p w14:paraId="79215291">
      <w:pPr>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eastAsia" w:ascii="Times New Roman" w:hAnsi="Times New Roman" w:eastAsia="方正仿宋简体" w:cs="Times New Roman"/>
          <w:color w:val="000000"/>
          <w:kern w:val="2"/>
          <w:sz w:val="28"/>
          <w:szCs w:val="28"/>
          <w:highlight w:val="none"/>
          <w:lang w:val="en-US" w:eastAsia="zh-CN" w:bidi="ar-SA"/>
        </w:rPr>
        <w:t xml:space="preserve"> </w:t>
      </w:r>
      <w:r>
        <w:rPr>
          <w:rFonts w:hint="default" w:ascii="Times New Roman" w:hAnsi="Times New Roman" w:eastAsia="方正仿宋简体" w:cs="Times New Roman"/>
          <w:color w:val="000000"/>
          <w:kern w:val="2"/>
          <w:sz w:val="28"/>
          <w:szCs w:val="28"/>
          <w:highlight w:val="none"/>
          <w:lang w:val="en-US" w:eastAsia="zh-CN" w:bidi="ar-SA"/>
        </w:rPr>
        <w:t>2026年底前完成省、</w:t>
      </w:r>
      <w:r>
        <w:rPr>
          <w:rFonts w:hint="eastAsia" w:ascii="Times New Roman" w:hAnsi="Times New Roman" w:eastAsia="方正仿宋简体" w:cs="Times New Roman"/>
          <w:color w:val="000000"/>
          <w:kern w:val="2"/>
          <w:sz w:val="28"/>
          <w:szCs w:val="28"/>
          <w:highlight w:val="none"/>
          <w:lang w:val="en-US" w:eastAsia="zh-CN" w:bidi="ar-SA"/>
        </w:rPr>
        <w:t>州</w:t>
      </w:r>
      <w:r>
        <w:rPr>
          <w:rFonts w:hint="default" w:ascii="Times New Roman" w:hAnsi="Times New Roman" w:eastAsia="方正仿宋简体" w:cs="Times New Roman"/>
          <w:color w:val="000000"/>
          <w:kern w:val="2"/>
          <w:sz w:val="28"/>
          <w:szCs w:val="28"/>
          <w:highlight w:val="none"/>
          <w:lang w:val="en-US" w:eastAsia="zh-CN" w:bidi="ar-SA"/>
        </w:rPr>
        <w:t>（</w:t>
      </w:r>
      <w:r>
        <w:rPr>
          <w:rFonts w:hint="eastAsia" w:ascii="Times New Roman" w:hAnsi="Times New Roman" w:eastAsia="方正仿宋简体" w:cs="Times New Roman"/>
          <w:color w:val="000000"/>
          <w:kern w:val="2"/>
          <w:sz w:val="28"/>
          <w:szCs w:val="28"/>
          <w:highlight w:val="none"/>
          <w:lang w:val="en-US" w:eastAsia="zh-CN" w:bidi="ar-SA"/>
        </w:rPr>
        <w:t>市</w:t>
      </w:r>
      <w:r>
        <w:rPr>
          <w:rFonts w:hint="default" w:ascii="Times New Roman" w:hAnsi="Times New Roman" w:eastAsia="方正仿宋简体" w:cs="Times New Roman"/>
          <w:color w:val="000000"/>
          <w:kern w:val="2"/>
          <w:sz w:val="28"/>
          <w:szCs w:val="28"/>
          <w:highlight w:val="none"/>
          <w:lang w:val="en-US" w:eastAsia="zh-CN" w:bidi="ar-SA"/>
        </w:rPr>
        <w:t>）、县（市、区）级应急避难场所专项规划编制，常态化开展全省应急避难资源调查评估；2028年以前完成省、</w:t>
      </w:r>
      <w:r>
        <w:rPr>
          <w:rFonts w:hint="eastAsia" w:ascii="Times New Roman" w:hAnsi="Times New Roman" w:eastAsia="方正仿宋简体" w:cs="Times New Roman"/>
          <w:color w:val="000000"/>
          <w:kern w:val="2"/>
          <w:sz w:val="28"/>
          <w:szCs w:val="28"/>
          <w:highlight w:val="none"/>
          <w:lang w:val="en-US" w:eastAsia="zh-CN" w:bidi="ar-SA"/>
        </w:rPr>
        <w:t>州</w:t>
      </w:r>
      <w:r>
        <w:rPr>
          <w:rFonts w:hint="default" w:ascii="Times New Roman" w:hAnsi="Times New Roman" w:eastAsia="方正仿宋简体" w:cs="Times New Roman"/>
          <w:color w:val="000000"/>
          <w:kern w:val="2"/>
          <w:sz w:val="28"/>
          <w:szCs w:val="28"/>
          <w:highlight w:val="none"/>
          <w:lang w:val="en-US" w:eastAsia="zh-CN" w:bidi="ar-SA"/>
        </w:rPr>
        <w:t>（</w:t>
      </w:r>
      <w:r>
        <w:rPr>
          <w:rFonts w:hint="eastAsia" w:ascii="Times New Roman" w:hAnsi="Times New Roman" w:eastAsia="方正仿宋简体" w:cs="Times New Roman"/>
          <w:color w:val="000000"/>
          <w:kern w:val="2"/>
          <w:sz w:val="28"/>
          <w:szCs w:val="28"/>
          <w:highlight w:val="none"/>
          <w:lang w:val="en-US" w:eastAsia="zh-CN" w:bidi="ar-SA"/>
        </w:rPr>
        <w:t>市</w:t>
      </w:r>
      <w:r>
        <w:rPr>
          <w:rFonts w:hint="default" w:ascii="Times New Roman" w:hAnsi="Times New Roman" w:eastAsia="方正仿宋简体" w:cs="Times New Roman"/>
          <w:color w:val="000000"/>
          <w:kern w:val="2"/>
          <w:sz w:val="28"/>
          <w:szCs w:val="28"/>
          <w:highlight w:val="none"/>
          <w:lang w:val="en-US" w:eastAsia="zh-CN" w:bidi="ar-SA"/>
        </w:rPr>
        <w:t>）、县（市、区）、乡镇（街道）、村（社区）五级应急避难场所示范点建设；20</w:t>
      </w:r>
      <w:r>
        <w:rPr>
          <w:rFonts w:hint="eastAsia" w:ascii="Times New Roman" w:hAnsi="Times New Roman" w:eastAsia="方正仿宋简体" w:cs="Times New Roman"/>
          <w:color w:val="000000"/>
          <w:kern w:val="2"/>
          <w:sz w:val="28"/>
          <w:szCs w:val="28"/>
          <w:highlight w:val="none"/>
          <w:lang w:val="en-US" w:eastAsia="zh-CN" w:bidi="ar-SA"/>
        </w:rPr>
        <w:t>30</w:t>
      </w:r>
      <w:r>
        <w:rPr>
          <w:rFonts w:hint="default" w:ascii="Times New Roman" w:hAnsi="Times New Roman" w:eastAsia="方正仿宋简体" w:cs="Times New Roman"/>
          <w:color w:val="000000"/>
          <w:kern w:val="2"/>
          <w:sz w:val="28"/>
          <w:szCs w:val="28"/>
          <w:highlight w:val="none"/>
          <w:lang w:val="en-US" w:eastAsia="zh-CN" w:bidi="ar-SA"/>
        </w:rPr>
        <w:t>年底前</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综合性应急避难场所至少满足需避难总人数的</w:t>
      </w:r>
      <w:r>
        <w:rPr>
          <w:rFonts w:hint="eastAsia" w:ascii="Times New Roman" w:hAnsi="Times New Roman" w:eastAsia="方正仿宋简体" w:cs="Times New Roman"/>
          <w:color w:val="000000"/>
          <w:kern w:val="2"/>
          <w:sz w:val="28"/>
          <w:szCs w:val="28"/>
          <w:highlight w:val="none"/>
          <w:lang w:val="en-US" w:eastAsia="zh-CN" w:bidi="ar-SA"/>
        </w:rPr>
        <w:t>65</w:t>
      </w:r>
      <w:r>
        <w:rPr>
          <w:rFonts w:hint="default" w:ascii="Times New Roman" w:hAnsi="Times New Roman" w:eastAsia="方正仿宋简体" w:cs="Times New Roman"/>
          <w:color w:val="000000"/>
          <w:kern w:val="2"/>
          <w:sz w:val="28"/>
          <w:szCs w:val="28"/>
          <w:highlight w:val="none"/>
          <w:lang w:val="en-US" w:eastAsia="zh-CN" w:bidi="ar-SA"/>
        </w:rPr>
        <w:t>%，其中室内可容纳避难人数不低于室内外总避难人数的20%；</w:t>
      </w:r>
      <w:r>
        <w:rPr>
          <w:rFonts w:hint="eastAsia" w:ascii="Times New Roman" w:hAnsi="Times New Roman" w:eastAsia="方正仿宋简体" w:cs="Times New Roman"/>
          <w:color w:val="000000"/>
          <w:kern w:val="2"/>
          <w:sz w:val="28"/>
          <w:szCs w:val="28"/>
          <w:highlight w:val="none"/>
          <w:lang w:val="en-US" w:eastAsia="zh-CN" w:bidi="ar-SA"/>
        </w:rPr>
        <w:t>场所布局进一步优化，</w:t>
      </w:r>
      <w:r>
        <w:rPr>
          <w:rFonts w:hint="default" w:ascii="Times New Roman" w:hAnsi="Times New Roman" w:eastAsia="方正仿宋简体" w:cs="Times New Roman"/>
          <w:color w:val="000000"/>
          <w:kern w:val="2"/>
          <w:sz w:val="28"/>
          <w:szCs w:val="28"/>
          <w:highlight w:val="none"/>
          <w:lang w:val="en-US" w:eastAsia="zh-CN" w:bidi="ar-SA"/>
        </w:rPr>
        <w:t>县（市</w:t>
      </w:r>
      <w:r>
        <w:rPr>
          <w:rFonts w:hint="eastAsia" w:ascii="Times New Roman" w:hAnsi="Times New Roman" w:eastAsia="方正仿宋简体" w:cs="Times New Roman"/>
          <w:color w:val="000000"/>
          <w:kern w:val="2"/>
          <w:sz w:val="28"/>
          <w:szCs w:val="28"/>
          <w:highlight w:val="none"/>
          <w:lang w:val="en-US" w:eastAsia="zh-CN" w:bidi="ar-SA"/>
        </w:rPr>
        <w:t>、区</w:t>
      </w:r>
      <w:r>
        <w:rPr>
          <w:rFonts w:hint="default" w:ascii="Times New Roman" w:hAnsi="Times New Roman" w:eastAsia="方正仿宋简体" w:cs="Times New Roman"/>
          <w:color w:val="000000"/>
          <w:kern w:val="2"/>
          <w:sz w:val="28"/>
          <w:szCs w:val="28"/>
          <w:highlight w:val="none"/>
          <w:lang w:val="en-US" w:eastAsia="zh-CN" w:bidi="ar-SA"/>
        </w:rPr>
        <w:t>）级以上政府驻地覆盖率保持100%，乡镇（街道）和村（社区）级行政区覆盖率分别提升至80%和65%以上。</w:t>
      </w:r>
    </w:p>
    <w:p w14:paraId="18E143EE">
      <w:pPr>
        <w:pStyle w:val="4"/>
        <w:spacing w:before="0" w:after="0" w:line="600" w:lineRule="exact"/>
        <w:ind w:left="0" w:leftChars="0" w:firstLine="422" w:firstLineChars="150"/>
        <w:rPr>
          <w:rFonts w:hint="default" w:ascii="Times New Roman" w:hAnsi="Times New Roman" w:eastAsia="方正仿宋_GB2312" w:cs="Times New Roman"/>
          <w:color w:val="000000"/>
        </w:rPr>
      </w:pPr>
      <w:r>
        <w:rPr>
          <w:rFonts w:hint="eastAsia" w:ascii="Times New Roman" w:hAnsi="Times New Roman" w:eastAsia="方正仿宋_GB2312" w:cs="Times New Roman"/>
          <w:color w:val="000000"/>
          <w:lang w:val="en-US" w:eastAsia="zh-CN"/>
        </w:rPr>
        <w:t xml:space="preserve">  </w:t>
      </w:r>
      <w:r>
        <w:rPr>
          <w:rFonts w:hint="default" w:ascii="Times New Roman" w:hAnsi="Times New Roman" w:eastAsia="方正仿宋_GB2312" w:cs="Times New Roman"/>
          <w:color w:val="000000"/>
        </w:rPr>
        <w:t>2.远期目标（至2035年）</w:t>
      </w:r>
    </w:p>
    <w:p w14:paraId="30C7B0AF">
      <w:pPr>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color w:val="000000"/>
          <w:kern w:val="2"/>
          <w:sz w:val="28"/>
          <w:szCs w:val="28"/>
          <w:highlight w:val="none"/>
          <w:lang w:val="en-US" w:eastAsia="zh-CN" w:bidi="ar-SA"/>
        </w:rPr>
        <w:t>应急避难场所实现全覆盖，人均有效避难面积符合国家标准，全面保障需避难人员的避难需求；建成五级应急避难场所体系，进一步完善法规标准体系，落地地方特色管理制度。高效运转避难</w:t>
      </w:r>
      <w:r>
        <w:rPr>
          <w:rFonts w:hint="eastAsia" w:ascii="Times New Roman" w:hAnsi="Times New Roman" w:eastAsia="方正仿宋简体" w:cs="Times New Roman"/>
          <w:color w:val="000000"/>
          <w:kern w:val="2"/>
          <w:sz w:val="28"/>
          <w:szCs w:val="28"/>
          <w:highlight w:val="none"/>
          <w:lang w:val="en-US" w:eastAsia="zh-CN" w:bidi="ar-SA"/>
        </w:rPr>
        <w:t>资源</w:t>
      </w:r>
      <w:r>
        <w:rPr>
          <w:rFonts w:hint="default" w:ascii="Times New Roman" w:hAnsi="Times New Roman" w:eastAsia="方正仿宋简体" w:cs="Times New Roman"/>
          <w:color w:val="000000"/>
          <w:kern w:val="2"/>
          <w:sz w:val="28"/>
          <w:szCs w:val="28"/>
          <w:highlight w:val="none"/>
          <w:lang w:val="en-US" w:eastAsia="zh-CN" w:bidi="ar-SA"/>
        </w:rPr>
        <w:t>调查评估机制，实现动态更新与优化机制的常态化。规范</w:t>
      </w:r>
      <w:r>
        <w:rPr>
          <w:rFonts w:hint="eastAsia" w:ascii="Times New Roman" w:hAnsi="Times New Roman" w:eastAsia="方正仿宋简体" w:cs="Times New Roman"/>
          <w:color w:val="000000"/>
          <w:kern w:val="2"/>
          <w:sz w:val="28"/>
          <w:szCs w:val="28"/>
          <w:highlight w:val="none"/>
          <w:lang w:val="en-US" w:eastAsia="zh-CN" w:bidi="ar-SA"/>
        </w:rPr>
        <w:t>避难场所</w:t>
      </w:r>
      <w:r>
        <w:rPr>
          <w:rFonts w:hint="default" w:ascii="Times New Roman" w:hAnsi="Times New Roman" w:eastAsia="方正仿宋简体" w:cs="Times New Roman"/>
          <w:color w:val="000000"/>
          <w:kern w:val="2"/>
          <w:sz w:val="28"/>
          <w:szCs w:val="28"/>
          <w:highlight w:val="none"/>
          <w:lang w:val="en-US" w:eastAsia="zh-CN" w:bidi="ar-SA"/>
        </w:rPr>
        <w:t>管护运维，实现平急（疫、战）功能转换的无缝衔接、</w:t>
      </w:r>
      <w:r>
        <w:rPr>
          <w:rFonts w:hint="eastAsia" w:ascii="Times New Roman" w:hAnsi="Times New Roman" w:eastAsia="方正仿宋简体" w:cs="Times New Roman"/>
          <w:color w:val="000000"/>
          <w:kern w:val="2"/>
          <w:sz w:val="28"/>
          <w:szCs w:val="28"/>
          <w:highlight w:val="none"/>
          <w:lang w:val="en-US" w:eastAsia="zh-CN" w:bidi="ar-SA"/>
        </w:rPr>
        <w:t>健全</w:t>
      </w:r>
      <w:r>
        <w:rPr>
          <w:rFonts w:hint="default" w:ascii="Times New Roman" w:hAnsi="Times New Roman" w:eastAsia="方正仿宋简体" w:cs="Times New Roman"/>
          <w:color w:val="000000"/>
          <w:kern w:val="2"/>
          <w:sz w:val="28"/>
          <w:szCs w:val="28"/>
          <w:highlight w:val="none"/>
          <w:lang w:val="en-US" w:eastAsia="zh-CN" w:bidi="ar-SA"/>
        </w:rPr>
        <w:t>社会力量参与机制。信息化管理实现全覆盖，确保应急指挥调度与公众查询服务便捷高效，全面提升应急管理综合能力与人民群众生命财产安全保障水平。</w:t>
      </w:r>
    </w:p>
    <w:p w14:paraId="4DA2E929">
      <w:pPr>
        <w:pStyle w:val="4"/>
        <w:spacing w:before="0" w:after="0" w:line="600" w:lineRule="exact"/>
        <w:ind w:left="0" w:leftChars="0" w:firstLine="422" w:firstLineChars="150"/>
        <w:rPr>
          <w:rFonts w:hint="default" w:ascii="Times New Roman" w:hAnsi="Times New Roman" w:eastAsia="方正仿宋_GB2312" w:cs="Times New Roman"/>
          <w:color w:val="000000"/>
        </w:rPr>
      </w:pPr>
      <w:r>
        <w:rPr>
          <w:rFonts w:hint="eastAsia" w:ascii="Times New Roman" w:hAnsi="Times New Roman" w:eastAsia="方正仿宋_GB2312" w:cs="Times New Roman"/>
          <w:color w:val="000000"/>
          <w:lang w:val="en-US" w:eastAsia="zh-CN"/>
        </w:rPr>
        <w:t xml:space="preserve"> </w:t>
      </w:r>
      <w:r>
        <w:rPr>
          <w:rFonts w:hint="default" w:ascii="Times New Roman" w:hAnsi="Times New Roman" w:eastAsia="方正仿宋_GB2312" w:cs="Times New Roman"/>
          <w:color w:val="000000"/>
        </w:rPr>
        <w:t>3.愿景展望（至2050年）</w:t>
      </w:r>
    </w:p>
    <w:p w14:paraId="4F0F82E9">
      <w:pPr>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color w:val="000000"/>
          <w:kern w:val="2"/>
          <w:sz w:val="28"/>
          <w:szCs w:val="28"/>
          <w:highlight w:val="none"/>
          <w:lang w:val="en-US" w:eastAsia="zh-CN" w:bidi="ar-SA"/>
        </w:rPr>
        <w:t>应急避难体系融入国家安全发展大局与边疆治理体系，实现与云南省社会主义现代化目标相适应的公共安全保障能力，避难网络运行更加高效、场所覆盖更加优化，实时感知、智能调度</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精准服务</w:t>
      </w:r>
      <w:r>
        <w:rPr>
          <w:rFonts w:hint="eastAsia" w:ascii="Times New Roman" w:hAnsi="Times New Roman" w:eastAsia="方正仿宋简体" w:cs="Times New Roman"/>
          <w:color w:val="000000"/>
          <w:kern w:val="2"/>
          <w:sz w:val="28"/>
          <w:szCs w:val="28"/>
          <w:highlight w:val="none"/>
          <w:lang w:val="en-US" w:eastAsia="zh-CN" w:bidi="ar-SA"/>
        </w:rPr>
        <w:t>和智慧化管理全面形成</w:t>
      </w:r>
      <w:r>
        <w:rPr>
          <w:rFonts w:hint="default" w:ascii="Times New Roman" w:hAnsi="Times New Roman" w:eastAsia="方正仿宋简体" w:cs="Times New Roman"/>
          <w:color w:val="000000"/>
          <w:kern w:val="2"/>
          <w:sz w:val="28"/>
          <w:szCs w:val="28"/>
          <w:highlight w:val="none"/>
          <w:lang w:val="en-US" w:eastAsia="zh-CN" w:bidi="ar-SA"/>
        </w:rPr>
        <w:t>。</w:t>
      </w:r>
    </w:p>
    <w:p w14:paraId="05109FFE">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p>
    <w:p w14:paraId="0AEC998D">
      <w:pPr>
        <w:pStyle w:val="10"/>
        <w:jc w:val="center"/>
        <w:rPr>
          <w:rFonts w:hint="eastAsia" w:ascii="方正黑体_GBK" w:hAnsi="方正黑体_GBK" w:eastAsia="方正黑体_GBK" w:cs="方正黑体_GBK"/>
          <w:color w:val="000000"/>
          <w:lang w:val="en-US" w:eastAsia="zh-CN"/>
        </w:rPr>
      </w:pPr>
      <w:r>
        <w:rPr>
          <w:rFonts w:hint="eastAsia" w:ascii="方正黑体_GBK" w:hAnsi="方正黑体_GBK" w:eastAsia="方正黑体_GBK" w:cs="方正黑体_GBK"/>
          <w:color w:val="000000"/>
          <w:lang w:val="en-US" w:eastAsia="zh-CN"/>
        </w:rPr>
        <w:t>云南省应急避难场所专项规划目标表</w:t>
      </w:r>
    </w:p>
    <w:tbl>
      <w:tblPr>
        <w:tblStyle w:val="8"/>
        <w:tblW w:w="5088" w:type="pct"/>
        <w:tblInd w:w="-1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49"/>
        <w:gridCol w:w="864"/>
        <w:gridCol w:w="2503"/>
        <w:gridCol w:w="1351"/>
        <w:gridCol w:w="814"/>
        <w:gridCol w:w="1021"/>
        <w:gridCol w:w="1052"/>
        <w:gridCol w:w="1051"/>
      </w:tblGrid>
      <w:tr w14:paraId="67BD5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blHeader/>
        </w:trPr>
        <w:tc>
          <w:tcPr>
            <w:tcW w:w="398" w:type="pct"/>
            <w:vMerge w:val="restart"/>
            <w:shd w:val="clear" w:color="auto" w:fill="auto"/>
            <w:vAlign w:val="center"/>
          </w:tcPr>
          <w:p w14:paraId="6E49C7C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序号</w:t>
            </w:r>
          </w:p>
        </w:tc>
        <w:tc>
          <w:tcPr>
            <w:tcW w:w="459" w:type="pct"/>
            <w:vMerge w:val="restart"/>
            <w:shd w:val="clear" w:color="auto" w:fill="auto"/>
            <w:vAlign w:val="center"/>
          </w:tcPr>
          <w:p w14:paraId="6AAC36C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指标类型</w:t>
            </w:r>
          </w:p>
        </w:tc>
        <w:tc>
          <w:tcPr>
            <w:tcW w:w="2048" w:type="pct"/>
            <w:gridSpan w:val="2"/>
            <w:vMerge w:val="restart"/>
            <w:shd w:val="clear" w:color="auto" w:fill="auto"/>
            <w:vAlign w:val="center"/>
          </w:tcPr>
          <w:p w14:paraId="54F47CCD">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指标</w:t>
            </w:r>
          </w:p>
        </w:tc>
        <w:tc>
          <w:tcPr>
            <w:tcW w:w="432" w:type="pct"/>
            <w:vMerge w:val="restart"/>
            <w:shd w:val="clear" w:color="auto" w:fill="auto"/>
            <w:vAlign w:val="center"/>
          </w:tcPr>
          <w:p w14:paraId="0D53AFB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现状</w:t>
            </w:r>
          </w:p>
        </w:tc>
        <w:tc>
          <w:tcPr>
            <w:tcW w:w="1102" w:type="pct"/>
            <w:gridSpan w:val="2"/>
            <w:shd w:val="clear" w:color="auto" w:fill="auto"/>
            <w:vAlign w:val="center"/>
          </w:tcPr>
          <w:p w14:paraId="14C8209D">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规划目标</w:t>
            </w:r>
          </w:p>
        </w:tc>
        <w:tc>
          <w:tcPr>
            <w:tcW w:w="558" w:type="pct"/>
            <w:vMerge w:val="restart"/>
            <w:shd w:val="clear" w:color="auto" w:fill="auto"/>
            <w:vAlign w:val="center"/>
          </w:tcPr>
          <w:p w14:paraId="63A778A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属性</w:t>
            </w:r>
          </w:p>
        </w:tc>
      </w:tr>
      <w:tr w14:paraId="42528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44" w:hRule="atLeast"/>
          <w:tblHeader/>
        </w:trPr>
        <w:tc>
          <w:tcPr>
            <w:tcW w:w="398" w:type="pct"/>
            <w:vMerge w:val="continue"/>
            <w:shd w:val="clear" w:color="auto" w:fill="auto"/>
            <w:vAlign w:val="center"/>
          </w:tcPr>
          <w:p w14:paraId="28005D1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p>
        </w:tc>
        <w:tc>
          <w:tcPr>
            <w:tcW w:w="459" w:type="pct"/>
            <w:vMerge w:val="continue"/>
            <w:shd w:val="clear" w:color="auto" w:fill="auto"/>
            <w:vAlign w:val="center"/>
          </w:tcPr>
          <w:p w14:paraId="205193B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p>
        </w:tc>
        <w:tc>
          <w:tcPr>
            <w:tcW w:w="2048" w:type="pct"/>
            <w:gridSpan w:val="2"/>
            <w:vMerge w:val="continue"/>
            <w:shd w:val="clear" w:color="auto" w:fill="auto"/>
            <w:vAlign w:val="center"/>
          </w:tcPr>
          <w:p w14:paraId="4837EF7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p>
        </w:tc>
        <w:tc>
          <w:tcPr>
            <w:tcW w:w="432" w:type="pct"/>
            <w:vMerge w:val="continue"/>
            <w:shd w:val="clear" w:color="auto" w:fill="auto"/>
            <w:vAlign w:val="center"/>
          </w:tcPr>
          <w:p w14:paraId="15F08586">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p>
        </w:tc>
        <w:tc>
          <w:tcPr>
            <w:tcW w:w="542" w:type="pct"/>
            <w:shd w:val="clear" w:color="auto" w:fill="auto"/>
            <w:vAlign w:val="center"/>
          </w:tcPr>
          <w:p w14:paraId="0DFB4086">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2030</w:t>
            </w:r>
            <w:r>
              <w:rPr>
                <w:rFonts w:hint="eastAsia" w:ascii="Times New Roman" w:hAnsi="Times New Roman"/>
                <w:color w:val="000000"/>
                <w:lang w:val="en-US" w:eastAsia="zh-CN"/>
              </w:rPr>
              <w:t>年</w:t>
            </w:r>
          </w:p>
        </w:tc>
        <w:tc>
          <w:tcPr>
            <w:tcW w:w="559" w:type="pct"/>
            <w:shd w:val="clear" w:color="auto" w:fill="auto"/>
            <w:vAlign w:val="center"/>
          </w:tcPr>
          <w:p w14:paraId="5343B66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2035</w:t>
            </w:r>
            <w:r>
              <w:rPr>
                <w:rFonts w:hint="eastAsia" w:ascii="Times New Roman" w:hAnsi="Times New Roman"/>
                <w:color w:val="000000"/>
                <w:lang w:val="en-US" w:eastAsia="zh-CN"/>
              </w:rPr>
              <w:t>年</w:t>
            </w:r>
          </w:p>
        </w:tc>
        <w:tc>
          <w:tcPr>
            <w:tcW w:w="558" w:type="pct"/>
            <w:vMerge w:val="continue"/>
            <w:shd w:val="clear" w:color="auto" w:fill="auto"/>
            <w:vAlign w:val="center"/>
          </w:tcPr>
          <w:p w14:paraId="7605430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p>
        </w:tc>
      </w:tr>
      <w:tr w14:paraId="76C3D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trPr>
        <w:tc>
          <w:tcPr>
            <w:tcW w:w="398" w:type="pct"/>
            <w:shd w:val="clear" w:color="auto" w:fill="auto"/>
            <w:vAlign w:val="center"/>
          </w:tcPr>
          <w:p w14:paraId="1C3F16E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1</w:t>
            </w:r>
          </w:p>
        </w:tc>
        <w:tc>
          <w:tcPr>
            <w:tcW w:w="459" w:type="pct"/>
            <w:vMerge w:val="restart"/>
            <w:shd w:val="clear" w:color="auto" w:fill="auto"/>
            <w:vAlign w:val="center"/>
          </w:tcPr>
          <w:p w14:paraId="5B8833B6">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保障能力指标</w:t>
            </w:r>
          </w:p>
        </w:tc>
        <w:tc>
          <w:tcPr>
            <w:tcW w:w="2048" w:type="pct"/>
            <w:gridSpan w:val="2"/>
            <w:shd w:val="clear" w:color="auto" w:fill="auto"/>
            <w:vAlign w:val="center"/>
          </w:tcPr>
          <w:p w14:paraId="041E9FB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有效避难面积（万平方米）</w:t>
            </w:r>
          </w:p>
        </w:tc>
        <w:tc>
          <w:tcPr>
            <w:tcW w:w="432" w:type="pct"/>
            <w:shd w:val="clear" w:color="auto" w:fill="auto"/>
            <w:vAlign w:val="center"/>
          </w:tcPr>
          <w:p w14:paraId="54191CE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3153</w:t>
            </w:r>
          </w:p>
        </w:tc>
        <w:tc>
          <w:tcPr>
            <w:tcW w:w="542" w:type="pct"/>
            <w:shd w:val="clear" w:color="auto" w:fill="auto"/>
            <w:vAlign w:val="center"/>
          </w:tcPr>
          <w:p w14:paraId="0EA99688">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w:t>
            </w:r>
            <w:r>
              <w:rPr>
                <w:rFonts w:hint="eastAsia" w:ascii="Times New Roman" w:hAnsi="Times New Roman"/>
                <w:color w:val="000000"/>
                <w:lang w:val="en-US" w:eastAsia="zh-CN"/>
              </w:rPr>
              <w:t>7978</w:t>
            </w:r>
          </w:p>
        </w:tc>
        <w:tc>
          <w:tcPr>
            <w:tcW w:w="559" w:type="pct"/>
            <w:shd w:val="clear" w:color="auto" w:fill="auto"/>
            <w:vAlign w:val="center"/>
          </w:tcPr>
          <w:p w14:paraId="42E472D8">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w:t>
            </w:r>
            <w:r>
              <w:rPr>
                <w:rFonts w:hint="eastAsia" w:ascii="Times New Roman" w:hAnsi="Times New Roman"/>
                <w:color w:val="000000"/>
                <w:lang w:val="en-US" w:eastAsia="zh-CN"/>
              </w:rPr>
              <w:t>8605</w:t>
            </w:r>
          </w:p>
        </w:tc>
        <w:tc>
          <w:tcPr>
            <w:tcW w:w="558" w:type="pct"/>
            <w:shd w:val="clear" w:color="auto" w:fill="auto"/>
            <w:vAlign w:val="center"/>
          </w:tcPr>
          <w:p w14:paraId="3A45002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预期性</w:t>
            </w:r>
          </w:p>
        </w:tc>
      </w:tr>
      <w:tr w14:paraId="6EED3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398" w:type="pct"/>
            <w:vMerge w:val="restart"/>
            <w:shd w:val="clear" w:color="auto" w:fill="auto"/>
            <w:vAlign w:val="center"/>
          </w:tcPr>
          <w:p w14:paraId="6FD77B1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2</w:t>
            </w:r>
          </w:p>
        </w:tc>
        <w:tc>
          <w:tcPr>
            <w:tcW w:w="459" w:type="pct"/>
            <w:vMerge w:val="continue"/>
            <w:shd w:val="clear" w:color="auto" w:fill="auto"/>
            <w:vAlign w:val="center"/>
          </w:tcPr>
          <w:p w14:paraId="589A2036">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p>
        </w:tc>
        <w:tc>
          <w:tcPr>
            <w:tcW w:w="1330" w:type="pct"/>
            <w:vMerge w:val="restart"/>
            <w:shd w:val="clear" w:color="auto" w:fill="auto"/>
            <w:vAlign w:val="center"/>
          </w:tcPr>
          <w:p w14:paraId="686C614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满足所需避难人口规模（万人）</w:t>
            </w:r>
          </w:p>
        </w:tc>
        <w:tc>
          <w:tcPr>
            <w:tcW w:w="718" w:type="pct"/>
            <w:shd w:val="clear" w:color="auto" w:fill="auto"/>
            <w:vAlign w:val="center"/>
          </w:tcPr>
          <w:p w14:paraId="575A711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紧急</w:t>
            </w:r>
          </w:p>
        </w:tc>
        <w:tc>
          <w:tcPr>
            <w:tcW w:w="432" w:type="pct"/>
            <w:shd w:val="clear" w:color="auto" w:fill="auto"/>
            <w:vAlign w:val="center"/>
          </w:tcPr>
          <w:p w14:paraId="3AB14D3F">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default" w:ascii="Times New Roman" w:hAnsi="Times New Roman"/>
                <w:color w:val="000000"/>
                <w:lang w:val="en-US" w:eastAsia="zh-CN"/>
              </w:rPr>
              <w:t xml:space="preserve">959 </w:t>
            </w:r>
          </w:p>
        </w:tc>
        <w:tc>
          <w:tcPr>
            <w:tcW w:w="542" w:type="pct"/>
            <w:shd w:val="clear" w:color="auto" w:fill="auto"/>
            <w:vAlign w:val="center"/>
          </w:tcPr>
          <w:p w14:paraId="5115340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 xml:space="preserve">≥2717 </w:t>
            </w:r>
          </w:p>
        </w:tc>
        <w:tc>
          <w:tcPr>
            <w:tcW w:w="559" w:type="pct"/>
            <w:shd w:val="clear" w:color="auto" w:fill="auto"/>
            <w:vAlign w:val="center"/>
          </w:tcPr>
          <w:p w14:paraId="4E29E7F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 xml:space="preserve">≥3501 </w:t>
            </w:r>
          </w:p>
        </w:tc>
        <w:tc>
          <w:tcPr>
            <w:tcW w:w="558" w:type="pct"/>
            <w:shd w:val="clear" w:color="auto" w:fill="auto"/>
            <w:vAlign w:val="center"/>
          </w:tcPr>
          <w:p w14:paraId="3B88057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预期性</w:t>
            </w:r>
          </w:p>
        </w:tc>
      </w:tr>
      <w:tr w14:paraId="14C6E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398" w:type="pct"/>
            <w:vMerge w:val="continue"/>
            <w:shd w:val="clear" w:color="auto" w:fill="auto"/>
            <w:vAlign w:val="center"/>
          </w:tcPr>
          <w:p w14:paraId="76E9D48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p>
        </w:tc>
        <w:tc>
          <w:tcPr>
            <w:tcW w:w="459" w:type="pct"/>
            <w:vMerge w:val="continue"/>
            <w:shd w:val="clear" w:color="auto" w:fill="auto"/>
            <w:vAlign w:val="center"/>
          </w:tcPr>
          <w:p w14:paraId="35F61CA6">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p>
        </w:tc>
        <w:tc>
          <w:tcPr>
            <w:tcW w:w="1330" w:type="pct"/>
            <w:vMerge w:val="continue"/>
            <w:shd w:val="clear" w:color="auto" w:fill="auto"/>
            <w:vAlign w:val="center"/>
          </w:tcPr>
          <w:p w14:paraId="74071F5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p>
        </w:tc>
        <w:tc>
          <w:tcPr>
            <w:tcW w:w="718" w:type="pct"/>
            <w:shd w:val="clear" w:color="auto" w:fill="auto"/>
            <w:vAlign w:val="center"/>
          </w:tcPr>
          <w:p w14:paraId="6485A43F">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短期</w:t>
            </w:r>
          </w:p>
        </w:tc>
        <w:tc>
          <w:tcPr>
            <w:tcW w:w="432" w:type="pct"/>
            <w:shd w:val="clear" w:color="auto" w:fill="auto"/>
            <w:vAlign w:val="center"/>
          </w:tcPr>
          <w:p w14:paraId="2337BA8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default" w:ascii="Times New Roman" w:hAnsi="Times New Roman"/>
                <w:color w:val="000000"/>
                <w:lang w:val="en-US" w:eastAsia="zh-CN"/>
              </w:rPr>
              <w:t>48</w:t>
            </w:r>
            <w:r>
              <w:rPr>
                <w:rFonts w:hint="eastAsia" w:ascii="Times New Roman" w:hAnsi="Times New Roman"/>
                <w:color w:val="000000"/>
                <w:lang w:val="en-US" w:eastAsia="zh-CN"/>
              </w:rPr>
              <w:t>4</w:t>
            </w:r>
            <w:r>
              <w:rPr>
                <w:rFonts w:hint="default" w:ascii="Times New Roman" w:hAnsi="Times New Roman"/>
                <w:color w:val="000000"/>
                <w:lang w:val="en-US" w:eastAsia="zh-CN"/>
              </w:rPr>
              <w:t xml:space="preserve"> </w:t>
            </w:r>
          </w:p>
        </w:tc>
        <w:tc>
          <w:tcPr>
            <w:tcW w:w="542" w:type="pct"/>
            <w:shd w:val="clear" w:color="auto" w:fill="auto"/>
            <w:vAlign w:val="center"/>
          </w:tcPr>
          <w:p w14:paraId="311B58F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 xml:space="preserve">≥875 </w:t>
            </w:r>
          </w:p>
        </w:tc>
        <w:tc>
          <w:tcPr>
            <w:tcW w:w="559" w:type="pct"/>
            <w:shd w:val="clear" w:color="auto" w:fill="auto"/>
            <w:vAlign w:val="center"/>
          </w:tcPr>
          <w:p w14:paraId="64CAF06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 xml:space="preserve">≥1049 </w:t>
            </w:r>
          </w:p>
        </w:tc>
        <w:tc>
          <w:tcPr>
            <w:tcW w:w="558" w:type="pct"/>
            <w:shd w:val="clear" w:color="auto" w:fill="auto"/>
            <w:vAlign w:val="center"/>
          </w:tcPr>
          <w:p w14:paraId="5EB497D0">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预期性</w:t>
            </w:r>
          </w:p>
        </w:tc>
      </w:tr>
      <w:tr w14:paraId="6E50E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398" w:type="pct"/>
            <w:vMerge w:val="continue"/>
            <w:shd w:val="clear" w:color="auto" w:fill="auto"/>
            <w:vAlign w:val="center"/>
          </w:tcPr>
          <w:p w14:paraId="2E39C8D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p>
        </w:tc>
        <w:tc>
          <w:tcPr>
            <w:tcW w:w="459" w:type="pct"/>
            <w:vMerge w:val="continue"/>
            <w:shd w:val="clear" w:color="auto" w:fill="auto"/>
            <w:vAlign w:val="center"/>
          </w:tcPr>
          <w:p w14:paraId="52D8F6E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p>
        </w:tc>
        <w:tc>
          <w:tcPr>
            <w:tcW w:w="1330" w:type="pct"/>
            <w:vMerge w:val="continue"/>
            <w:shd w:val="clear" w:color="auto" w:fill="auto"/>
            <w:vAlign w:val="center"/>
          </w:tcPr>
          <w:p w14:paraId="5D05313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p>
        </w:tc>
        <w:tc>
          <w:tcPr>
            <w:tcW w:w="718" w:type="pct"/>
            <w:shd w:val="clear" w:color="auto" w:fill="auto"/>
            <w:vAlign w:val="center"/>
          </w:tcPr>
          <w:p w14:paraId="4502ED2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长期</w:t>
            </w:r>
          </w:p>
        </w:tc>
        <w:tc>
          <w:tcPr>
            <w:tcW w:w="432" w:type="pct"/>
            <w:shd w:val="clear" w:color="auto" w:fill="auto"/>
            <w:vAlign w:val="center"/>
          </w:tcPr>
          <w:p w14:paraId="4A1DEB9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default" w:ascii="Times New Roman" w:hAnsi="Times New Roman"/>
                <w:color w:val="000000"/>
                <w:lang w:val="en-US" w:eastAsia="zh-CN"/>
              </w:rPr>
              <w:t xml:space="preserve">269 </w:t>
            </w:r>
          </w:p>
        </w:tc>
        <w:tc>
          <w:tcPr>
            <w:tcW w:w="542" w:type="pct"/>
            <w:shd w:val="clear" w:color="auto" w:fill="auto"/>
            <w:vAlign w:val="center"/>
          </w:tcPr>
          <w:p w14:paraId="673E67C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 xml:space="preserve">≥296 </w:t>
            </w:r>
          </w:p>
        </w:tc>
        <w:tc>
          <w:tcPr>
            <w:tcW w:w="559" w:type="pct"/>
            <w:shd w:val="clear" w:color="auto" w:fill="auto"/>
            <w:vAlign w:val="center"/>
          </w:tcPr>
          <w:p w14:paraId="36D5E1D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 xml:space="preserve">≥308 </w:t>
            </w:r>
          </w:p>
        </w:tc>
        <w:tc>
          <w:tcPr>
            <w:tcW w:w="558" w:type="pct"/>
            <w:shd w:val="clear" w:color="auto" w:fill="auto"/>
            <w:vAlign w:val="center"/>
          </w:tcPr>
          <w:p w14:paraId="355F3E60">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预期性</w:t>
            </w:r>
          </w:p>
        </w:tc>
      </w:tr>
      <w:tr w14:paraId="2418F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2" w:hRule="atLeast"/>
        </w:trPr>
        <w:tc>
          <w:tcPr>
            <w:tcW w:w="398" w:type="pct"/>
            <w:shd w:val="clear" w:color="auto" w:fill="auto"/>
            <w:vAlign w:val="center"/>
          </w:tcPr>
          <w:p w14:paraId="13DBA0C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3</w:t>
            </w:r>
          </w:p>
        </w:tc>
        <w:tc>
          <w:tcPr>
            <w:tcW w:w="459" w:type="pct"/>
            <w:vMerge w:val="restart"/>
            <w:shd w:val="clear" w:color="auto" w:fill="auto"/>
            <w:vAlign w:val="center"/>
          </w:tcPr>
          <w:p w14:paraId="2C1E41A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覆盖度指标</w:t>
            </w:r>
          </w:p>
        </w:tc>
        <w:tc>
          <w:tcPr>
            <w:tcW w:w="2048" w:type="pct"/>
            <w:gridSpan w:val="2"/>
            <w:shd w:val="clear" w:color="auto" w:fill="auto"/>
            <w:vAlign w:val="center"/>
          </w:tcPr>
          <w:p w14:paraId="0A950976">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满足所需避难人口百分比（%）</w:t>
            </w:r>
          </w:p>
        </w:tc>
        <w:tc>
          <w:tcPr>
            <w:tcW w:w="432" w:type="pct"/>
            <w:shd w:val="clear" w:color="auto" w:fill="auto"/>
            <w:vAlign w:val="center"/>
          </w:tcPr>
          <w:p w14:paraId="2C0931DA">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color w:val="000000"/>
                <w:lang w:val="en-US" w:eastAsia="zh-CN"/>
              </w:rPr>
              <w:t>57</w:t>
            </w:r>
          </w:p>
        </w:tc>
        <w:tc>
          <w:tcPr>
            <w:tcW w:w="542" w:type="pct"/>
            <w:shd w:val="clear" w:color="auto" w:fill="auto"/>
            <w:vAlign w:val="center"/>
          </w:tcPr>
          <w:p w14:paraId="2E645760">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≥8</w:t>
            </w:r>
            <w:r>
              <w:rPr>
                <w:rFonts w:hint="eastAsia" w:ascii="Times New Roman" w:hAnsi="Times New Roman"/>
                <w:color w:val="000000"/>
                <w:lang w:val="en-US" w:eastAsia="zh-CN"/>
              </w:rPr>
              <w:t>0</w:t>
            </w:r>
          </w:p>
        </w:tc>
        <w:tc>
          <w:tcPr>
            <w:tcW w:w="559" w:type="pct"/>
            <w:shd w:val="clear" w:color="auto" w:fill="auto"/>
            <w:vAlign w:val="center"/>
          </w:tcPr>
          <w:p w14:paraId="7FF91F5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100</w:t>
            </w:r>
          </w:p>
        </w:tc>
        <w:tc>
          <w:tcPr>
            <w:tcW w:w="558" w:type="pct"/>
            <w:shd w:val="clear" w:color="auto" w:fill="auto"/>
            <w:vAlign w:val="center"/>
          </w:tcPr>
          <w:p w14:paraId="71AF0E9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约束性</w:t>
            </w:r>
          </w:p>
        </w:tc>
      </w:tr>
      <w:tr w14:paraId="69D1F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398" w:type="pct"/>
            <w:shd w:val="clear" w:color="auto" w:fill="auto"/>
            <w:vAlign w:val="center"/>
          </w:tcPr>
          <w:p w14:paraId="2DE021C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4</w:t>
            </w:r>
          </w:p>
        </w:tc>
        <w:tc>
          <w:tcPr>
            <w:tcW w:w="459" w:type="pct"/>
            <w:vMerge w:val="continue"/>
            <w:shd w:val="clear" w:color="auto" w:fill="auto"/>
            <w:vAlign w:val="center"/>
          </w:tcPr>
          <w:p w14:paraId="5AF752EA">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p>
        </w:tc>
        <w:tc>
          <w:tcPr>
            <w:tcW w:w="2048" w:type="pct"/>
            <w:gridSpan w:val="2"/>
            <w:shd w:val="clear" w:color="auto" w:fill="auto"/>
            <w:vAlign w:val="center"/>
          </w:tcPr>
          <w:p w14:paraId="154A9B1A">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县（市、区）级以上政府驻地覆盖率（%）</w:t>
            </w:r>
          </w:p>
        </w:tc>
        <w:tc>
          <w:tcPr>
            <w:tcW w:w="432" w:type="pct"/>
            <w:shd w:val="clear" w:color="auto" w:fill="auto"/>
            <w:vAlign w:val="center"/>
          </w:tcPr>
          <w:p w14:paraId="625B256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100</w:t>
            </w:r>
          </w:p>
        </w:tc>
        <w:tc>
          <w:tcPr>
            <w:tcW w:w="542" w:type="pct"/>
            <w:shd w:val="clear" w:color="auto" w:fill="auto"/>
            <w:vAlign w:val="center"/>
          </w:tcPr>
          <w:p w14:paraId="6F9B0AC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100</w:t>
            </w:r>
          </w:p>
        </w:tc>
        <w:tc>
          <w:tcPr>
            <w:tcW w:w="559" w:type="pct"/>
            <w:shd w:val="clear" w:color="auto" w:fill="auto"/>
            <w:vAlign w:val="center"/>
          </w:tcPr>
          <w:p w14:paraId="09DB3CA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100</w:t>
            </w:r>
          </w:p>
        </w:tc>
        <w:tc>
          <w:tcPr>
            <w:tcW w:w="558" w:type="pct"/>
            <w:shd w:val="clear" w:color="auto" w:fill="auto"/>
            <w:vAlign w:val="center"/>
          </w:tcPr>
          <w:p w14:paraId="171BCBBD">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预期性</w:t>
            </w:r>
          </w:p>
        </w:tc>
      </w:tr>
      <w:tr w14:paraId="70503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398" w:type="pct"/>
            <w:shd w:val="clear" w:color="auto" w:fill="auto"/>
            <w:vAlign w:val="center"/>
          </w:tcPr>
          <w:p w14:paraId="443C387A">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5</w:t>
            </w:r>
          </w:p>
        </w:tc>
        <w:tc>
          <w:tcPr>
            <w:tcW w:w="459" w:type="pct"/>
            <w:vMerge w:val="continue"/>
            <w:shd w:val="clear" w:color="auto" w:fill="auto"/>
            <w:vAlign w:val="center"/>
          </w:tcPr>
          <w:p w14:paraId="15735D1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p>
        </w:tc>
        <w:tc>
          <w:tcPr>
            <w:tcW w:w="2048" w:type="pct"/>
            <w:gridSpan w:val="2"/>
            <w:shd w:val="clear" w:color="auto" w:fill="auto"/>
            <w:vAlign w:val="center"/>
          </w:tcPr>
          <w:p w14:paraId="4A66B09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乡镇（街道）级行政区覆盖率（%）</w:t>
            </w:r>
          </w:p>
        </w:tc>
        <w:tc>
          <w:tcPr>
            <w:tcW w:w="432" w:type="pct"/>
            <w:shd w:val="clear" w:color="auto" w:fill="auto"/>
            <w:vAlign w:val="center"/>
          </w:tcPr>
          <w:p w14:paraId="7F60C08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54</w:t>
            </w:r>
          </w:p>
        </w:tc>
        <w:tc>
          <w:tcPr>
            <w:tcW w:w="542" w:type="pct"/>
            <w:shd w:val="clear" w:color="auto" w:fill="auto"/>
            <w:vAlign w:val="center"/>
          </w:tcPr>
          <w:p w14:paraId="72A6E9FA">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≥8</w:t>
            </w:r>
            <w:r>
              <w:rPr>
                <w:rFonts w:hint="eastAsia"/>
                <w:color w:val="000000"/>
                <w:lang w:val="en-US" w:eastAsia="zh-CN"/>
              </w:rPr>
              <w:t>0</w:t>
            </w:r>
          </w:p>
        </w:tc>
        <w:tc>
          <w:tcPr>
            <w:tcW w:w="559" w:type="pct"/>
            <w:shd w:val="clear" w:color="auto" w:fill="auto"/>
            <w:vAlign w:val="center"/>
          </w:tcPr>
          <w:p w14:paraId="328ED89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100</w:t>
            </w:r>
          </w:p>
        </w:tc>
        <w:tc>
          <w:tcPr>
            <w:tcW w:w="558" w:type="pct"/>
            <w:shd w:val="clear" w:color="auto" w:fill="auto"/>
            <w:vAlign w:val="center"/>
          </w:tcPr>
          <w:p w14:paraId="1405798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预期性</w:t>
            </w:r>
          </w:p>
        </w:tc>
      </w:tr>
      <w:tr w14:paraId="450B7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398" w:type="pct"/>
            <w:shd w:val="clear" w:color="auto" w:fill="auto"/>
            <w:vAlign w:val="center"/>
          </w:tcPr>
          <w:p w14:paraId="46E2C79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6</w:t>
            </w:r>
          </w:p>
        </w:tc>
        <w:tc>
          <w:tcPr>
            <w:tcW w:w="459" w:type="pct"/>
            <w:vMerge w:val="continue"/>
            <w:shd w:val="clear" w:color="auto" w:fill="auto"/>
            <w:vAlign w:val="center"/>
          </w:tcPr>
          <w:p w14:paraId="342DEB48">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p>
        </w:tc>
        <w:tc>
          <w:tcPr>
            <w:tcW w:w="2048" w:type="pct"/>
            <w:gridSpan w:val="2"/>
            <w:shd w:val="clear" w:color="auto" w:fill="auto"/>
            <w:vAlign w:val="center"/>
          </w:tcPr>
          <w:p w14:paraId="503E08D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村（社区）级行政区覆盖率（%）</w:t>
            </w:r>
          </w:p>
        </w:tc>
        <w:tc>
          <w:tcPr>
            <w:tcW w:w="432" w:type="pct"/>
            <w:shd w:val="clear" w:color="auto" w:fill="auto"/>
            <w:vAlign w:val="center"/>
          </w:tcPr>
          <w:p w14:paraId="5BDB08F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17</w:t>
            </w:r>
          </w:p>
        </w:tc>
        <w:tc>
          <w:tcPr>
            <w:tcW w:w="542" w:type="pct"/>
            <w:shd w:val="clear" w:color="auto" w:fill="auto"/>
            <w:vAlign w:val="center"/>
          </w:tcPr>
          <w:p w14:paraId="32B2382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≥65</w:t>
            </w:r>
          </w:p>
        </w:tc>
        <w:tc>
          <w:tcPr>
            <w:tcW w:w="559" w:type="pct"/>
            <w:shd w:val="clear" w:color="auto" w:fill="auto"/>
            <w:vAlign w:val="center"/>
          </w:tcPr>
          <w:p w14:paraId="21BE267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100</w:t>
            </w:r>
          </w:p>
        </w:tc>
        <w:tc>
          <w:tcPr>
            <w:tcW w:w="558" w:type="pct"/>
            <w:shd w:val="clear" w:color="auto" w:fill="auto"/>
            <w:vAlign w:val="center"/>
          </w:tcPr>
          <w:p w14:paraId="201AEAD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预期性</w:t>
            </w:r>
          </w:p>
        </w:tc>
      </w:tr>
      <w:tr w14:paraId="733C5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398" w:type="pct"/>
            <w:shd w:val="clear" w:color="auto" w:fill="auto"/>
            <w:vAlign w:val="center"/>
          </w:tcPr>
          <w:p w14:paraId="49BA503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7</w:t>
            </w:r>
          </w:p>
        </w:tc>
        <w:tc>
          <w:tcPr>
            <w:tcW w:w="459" w:type="pct"/>
            <w:vMerge w:val="restart"/>
            <w:shd w:val="clear" w:color="auto" w:fill="auto"/>
            <w:vAlign w:val="center"/>
          </w:tcPr>
          <w:p w14:paraId="68D160C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功能设施指标</w:t>
            </w:r>
          </w:p>
        </w:tc>
        <w:tc>
          <w:tcPr>
            <w:tcW w:w="2048" w:type="pct"/>
            <w:gridSpan w:val="2"/>
            <w:shd w:val="clear" w:color="auto" w:fill="auto"/>
            <w:vAlign w:val="center"/>
          </w:tcPr>
          <w:p w14:paraId="71FE96A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室内可容纳避难人数占室内外可容纳避难人数比例（%）</w:t>
            </w:r>
          </w:p>
        </w:tc>
        <w:tc>
          <w:tcPr>
            <w:tcW w:w="432" w:type="pct"/>
            <w:shd w:val="clear" w:color="auto" w:fill="auto"/>
            <w:vAlign w:val="center"/>
          </w:tcPr>
          <w:p w14:paraId="6CEE32D8">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8.79</w:t>
            </w:r>
          </w:p>
        </w:tc>
        <w:tc>
          <w:tcPr>
            <w:tcW w:w="542" w:type="pct"/>
            <w:shd w:val="clear" w:color="auto" w:fill="auto"/>
            <w:vAlign w:val="center"/>
          </w:tcPr>
          <w:p w14:paraId="404EC2C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≥2</w:t>
            </w:r>
            <w:r>
              <w:rPr>
                <w:rFonts w:hint="eastAsia" w:ascii="Times New Roman" w:hAnsi="Times New Roman"/>
                <w:color w:val="000000"/>
                <w:lang w:val="en-US" w:eastAsia="zh-CN"/>
              </w:rPr>
              <w:t>0</w:t>
            </w:r>
          </w:p>
        </w:tc>
        <w:tc>
          <w:tcPr>
            <w:tcW w:w="559" w:type="pct"/>
            <w:shd w:val="clear" w:color="auto" w:fill="auto"/>
            <w:vAlign w:val="center"/>
          </w:tcPr>
          <w:p w14:paraId="3A7178F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≥2</w:t>
            </w:r>
            <w:r>
              <w:rPr>
                <w:rFonts w:hint="eastAsia" w:ascii="Times New Roman" w:hAnsi="Times New Roman"/>
                <w:color w:val="000000"/>
                <w:lang w:val="en-US" w:eastAsia="zh-CN"/>
              </w:rPr>
              <w:t>0</w:t>
            </w:r>
          </w:p>
        </w:tc>
        <w:tc>
          <w:tcPr>
            <w:tcW w:w="558" w:type="pct"/>
            <w:shd w:val="clear" w:color="auto" w:fill="auto"/>
            <w:vAlign w:val="center"/>
          </w:tcPr>
          <w:p w14:paraId="19E8334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约束性</w:t>
            </w:r>
          </w:p>
        </w:tc>
      </w:tr>
      <w:tr w14:paraId="44277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398" w:type="pct"/>
            <w:shd w:val="clear" w:color="auto" w:fill="auto"/>
            <w:vAlign w:val="center"/>
          </w:tcPr>
          <w:p w14:paraId="1690918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8</w:t>
            </w:r>
          </w:p>
        </w:tc>
        <w:tc>
          <w:tcPr>
            <w:tcW w:w="459" w:type="pct"/>
            <w:vMerge w:val="continue"/>
            <w:shd w:val="clear" w:color="auto" w:fill="auto"/>
            <w:vAlign w:val="center"/>
          </w:tcPr>
          <w:p w14:paraId="3BE9492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p>
        </w:tc>
        <w:tc>
          <w:tcPr>
            <w:tcW w:w="2048" w:type="pct"/>
            <w:gridSpan w:val="2"/>
            <w:shd w:val="clear" w:color="auto" w:fill="auto"/>
            <w:vAlign w:val="center"/>
          </w:tcPr>
          <w:p w14:paraId="34AF3DD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综合性应急避难场所容纳人数比例（%）</w:t>
            </w:r>
          </w:p>
        </w:tc>
        <w:tc>
          <w:tcPr>
            <w:tcW w:w="432" w:type="pct"/>
            <w:shd w:val="clear" w:color="auto" w:fill="auto"/>
            <w:vAlign w:val="center"/>
          </w:tcPr>
          <w:p w14:paraId="2B88039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w:t>
            </w:r>
          </w:p>
        </w:tc>
        <w:tc>
          <w:tcPr>
            <w:tcW w:w="542" w:type="pct"/>
            <w:shd w:val="clear" w:color="auto" w:fill="auto"/>
            <w:vAlign w:val="center"/>
          </w:tcPr>
          <w:p w14:paraId="44801B06">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w:t>
            </w:r>
            <w:r>
              <w:rPr>
                <w:rFonts w:hint="eastAsia"/>
                <w:color w:val="000000"/>
                <w:lang w:val="en-US" w:eastAsia="zh-CN"/>
              </w:rPr>
              <w:t>65</w:t>
            </w:r>
          </w:p>
        </w:tc>
        <w:tc>
          <w:tcPr>
            <w:tcW w:w="559" w:type="pct"/>
            <w:shd w:val="clear" w:color="auto" w:fill="auto"/>
            <w:vAlign w:val="center"/>
          </w:tcPr>
          <w:p w14:paraId="0E187ED0">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w:t>
            </w:r>
            <w:r>
              <w:rPr>
                <w:rFonts w:hint="eastAsia"/>
                <w:color w:val="000000"/>
                <w:lang w:val="en-US" w:eastAsia="zh-CN"/>
              </w:rPr>
              <w:t>70</w:t>
            </w:r>
          </w:p>
        </w:tc>
        <w:tc>
          <w:tcPr>
            <w:tcW w:w="558" w:type="pct"/>
            <w:shd w:val="clear" w:color="auto" w:fill="auto"/>
            <w:vAlign w:val="center"/>
          </w:tcPr>
          <w:p w14:paraId="6A13FF4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约束性</w:t>
            </w:r>
          </w:p>
        </w:tc>
      </w:tr>
      <w:tr w14:paraId="7E143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5" w:hRule="atLeast"/>
        </w:trPr>
        <w:tc>
          <w:tcPr>
            <w:tcW w:w="398" w:type="pct"/>
            <w:vMerge w:val="restart"/>
            <w:shd w:val="clear" w:color="auto" w:fill="auto"/>
            <w:vAlign w:val="center"/>
          </w:tcPr>
          <w:p w14:paraId="32953DE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9</w:t>
            </w:r>
          </w:p>
        </w:tc>
        <w:tc>
          <w:tcPr>
            <w:tcW w:w="459" w:type="pct"/>
            <w:vMerge w:val="restart"/>
            <w:shd w:val="clear" w:color="auto" w:fill="auto"/>
            <w:vAlign w:val="center"/>
          </w:tcPr>
          <w:p w14:paraId="39424B6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分类建设指标</w:t>
            </w:r>
          </w:p>
        </w:tc>
        <w:tc>
          <w:tcPr>
            <w:tcW w:w="1330" w:type="pct"/>
            <w:vMerge w:val="restart"/>
            <w:shd w:val="clear" w:color="auto" w:fill="auto"/>
            <w:vAlign w:val="center"/>
          </w:tcPr>
          <w:p w14:paraId="48E7457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避难场所建设面积占</w:t>
            </w:r>
            <w:r>
              <w:rPr>
                <w:rFonts w:hint="eastAsia"/>
                <w:color w:val="000000"/>
                <w:lang w:val="en-US" w:eastAsia="zh-CN"/>
              </w:rPr>
              <w:t>需</w:t>
            </w:r>
            <w:r>
              <w:rPr>
                <w:rFonts w:hint="eastAsia" w:ascii="Times New Roman" w:hAnsi="Times New Roman"/>
                <w:color w:val="000000"/>
                <w:lang w:val="en-US" w:eastAsia="zh-CN"/>
              </w:rPr>
              <w:t>建设总面积比例（100%）</w:t>
            </w:r>
          </w:p>
        </w:tc>
        <w:tc>
          <w:tcPr>
            <w:tcW w:w="718" w:type="pct"/>
            <w:shd w:val="clear" w:color="auto" w:fill="auto"/>
            <w:vAlign w:val="center"/>
          </w:tcPr>
          <w:p w14:paraId="2F2F5B0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紧急</w:t>
            </w:r>
          </w:p>
        </w:tc>
        <w:tc>
          <w:tcPr>
            <w:tcW w:w="432" w:type="pct"/>
            <w:shd w:val="clear" w:color="auto" w:fill="auto"/>
            <w:vAlign w:val="center"/>
          </w:tcPr>
          <w:p w14:paraId="75DF08F0">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26</w:t>
            </w:r>
          </w:p>
        </w:tc>
        <w:tc>
          <w:tcPr>
            <w:tcW w:w="542" w:type="pct"/>
            <w:shd w:val="clear" w:color="auto" w:fill="auto"/>
            <w:vAlign w:val="center"/>
          </w:tcPr>
          <w:p w14:paraId="324C0E0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w:t>
            </w:r>
            <w:r>
              <w:rPr>
                <w:rFonts w:hint="eastAsia" w:ascii="Times New Roman" w:hAnsi="Times New Roman"/>
                <w:color w:val="000000"/>
                <w:lang w:val="en-US" w:eastAsia="zh-CN"/>
              </w:rPr>
              <w:t>73</w:t>
            </w:r>
          </w:p>
        </w:tc>
        <w:tc>
          <w:tcPr>
            <w:tcW w:w="559" w:type="pct"/>
            <w:shd w:val="clear" w:color="auto" w:fill="auto"/>
            <w:vAlign w:val="center"/>
          </w:tcPr>
          <w:p w14:paraId="7B302EF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100</w:t>
            </w:r>
          </w:p>
        </w:tc>
        <w:tc>
          <w:tcPr>
            <w:tcW w:w="558" w:type="pct"/>
            <w:shd w:val="clear" w:color="auto" w:fill="auto"/>
            <w:vAlign w:val="center"/>
          </w:tcPr>
          <w:p w14:paraId="36087E16">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预期性</w:t>
            </w:r>
          </w:p>
        </w:tc>
      </w:tr>
      <w:tr w14:paraId="6A255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trPr>
        <w:tc>
          <w:tcPr>
            <w:tcW w:w="398" w:type="pct"/>
            <w:vMerge w:val="continue"/>
            <w:shd w:val="clear" w:color="auto" w:fill="auto"/>
            <w:vAlign w:val="center"/>
          </w:tcPr>
          <w:p w14:paraId="48564F1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p>
        </w:tc>
        <w:tc>
          <w:tcPr>
            <w:tcW w:w="459" w:type="pct"/>
            <w:vMerge w:val="continue"/>
            <w:shd w:val="clear" w:color="auto" w:fill="auto"/>
            <w:vAlign w:val="center"/>
          </w:tcPr>
          <w:p w14:paraId="2C0368C0">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p>
        </w:tc>
        <w:tc>
          <w:tcPr>
            <w:tcW w:w="1330" w:type="pct"/>
            <w:vMerge w:val="continue"/>
            <w:shd w:val="clear" w:color="auto" w:fill="auto"/>
            <w:vAlign w:val="center"/>
          </w:tcPr>
          <w:p w14:paraId="7B6F5BE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p>
        </w:tc>
        <w:tc>
          <w:tcPr>
            <w:tcW w:w="718" w:type="pct"/>
            <w:shd w:val="clear" w:color="auto" w:fill="auto"/>
            <w:vAlign w:val="center"/>
          </w:tcPr>
          <w:p w14:paraId="3E40AFF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短期</w:t>
            </w:r>
          </w:p>
        </w:tc>
        <w:tc>
          <w:tcPr>
            <w:tcW w:w="432" w:type="pct"/>
            <w:shd w:val="clear" w:color="auto" w:fill="auto"/>
            <w:vAlign w:val="center"/>
          </w:tcPr>
          <w:p w14:paraId="48593D7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45</w:t>
            </w:r>
          </w:p>
        </w:tc>
        <w:tc>
          <w:tcPr>
            <w:tcW w:w="542" w:type="pct"/>
            <w:shd w:val="clear" w:color="auto" w:fill="auto"/>
            <w:vAlign w:val="center"/>
          </w:tcPr>
          <w:p w14:paraId="139D248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w:t>
            </w:r>
            <w:r>
              <w:rPr>
                <w:rFonts w:hint="eastAsia" w:ascii="Times New Roman" w:hAnsi="Times New Roman"/>
                <w:color w:val="000000"/>
                <w:lang w:val="en-US" w:eastAsia="zh-CN"/>
              </w:rPr>
              <w:t>80</w:t>
            </w:r>
          </w:p>
        </w:tc>
        <w:tc>
          <w:tcPr>
            <w:tcW w:w="559" w:type="pct"/>
            <w:shd w:val="clear" w:color="auto" w:fill="auto"/>
            <w:vAlign w:val="center"/>
          </w:tcPr>
          <w:p w14:paraId="39D3C78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100</w:t>
            </w:r>
          </w:p>
        </w:tc>
        <w:tc>
          <w:tcPr>
            <w:tcW w:w="558" w:type="pct"/>
            <w:shd w:val="clear" w:color="auto" w:fill="auto"/>
            <w:vAlign w:val="center"/>
          </w:tcPr>
          <w:p w14:paraId="11C9DAD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预期性</w:t>
            </w:r>
          </w:p>
        </w:tc>
      </w:tr>
      <w:tr w14:paraId="627D0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trPr>
        <w:tc>
          <w:tcPr>
            <w:tcW w:w="398" w:type="pct"/>
            <w:vMerge w:val="continue"/>
            <w:shd w:val="clear" w:color="auto" w:fill="auto"/>
            <w:vAlign w:val="center"/>
          </w:tcPr>
          <w:p w14:paraId="0D3D326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p>
        </w:tc>
        <w:tc>
          <w:tcPr>
            <w:tcW w:w="459" w:type="pct"/>
            <w:vMerge w:val="continue"/>
            <w:shd w:val="clear" w:color="auto" w:fill="auto"/>
            <w:vAlign w:val="center"/>
          </w:tcPr>
          <w:p w14:paraId="23BFBEB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p>
        </w:tc>
        <w:tc>
          <w:tcPr>
            <w:tcW w:w="1330" w:type="pct"/>
            <w:vMerge w:val="continue"/>
            <w:shd w:val="clear" w:color="auto" w:fill="auto"/>
            <w:vAlign w:val="center"/>
          </w:tcPr>
          <w:p w14:paraId="5DDF634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p>
        </w:tc>
        <w:tc>
          <w:tcPr>
            <w:tcW w:w="718" w:type="pct"/>
            <w:shd w:val="clear" w:color="auto" w:fill="auto"/>
            <w:vAlign w:val="center"/>
          </w:tcPr>
          <w:p w14:paraId="75BEBB4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长期</w:t>
            </w:r>
          </w:p>
        </w:tc>
        <w:tc>
          <w:tcPr>
            <w:tcW w:w="432" w:type="pct"/>
            <w:shd w:val="clear" w:color="auto" w:fill="auto"/>
            <w:vAlign w:val="center"/>
          </w:tcPr>
          <w:p w14:paraId="346959B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86</w:t>
            </w:r>
          </w:p>
        </w:tc>
        <w:tc>
          <w:tcPr>
            <w:tcW w:w="542" w:type="pct"/>
            <w:shd w:val="clear" w:color="auto" w:fill="auto"/>
            <w:vAlign w:val="center"/>
          </w:tcPr>
          <w:p w14:paraId="02C76A5F">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w:t>
            </w:r>
            <w:r>
              <w:rPr>
                <w:rFonts w:hint="eastAsia" w:ascii="Times New Roman" w:hAnsi="Times New Roman"/>
                <w:color w:val="000000"/>
                <w:lang w:val="en-US" w:eastAsia="zh-CN"/>
              </w:rPr>
              <w:t>95</w:t>
            </w:r>
          </w:p>
        </w:tc>
        <w:tc>
          <w:tcPr>
            <w:tcW w:w="559" w:type="pct"/>
            <w:shd w:val="clear" w:color="auto" w:fill="auto"/>
            <w:vAlign w:val="center"/>
          </w:tcPr>
          <w:p w14:paraId="61551CBD">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100</w:t>
            </w:r>
          </w:p>
        </w:tc>
        <w:tc>
          <w:tcPr>
            <w:tcW w:w="558" w:type="pct"/>
            <w:shd w:val="clear" w:color="auto" w:fill="auto"/>
            <w:vAlign w:val="center"/>
          </w:tcPr>
          <w:p w14:paraId="13FF0D6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预期性</w:t>
            </w:r>
          </w:p>
        </w:tc>
      </w:tr>
      <w:tr w14:paraId="0C98D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3" w:hRule="atLeast"/>
        </w:trPr>
        <w:tc>
          <w:tcPr>
            <w:tcW w:w="398" w:type="pct"/>
            <w:shd w:val="clear" w:color="auto" w:fill="auto"/>
            <w:vAlign w:val="center"/>
          </w:tcPr>
          <w:p w14:paraId="62C4AEB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10</w:t>
            </w:r>
          </w:p>
        </w:tc>
        <w:tc>
          <w:tcPr>
            <w:tcW w:w="459" w:type="pct"/>
            <w:vMerge w:val="restart"/>
            <w:shd w:val="clear" w:color="auto" w:fill="auto"/>
            <w:vAlign w:val="center"/>
          </w:tcPr>
          <w:p w14:paraId="655BFE0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ascii="Times New Roman" w:hAnsi="Times New Roman"/>
                <w:color w:val="000000"/>
                <w:lang w:val="en-US" w:eastAsia="zh-CN"/>
              </w:rPr>
              <w:t>分级建设指标</w:t>
            </w:r>
          </w:p>
        </w:tc>
        <w:tc>
          <w:tcPr>
            <w:tcW w:w="2048" w:type="pct"/>
            <w:gridSpan w:val="2"/>
            <w:shd w:val="clear" w:color="auto" w:fill="auto"/>
            <w:vAlign w:val="center"/>
          </w:tcPr>
          <w:p w14:paraId="19A57CA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省级应急避难场所数量（处）</w:t>
            </w:r>
          </w:p>
        </w:tc>
        <w:tc>
          <w:tcPr>
            <w:tcW w:w="432" w:type="pct"/>
            <w:shd w:val="clear" w:color="auto" w:fill="auto"/>
            <w:vAlign w:val="center"/>
          </w:tcPr>
          <w:p w14:paraId="7C5A1EB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w:t>
            </w:r>
          </w:p>
        </w:tc>
        <w:tc>
          <w:tcPr>
            <w:tcW w:w="542" w:type="pct"/>
            <w:shd w:val="clear" w:color="auto" w:fill="auto"/>
            <w:vAlign w:val="center"/>
          </w:tcPr>
          <w:p w14:paraId="7E60331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w:t>
            </w:r>
            <w:r>
              <w:rPr>
                <w:rFonts w:hint="eastAsia" w:ascii="Times New Roman" w:hAnsi="Times New Roman"/>
                <w:color w:val="000000"/>
                <w:lang w:val="en-US" w:eastAsia="zh-CN"/>
              </w:rPr>
              <w:t>1</w:t>
            </w:r>
          </w:p>
        </w:tc>
        <w:tc>
          <w:tcPr>
            <w:tcW w:w="559" w:type="pct"/>
            <w:shd w:val="clear" w:color="auto" w:fill="auto"/>
            <w:vAlign w:val="center"/>
          </w:tcPr>
          <w:p w14:paraId="0FFA714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w:t>
            </w:r>
            <w:r>
              <w:rPr>
                <w:rFonts w:hint="eastAsia" w:ascii="Times New Roman" w:hAnsi="Times New Roman"/>
                <w:color w:val="000000"/>
                <w:lang w:val="en-US" w:eastAsia="zh-CN"/>
              </w:rPr>
              <w:t>3</w:t>
            </w:r>
          </w:p>
        </w:tc>
        <w:tc>
          <w:tcPr>
            <w:tcW w:w="558" w:type="pct"/>
            <w:shd w:val="clear" w:color="auto" w:fill="auto"/>
            <w:vAlign w:val="center"/>
          </w:tcPr>
          <w:p w14:paraId="6A2C4600">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预期性</w:t>
            </w:r>
          </w:p>
        </w:tc>
      </w:tr>
      <w:tr w14:paraId="5ED99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31" w:hRule="atLeast"/>
        </w:trPr>
        <w:tc>
          <w:tcPr>
            <w:tcW w:w="398" w:type="pct"/>
            <w:shd w:val="clear" w:color="auto" w:fill="auto"/>
            <w:vAlign w:val="center"/>
          </w:tcPr>
          <w:p w14:paraId="4A186D1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11</w:t>
            </w:r>
          </w:p>
        </w:tc>
        <w:tc>
          <w:tcPr>
            <w:tcW w:w="459" w:type="pct"/>
            <w:vMerge w:val="continue"/>
            <w:shd w:val="clear" w:color="auto" w:fill="auto"/>
            <w:vAlign w:val="center"/>
          </w:tcPr>
          <w:p w14:paraId="4BE10E4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p>
        </w:tc>
        <w:tc>
          <w:tcPr>
            <w:tcW w:w="2048" w:type="pct"/>
            <w:gridSpan w:val="2"/>
            <w:shd w:val="clear" w:color="auto" w:fill="auto"/>
            <w:vAlign w:val="center"/>
          </w:tcPr>
          <w:p w14:paraId="2A2ED008">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000000"/>
                <w:lang w:val="en-US" w:eastAsia="zh-CN"/>
              </w:rPr>
            </w:pPr>
            <w:r>
              <w:rPr>
                <w:rFonts w:hint="eastAsia"/>
                <w:color w:val="000000"/>
                <w:lang w:val="en-US" w:eastAsia="zh-CN"/>
              </w:rPr>
              <w:t>州</w:t>
            </w:r>
            <w:r>
              <w:rPr>
                <w:rFonts w:hint="eastAsia" w:ascii="Times New Roman" w:hAnsi="Times New Roman"/>
                <w:color w:val="000000"/>
                <w:lang w:val="en-US" w:eastAsia="zh-CN"/>
              </w:rPr>
              <w:t>（</w:t>
            </w:r>
            <w:r>
              <w:rPr>
                <w:rFonts w:hint="eastAsia"/>
                <w:color w:val="000000"/>
                <w:lang w:val="en-US" w:eastAsia="zh-CN"/>
              </w:rPr>
              <w:t>市</w:t>
            </w:r>
            <w:r>
              <w:rPr>
                <w:rFonts w:hint="eastAsia" w:ascii="Times New Roman" w:hAnsi="Times New Roman"/>
                <w:color w:val="000000"/>
                <w:lang w:val="en-US" w:eastAsia="zh-CN"/>
              </w:rPr>
              <w:t>）级应急避难场所数量（处）</w:t>
            </w:r>
          </w:p>
        </w:tc>
        <w:tc>
          <w:tcPr>
            <w:tcW w:w="432" w:type="pct"/>
            <w:shd w:val="clear" w:color="auto" w:fill="auto"/>
            <w:vAlign w:val="center"/>
          </w:tcPr>
          <w:p w14:paraId="6BB0644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w:t>
            </w:r>
          </w:p>
        </w:tc>
        <w:tc>
          <w:tcPr>
            <w:tcW w:w="542" w:type="pct"/>
            <w:shd w:val="clear" w:color="auto" w:fill="auto"/>
            <w:vAlign w:val="center"/>
          </w:tcPr>
          <w:p w14:paraId="5047F45D">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w:t>
            </w:r>
            <w:r>
              <w:rPr>
                <w:rFonts w:hint="eastAsia" w:ascii="Times New Roman" w:hAnsi="Times New Roman"/>
                <w:color w:val="000000"/>
                <w:lang w:val="en-US" w:eastAsia="zh-CN"/>
              </w:rPr>
              <w:t>6</w:t>
            </w:r>
          </w:p>
        </w:tc>
        <w:tc>
          <w:tcPr>
            <w:tcW w:w="559" w:type="pct"/>
            <w:shd w:val="clear" w:color="auto" w:fill="auto"/>
            <w:vAlign w:val="center"/>
          </w:tcPr>
          <w:p w14:paraId="01A99CDD">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default" w:ascii="Times New Roman" w:hAnsi="Times New Roman"/>
                <w:color w:val="000000"/>
                <w:lang w:val="en-US" w:eastAsia="zh-CN"/>
              </w:rPr>
              <w:t>≥</w:t>
            </w:r>
            <w:r>
              <w:rPr>
                <w:rFonts w:hint="eastAsia" w:ascii="Times New Roman" w:hAnsi="Times New Roman"/>
                <w:color w:val="000000"/>
                <w:lang w:val="en-US" w:eastAsia="zh-CN"/>
              </w:rPr>
              <w:t>16</w:t>
            </w:r>
          </w:p>
        </w:tc>
        <w:tc>
          <w:tcPr>
            <w:tcW w:w="558" w:type="pct"/>
            <w:shd w:val="clear" w:color="auto" w:fill="auto"/>
            <w:vAlign w:val="center"/>
          </w:tcPr>
          <w:p w14:paraId="4095A7C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olor w:val="000000"/>
                <w:lang w:val="en-US" w:eastAsia="zh-CN"/>
              </w:rPr>
            </w:pPr>
            <w:r>
              <w:rPr>
                <w:rFonts w:hint="eastAsia" w:ascii="Times New Roman" w:hAnsi="Times New Roman"/>
                <w:color w:val="000000"/>
                <w:lang w:val="en-US" w:eastAsia="zh-CN"/>
              </w:rPr>
              <w:t>预期性</w:t>
            </w:r>
          </w:p>
        </w:tc>
      </w:tr>
    </w:tbl>
    <w:p w14:paraId="17020B54">
      <w:pPr>
        <w:pStyle w:val="3"/>
        <w:rPr>
          <w:rFonts w:hint="default" w:ascii="Times New Roman" w:hAnsi="Times New Roman" w:cs="Times New Roman"/>
          <w:color w:val="000000"/>
        </w:rPr>
      </w:pPr>
      <w:bookmarkStart w:id="8" w:name="_Toc30045"/>
      <w:r>
        <w:rPr>
          <w:rFonts w:hint="eastAsia" w:ascii="Times New Roman" w:hAnsi="Times New Roman" w:cs="Times New Roman"/>
          <w:color w:val="000000"/>
          <w:lang w:val="en-US" w:eastAsia="zh-CN"/>
        </w:rPr>
        <w:t xml:space="preserve">        七</w:t>
      </w:r>
      <w:r>
        <w:rPr>
          <w:rFonts w:hint="default" w:ascii="Times New Roman" w:hAnsi="Times New Roman" w:cs="Times New Roman"/>
          <w:color w:val="000000"/>
        </w:rPr>
        <w:t>、场所发展布局规划</w:t>
      </w:r>
      <w:bookmarkEnd w:id="8"/>
    </w:p>
    <w:p w14:paraId="0590F9AE">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outlineLvl w:val="2"/>
        <w:rPr>
          <w:rFonts w:hint="default" w:ascii="Times New Roman" w:hAnsi="Times New Roman" w:eastAsia="楷体" w:cs="Times New Roman"/>
          <w:b w:val="0"/>
          <w:bCs w:val="0"/>
          <w:color w:val="000000"/>
          <w:kern w:val="2"/>
          <w:sz w:val="28"/>
          <w:szCs w:val="28"/>
          <w:highlight w:val="none"/>
          <w:lang w:val="en-US" w:eastAsia="zh-CN" w:bidi="ar-SA"/>
        </w:rPr>
      </w:pPr>
      <w:r>
        <w:rPr>
          <w:rFonts w:hint="default" w:ascii="Times New Roman" w:hAnsi="Times New Roman" w:eastAsia="楷体" w:cs="Times New Roman"/>
          <w:b w:val="0"/>
          <w:bCs w:val="0"/>
          <w:color w:val="000000"/>
          <w:kern w:val="2"/>
          <w:sz w:val="28"/>
          <w:szCs w:val="28"/>
          <w:highlight w:val="none"/>
          <w:lang w:val="en-US" w:eastAsia="zh-CN" w:bidi="ar-SA"/>
        </w:rPr>
        <w:t>（一）应急避难策略</w:t>
      </w:r>
    </w:p>
    <w:p w14:paraId="1F5E9E6B">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b/>
          <w:bCs/>
          <w:color w:val="000000"/>
          <w:kern w:val="2"/>
          <w:sz w:val="28"/>
          <w:szCs w:val="28"/>
          <w:highlight w:val="none"/>
          <w:lang w:val="en-US" w:eastAsia="zh-CN" w:bidi="ar-SA"/>
        </w:rPr>
        <w:t>合理构建分级分类体系。</w:t>
      </w:r>
      <w:r>
        <w:rPr>
          <w:rFonts w:hint="default" w:ascii="Times New Roman" w:hAnsi="Times New Roman" w:eastAsia="方正仿宋简体" w:cs="Times New Roman"/>
          <w:color w:val="000000"/>
          <w:kern w:val="2"/>
          <w:sz w:val="28"/>
          <w:szCs w:val="28"/>
          <w:highlight w:val="none"/>
          <w:lang w:val="en-US" w:eastAsia="zh-CN" w:bidi="ar-SA"/>
        </w:rPr>
        <w:t>按分级负责原则，合理确定应急避难场所级别，匹配相应应急物资储备量等；</w:t>
      </w:r>
      <w:r>
        <w:rPr>
          <w:rFonts w:hint="eastAsia" w:ascii="Times New Roman" w:hAnsi="Times New Roman" w:eastAsia="方正仿宋简体" w:cs="Times New Roman"/>
          <w:color w:val="000000"/>
          <w:kern w:val="2"/>
          <w:sz w:val="28"/>
          <w:szCs w:val="28"/>
          <w:highlight w:val="none"/>
          <w:lang w:val="en-US" w:eastAsia="zh-CN" w:bidi="ar-SA"/>
        </w:rPr>
        <w:t>依据</w:t>
      </w:r>
      <w:r>
        <w:rPr>
          <w:rFonts w:hint="default" w:ascii="Times New Roman" w:hAnsi="Times New Roman" w:eastAsia="方正仿宋简体" w:cs="Times New Roman"/>
          <w:color w:val="000000"/>
          <w:kern w:val="2"/>
          <w:sz w:val="28"/>
          <w:szCs w:val="28"/>
          <w:highlight w:val="none"/>
          <w:lang w:val="en-US" w:eastAsia="zh-CN" w:bidi="ar-SA"/>
        </w:rPr>
        <w:t>功能定位与服务对象分类，明确启用、管护机制，提升群众安置保障能力。</w:t>
      </w:r>
    </w:p>
    <w:p w14:paraId="71A0A423">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b/>
          <w:bCs/>
          <w:color w:val="000000"/>
          <w:kern w:val="2"/>
          <w:sz w:val="28"/>
          <w:szCs w:val="28"/>
          <w:highlight w:val="none"/>
          <w:lang w:val="en-US" w:eastAsia="zh-CN" w:bidi="ar-SA"/>
        </w:rPr>
        <w:t>结合风险优化场所布局。</w:t>
      </w:r>
      <w:r>
        <w:rPr>
          <w:rFonts w:hint="default" w:ascii="Times New Roman" w:hAnsi="Times New Roman" w:eastAsia="方正仿宋简体" w:cs="Times New Roman"/>
          <w:color w:val="000000"/>
          <w:kern w:val="2"/>
          <w:sz w:val="28"/>
          <w:szCs w:val="28"/>
          <w:highlight w:val="none"/>
          <w:lang w:val="en-US" w:eastAsia="zh-CN" w:bidi="ar-SA"/>
        </w:rPr>
        <w:t>基于全省灾害事故风险分布特征，构建</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布局合理、重点突出</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的空间布局体系。高风险、人口集中区域加密</w:t>
      </w:r>
      <w:r>
        <w:rPr>
          <w:rFonts w:hint="eastAsia" w:ascii="Times New Roman" w:hAnsi="Times New Roman" w:eastAsia="方正仿宋简体" w:cs="Times New Roman"/>
          <w:color w:val="000000"/>
          <w:kern w:val="2"/>
          <w:sz w:val="28"/>
          <w:szCs w:val="28"/>
          <w:highlight w:val="none"/>
          <w:lang w:val="en-US" w:eastAsia="zh-CN" w:bidi="ar-SA"/>
        </w:rPr>
        <w:t>避难</w:t>
      </w:r>
      <w:r>
        <w:rPr>
          <w:rFonts w:hint="default" w:ascii="Times New Roman" w:hAnsi="Times New Roman" w:eastAsia="方正仿宋简体" w:cs="Times New Roman"/>
          <w:color w:val="000000"/>
          <w:kern w:val="2"/>
          <w:sz w:val="28"/>
          <w:szCs w:val="28"/>
          <w:highlight w:val="none"/>
          <w:lang w:val="en-US" w:eastAsia="zh-CN" w:bidi="ar-SA"/>
        </w:rPr>
        <w:t>场所密度，低风险区域以综合型</w:t>
      </w:r>
      <w:r>
        <w:rPr>
          <w:rFonts w:hint="eastAsia" w:ascii="Times New Roman" w:hAnsi="Times New Roman" w:eastAsia="方正仿宋简体" w:cs="Times New Roman"/>
          <w:color w:val="000000"/>
          <w:kern w:val="2"/>
          <w:sz w:val="28"/>
          <w:szCs w:val="28"/>
          <w:highlight w:val="none"/>
          <w:lang w:val="en-US" w:eastAsia="zh-CN" w:bidi="ar-SA"/>
        </w:rPr>
        <w:t>避难</w:t>
      </w:r>
      <w:r>
        <w:rPr>
          <w:rFonts w:hint="default" w:ascii="Times New Roman" w:hAnsi="Times New Roman" w:eastAsia="方正仿宋简体" w:cs="Times New Roman"/>
          <w:color w:val="000000"/>
          <w:kern w:val="2"/>
          <w:sz w:val="28"/>
          <w:szCs w:val="28"/>
          <w:highlight w:val="none"/>
          <w:lang w:val="en-US" w:eastAsia="zh-CN" w:bidi="ar-SA"/>
        </w:rPr>
        <w:t>场所为核心辐射周边。</w:t>
      </w:r>
    </w:p>
    <w:p w14:paraId="238C0369">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b/>
          <w:bCs/>
          <w:color w:val="000000"/>
          <w:kern w:val="2"/>
          <w:sz w:val="28"/>
          <w:szCs w:val="28"/>
          <w:highlight w:val="none"/>
          <w:lang w:val="en-US" w:eastAsia="zh-CN" w:bidi="ar-SA"/>
        </w:rPr>
        <w:t>整合各类资源合理建设。</w:t>
      </w:r>
      <w:r>
        <w:rPr>
          <w:rFonts w:hint="default" w:ascii="Times New Roman" w:hAnsi="Times New Roman" w:eastAsia="方正仿宋简体" w:cs="Times New Roman"/>
          <w:color w:val="000000"/>
          <w:kern w:val="2"/>
          <w:sz w:val="28"/>
          <w:szCs w:val="28"/>
          <w:highlight w:val="none"/>
          <w:lang w:val="en-US" w:eastAsia="zh-CN" w:bidi="ar-SA"/>
        </w:rPr>
        <w:t>建立跨部门资源整合机制，推动现有公共设施应急避难功能融合，</w:t>
      </w:r>
      <w:r>
        <w:rPr>
          <w:rFonts w:hint="eastAsia" w:ascii="Times New Roman" w:hAnsi="Times New Roman" w:eastAsia="方正仿宋简体" w:cs="Times New Roman"/>
          <w:color w:val="000000"/>
          <w:kern w:val="2"/>
          <w:sz w:val="28"/>
          <w:szCs w:val="28"/>
          <w:highlight w:val="none"/>
          <w:lang w:val="en-US" w:eastAsia="zh-CN" w:bidi="ar-SA"/>
        </w:rPr>
        <w:t>借助“</w:t>
      </w:r>
      <w:r>
        <w:rPr>
          <w:rFonts w:hint="default" w:ascii="Times New Roman" w:hAnsi="Times New Roman" w:eastAsia="方正仿宋简体" w:cs="Times New Roman"/>
          <w:color w:val="000000"/>
          <w:kern w:val="2"/>
          <w:sz w:val="28"/>
          <w:szCs w:val="28"/>
          <w:highlight w:val="none"/>
          <w:lang w:val="en-US" w:eastAsia="zh-CN" w:bidi="ar-SA"/>
        </w:rPr>
        <w:t>平灾结合</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模式降成本。统筹建设资源，改造现有设施，明确标准及补助办法，实现资源利用最大化。</w:t>
      </w:r>
    </w:p>
    <w:p w14:paraId="7C7256C0">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b/>
          <w:bCs/>
          <w:color w:val="000000"/>
          <w:kern w:val="2"/>
          <w:sz w:val="28"/>
          <w:szCs w:val="28"/>
          <w:highlight w:val="none"/>
          <w:lang w:val="en-US" w:eastAsia="zh-CN" w:bidi="ar-SA"/>
        </w:rPr>
        <w:t>提升选址安全性与物资配置。</w:t>
      </w:r>
      <w:r>
        <w:rPr>
          <w:rFonts w:hint="default" w:ascii="Times New Roman" w:hAnsi="Times New Roman" w:eastAsia="方正仿宋简体" w:cs="Times New Roman"/>
          <w:color w:val="000000"/>
          <w:kern w:val="2"/>
          <w:sz w:val="28"/>
          <w:szCs w:val="28"/>
          <w:highlight w:val="none"/>
          <w:lang w:val="en-US" w:eastAsia="zh-CN" w:bidi="ar-SA"/>
        </w:rPr>
        <w:t>评估并动态调整场所选址安全，选址避开危险区域，无法避让</w:t>
      </w:r>
      <w:r>
        <w:rPr>
          <w:rFonts w:hint="eastAsia" w:ascii="Times New Roman" w:hAnsi="Times New Roman" w:eastAsia="方正仿宋简体" w:cs="Times New Roman"/>
          <w:color w:val="000000"/>
          <w:kern w:val="2"/>
          <w:sz w:val="28"/>
          <w:szCs w:val="28"/>
          <w:highlight w:val="none"/>
          <w:lang w:val="en-US" w:eastAsia="zh-CN" w:bidi="ar-SA"/>
        </w:rPr>
        <w:t>的</w:t>
      </w:r>
      <w:r>
        <w:rPr>
          <w:rFonts w:hint="default" w:ascii="Times New Roman" w:hAnsi="Times New Roman" w:eastAsia="方正仿宋简体" w:cs="Times New Roman"/>
          <w:color w:val="000000"/>
          <w:kern w:val="2"/>
          <w:sz w:val="28"/>
          <w:szCs w:val="28"/>
          <w:highlight w:val="none"/>
          <w:lang w:val="en-US" w:eastAsia="zh-CN" w:bidi="ar-SA"/>
        </w:rPr>
        <w:t>采取工程措施</w:t>
      </w:r>
      <w:r>
        <w:rPr>
          <w:rFonts w:hint="eastAsia" w:ascii="Times New Roman" w:hAnsi="Times New Roman" w:eastAsia="方正仿宋简体" w:cs="Times New Roman"/>
          <w:color w:val="000000"/>
          <w:kern w:val="2"/>
          <w:sz w:val="28"/>
          <w:szCs w:val="28"/>
          <w:highlight w:val="none"/>
          <w:lang w:val="en-US" w:eastAsia="zh-CN" w:bidi="ar-SA"/>
        </w:rPr>
        <w:t>保障</w:t>
      </w:r>
      <w:r>
        <w:rPr>
          <w:rFonts w:hint="default" w:ascii="Times New Roman" w:hAnsi="Times New Roman" w:eastAsia="方正仿宋简体" w:cs="Times New Roman"/>
          <w:color w:val="000000"/>
          <w:kern w:val="2"/>
          <w:sz w:val="28"/>
          <w:szCs w:val="28"/>
          <w:highlight w:val="none"/>
          <w:lang w:val="en-US" w:eastAsia="zh-CN" w:bidi="ar-SA"/>
        </w:rPr>
        <w:t>。不同地区场所设计注重相应防护，建立应急物资共享平台。</w:t>
      </w:r>
    </w:p>
    <w:p w14:paraId="11BFEF26">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b/>
          <w:bCs/>
          <w:color w:val="000000"/>
          <w:kern w:val="2"/>
          <w:sz w:val="28"/>
          <w:szCs w:val="28"/>
          <w:highlight w:val="none"/>
          <w:lang w:val="en-US" w:eastAsia="zh-CN" w:bidi="ar-SA"/>
        </w:rPr>
        <w:t>建立高效的梯度转移机制。</w:t>
      </w:r>
      <w:r>
        <w:rPr>
          <w:rFonts w:hint="default" w:ascii="Times New Roman" w:hAnsi="Times New Roman" w:eastAsia="方正仿宋简体" w:cs="Times New Roman"/>
          <w:color w:val="000000"/>
          <w:kern w:val="2"/>
          <w:sz w:val="28"/>
          <w:szCs w:val="28"/>
          <w:highlight w:val="none"/>
          <w:lang w:val="en-US" w:eastAsia="zh-CN" w:bidi="ar-SA"/>
        </w:rPr>
        <w:t>依据灾害相关动态变化，以</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紧急—短期—长期</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梯度分类为基准，构建流程预案。通过系统性安排转移受影响人群，覆盖全周期需求，提升应急安置效率与安全性。</w:t>
      </w:r>
    </w:p>
    <w:p w14:paraId="3C7ADABF">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2"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b/>
          <w:bCs/>
          <w:color w:val="000000"/>
          <w:kern w:val="2"/>
          <w:sz w:val="28"/>
          <w:szCs w:val="28"/>
          <w:highlight w:val="none"/>
          <w:lang w:val="en-US" w:eastAsia="zh-CN" w:bidi="ar-SA"/>
        </w:rPr>
        <w:t>健全完善场所服务管理能力。</w:t>
      </w:r>
      <w:r>
        <w:rPr>
          <w:rFonts w:hint="default" w:ascii="Times New Roman" w:hAnsi="Times New Roman" w:eastAsia="方正仿宋简体" w:cs="Times New Roman"/>
          <w:color w:val="000000"/>
          <w:kern w:val="2"/>
          <w:sz w:val="28"/>
          <w:szCs w:val="28"/>
          <w:highlight w:val="none"/>
          <w:lang w:val="en-US" w:eastAsia="zh-CN" w:bidi="ar-SA"/>
        </w:rPr>
        <w:t xml:space="preserve">健全管理机制，明确职责分工，落实责任体系，建立协调机制；强化日常运维，制定标准、完善预案、编制流程、明确架构与职责；加强应急演练，提升实战响应能力；推动智慧化管理，建设信息系统；培育社会力量，建立志愿者队伍，开展培训与宣传。 </w:t>
      </w:r>
    </w:p>
    <w:p w14:paraId="10DF9CCF">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outlineLvl w:val="2"/>
        <w:rPr>
          <w:rFonts w:hint="default" w:ascii="Times New Roman" w:hAnsi="Times New Roman" w:eastAsia="楷体" w:cs="Times New Roman"/>
          <w:b/>
          <w:bCs/>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（二）总体布局</w:t>
      </w:r>
    </w:p>
    <w:p w14:paraId="5455D1EC">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color w:val="000000"/>
          <w:kern w:val="2"/>
          <w:sz w:val="28"/>
          <w:szCs w:val="28"/>
          <w:highlight w:val="none"/>
          <w:lang w:val="en-US" w:eastAsia="zh-CN" w:bidi="ar-SA"/>
        </w:rPr>
        <w:t>构建</w:t>
      </w:r>
      <w:r>
        <w:rPr>
          <w:rFonts w:hint="eastAsia" w:ascii="Times New Roman" w:hAnsi="Times New Roman" w:eastAsia="方正仿宋简体" w:cs="Times New Roman"/>
          <w:color w:val="000000"/>
          <w:kern w:val="2"/>
          <w:sz w:val="28"/>
          <w:szCs w:val="28"/>
          <w:highlight w:val="none"/>
          <w:lang w:val="en-US" w:eastAsia="zh-CN" w:bidi="ar-SA"/>
        </w:rPr>
        <w:t>“三</w:t>
      </w:r>
      <w:r>
        <w:rPr>
          <w:rFonts w:hint="default" w:ascii="Times New Roman" w:hAnsi="Times New Roman" w:eastAsia="方正仿宋简体" w:cs="Times New Roman"/>
          <w:color w:val="000000"/>
          <w:kern w:val="2"/>
          <w:sz w:val="28"/>
          <w:szCs w:val="28"/>
          <w:highlight w:val="none"/>
          <w:lang w:val="en-US" w:eastAsia="zh-CN" w:bidi="ar-SA"/>
        </w:rPr>
        <w:t>核四区、五级联动、重点突出、全域覆盖</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的应急避难场所体系：以昆明、大理、</w:t>
      </w:r>
      <w:r>
        <w:rPr>
          <w:rFonts w:hint="eastAsia" w:ascii="Times New Roman" w:hAnsi="Times New Roman" w:eastAsia="方正仿宋简体" w:cs="Times New Roman"/>
          <w:color w:val="000000"/>
          <w:kern w:val="2"/>
          <w:sz w:val="28"/>
          <w:szCs w:val="28"/>
          <w:highlight w:val="none"/>
          <w:lang w:val="en-US" w:eastAsia="zh-CN" w:bidi="ar-SA"/>
        </w:rPr>
        <w:t>普洱</w:t>
      </w:r>
      <w:r>
        <w:rPr>
          <w:rFonts w:hint="default" w:ascii="Times New Roman" w:hAnsi="Times New Roman" w:eastAsia="方正仿宋简体" w:cs="Times New Roman"/>
          <w:color w:val="000000"/>
          <w:kern w:val="2"/>
          <w:sz w:val="28"/>
          <w:szCs w:val="28"/>
          <w:highlight w:val="none"/>
          <w:lang w:val="en-US" w:eastAsia="zh-CN" w:bidi="ar-SA"/>
        </w:rPr>
        <w:t>为核心，针对滇西北高山峡谷、滇中北部及滇东北、滇中及滇东南、滇西及滇南岭谷四大综合风险区，实施差异化布局。完善省、州（市）、县（市、区）、乡镇（街道）、村（社区）五级场所功能，实现纵向贯通、横向协同。</w:t>
      </w:r>
    </w:p>
    <w:p w14:paraId="21DDC2C4">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（三）五级场所体系构建</w:t>
      </w:r>
    </w:p>
    <w:p w14:paraId="29BD28FF">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color w:val="000000"/>
          <w:kern w:val="2"/>
          <w:sz w:val="28"/>
          <w:szCs w:val="28"/>
          <w:highlight w:val="none"/>
          <w:lang w:val="en-US" w:eastAsia="zh-CN" w:bidi="ar-SA"/>
        </w:rPr>
        <w:t>根据覆盖范围、响应能力及承载规模，明确各级场所标准：云南省应急避难场所包括省级、州（市）级、县（市、区）级、乡镇（街道）级和村（社区）级 5 级。</w:t>
      </w:r>
    </w:p>
    <w:p w14:paraId="77908407">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color w:val="000000"/>
          <w:kern w:val="2"/>
          <w:sz w:val="28"/>
          <w:szCs w:val="28"/>
          <w:highlight w:val="none"/>
          <w:lang w:val="en-US" w:eastAsia="zh-CN" w:bidi="ar-SA"/>
        </w:rPr>
        <w:t>省级避难场所是全省应急避难体系的核心与指挥枢纽，承担跨境、跨省、跨区域的重大灾害应急指挥、大规模人员安置、物资中转、医疗救援和国际、跨省联动任务协作等。省级应急避难场所规划为室内长期型。规划在昆明市、普洱市、大理州建设</w:t>
      </w:r>
      <w:r>
        <w:rPr>
          <w:rFonts w:hint="eastAsia" w:ascii="Times New Roman" w:hAnsi="Times New Roman" w:eastAsia="方正仿宋简体" w:cs="Times New Roman"/>
          <w:color w:val="000000"/>
          <w:kern w:val="2"/>
          <w:sz w:val="28"/>
          <w:szCs w:val="28"/>
          <w:highlight w:val="none"/>
          <w:lang w:val="en-US" w:eastAsia="zh-CN" w:bidi="ar-SA"/>
        </w:rPr>
        <w:t>3</w:t>
      </w:r>
      <w:r>
        <w:rPr>
          <w:rFonts w:hint="default" w:ascii="Times New Roman" w:hAnsi="Times New Roman" w:eastAsia="方正仿宋简体" w:cs="Times New Roman"/>
          <w:color w:val="000000"/>
          <w:kern w:val="2"/>
          <w:sz w:val="28"/>
          <w:szCs w:val="28"/>
          <w:highlight w:val="none"/>
          <w:lang w:val="en-US" w:eastAsia="zh-CN" w:bidi="ar-SA"/>
        </w:rPr>
        <w:t>处省级应急避难场所，统筹全省16个州（市）、129个县（市、区）的应急避难能力建设。</w:t>
      </w:r>
    </w:p>
    <w:p w14:paraId="4018CD22">
      <w:pPr>
        <w:pStyle w:val="6"/>
        <w:spacing w:line="600" w:lineRule="exact"/>
        <w:ind w:left="0" w:leftChars="0" w:firstLine="0" w:firstLineChars="0"/>
        <w:jc w:val="center"/>
        <w:rPr>
          <w:rFonts w:hint="eastAsia"/>
          <w:color w:val="000000"/>
          <w:sz w:val="32"/>
          <w:szCs w:val="40"/>
        </w:rPr>
      </w:pPr>
      <w:r>
        <w:rPr>
          <w:rFonts w:hint="eastAsia" w:ascii="宋体" w:hAnsi="宋体" w:eastAsia="宋体" w:cs="宋体"/>
          <w:b/>
          <w:bCs/>
          <w:i w:val="0"/>
          <w:iCs w:val="0"/>
          <w:color w:val="000000"/>
          <w:kern w:val="0"/>
          <w:sz w:val="28"/>
          <w:szCs w:val="28"/>
          <w:u w:val="none"/>
          <w:lang w:val="en-US" w:eastAsia="zh-CN"/>
        </w:rPr>
        <w:t>云南省省级应急避难场所规划表</w:t>
      </w:r>
    </w:p>
    <w:tbl>
      <w:tblPr>
        <w:tblStyle w:val="8"/>
        <w:tblW w:w="906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80" w:type="dxa"/>
          <w:left w:w="128" w:type="dxa"/>
          <w:bottom w:w="80" w:type="dxa"/>
          <w:right w:w="128" w:type="dxa"/>
        </w:tblCellMar>
      </w:tblPr>
      <w:tblGrid>
        <w:gridCol w:w="1884"/>
        <w:gridCol w:w="3949"/>
        <w:gridCol w:w="3236"/>
      </w:tblGrid>
      <w:tr w14:paraId="20636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80" w:type="dxa"/>
            <w:left w:w="128" w:type="dxa"/>
            <w:bottom w:w="80" w:type="dxa"/>
            <w:right w:w="128" w:type="dxa"/>
          </w:tblCellMar>
        </w:tblPrEx>
        <w:trPr>
          <w:trHeight w:val="0" w:hRule="atLeast"/>
          <w:tblHeader/>
          <w:jc w:val="center"/>
        </w:trPr>
        <w:tc>
          <w:tcPr>
            <w:tcW w:w="1884" w:type="dxa"/>
            <w:tcBorders>
              <w:top w:val="single" w:color="000000" w:sz="4" w:space="0"/>
              <w:left w:val="single" w:color="000000" w:sz="4" w:space="0"/>
              <w:bottom w:val="single" w:color="000000" w:sz="4" w:space="0"/>
              <w:right w:val="single" w:color="000000" w:sz="4" w:space="0"/>
              <w:tl2br w:val="nil"/>
            </w:tcBorders>
            <w:shd w:val="clear" w:color="auto" w:fill="auto"/>
            <w:vAlign w:val="center"/>
          </w:tcPr>
          <w:p w14:paraId="0252C7F9">
            <w:pPr>
              <w:pStyle w:val="11"/>
              <w:keepNext w:val="0"/>
              <w:keepLines w:val="0"/>
              <w:suppressLineNumbers w:val="0"/>
              <w:bidi w:val="0"/>
              <w:spacing w:before="0" w:beforeAutospacing="0" w:after="0" w:afterAutospacing="0"/>
              <w:ind w:left="0" w:right="0"/>
              <w:jc w:val="center"/>
              <w:rPr>
                <w:rFonts w:hint="default" w:ascii="Times New Roman" w:hAnsi="Times New Roman"/>
                <w:b/>
                <w:bCs/>
                <w:color w:val="000000"/>
                <w:lang w:val="en-US" w:eastAsia="zh-CN"/>
              </w:rPr>
            </w:pPr>
            <w:r>
              <w:rPr>
                <w:rFonts w:hint="eastAsia" w:ascii="Times New Roman" w:hAnsi="Times New Roman"/>
                <w:b/>
                <w:bCs/>
                <w:color w:val="000000"/>
                <w:lang w:val="en-US" w:eastAsia="zh-CN"/>
              </w:rPr>
              <w:t>场所地点</w:t>
            </w:r>
          </w:p>
        </w:tc>
        <w:tc>
          <w:tcPr>
            <w:tcW w:w="3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01E30">
            <w:pPr>
              <w:pStyle w:val="11"/>
              <w:keepNext w:val="0"/>
              <w:keepLines w:val="0"/>
              <w:suppressLineNumbers w:val="0"/>
              <w:bidi w:val="0"/>
              <w:spacing w:before="0" w:beforeAutospacing="0" w:after="0" w:afterAutospacing="0"/>
              <w:ind w:left="0" w:right="0"/>
              <w:jc w:val="center"/>
              <w:rPr>
                <w:rFonts w:hint="eastAsia" w:ascii="Times New Roman" w:hAnsi="Times New Roman"/>
                <w:b/>
                <w:bCs/>
                <w:color w:val="000000"/>
                <w:lang w:val="en-US" w:eastAsia="zh-CN"/>
              </w:rPr>
            </w:pPr>
            <w:r>
              <w:rPr>
                <w:rFonts w:hint="eastAsia" w:ascii="Times New Roman" w:hAnsi="Times New Roman"/>
                <w:b/>
                <w:bCs/>
                <w:color w:val="000000"/>
                <w:lang w:val="en-US" w:eastAsia="zh-CN"/>
              </w:rPr>
              <w:t>功能定位</w:t>
            </w:r>
          </w:p>
        </w:tc>
        <w:tc>
          <w:tcPr>
            <w:tcW w:w="32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19B69">
            <w:pPr>
              <w:pStyle w:val="11"/>
              <w:keepNext w:val="0"/>
              <w:keepLines w:val="0"/>
              <w:suppressLineNumbers w:val="0"/>
              <w:bidi w:val="0"/>
              <w:spacing w:before="0" w:beforeAutospacing="0" w:after="0" w:afterAutospacing="0"/>
              <w:ind w:left="0" w:right="0"/>
              <w:jc w:val="center"/>
              <w:rPr>
                <w:rFonts w:hint="eastAsia" w:ascii="Times New Roman" w:hAnsi="Times New Roman"/>
                <w:b/>
                <w:bCs/>
                <w:color w:val="000000"/>
                <w:lang w:val="en-US" w:eastAsia="zh-CN"/>
              </w:rPr>
            </w:pPr>
            <w:r>
              <w:rPr>
                <w:rFonts w:hint="eastAsia" w:ascii="Times New Roman" w:hAnsi="Times New Roman"/>
                <w:b/>
                <w:bCs/>
                <w:color w:val="000000"/>
                <w:lang w:val="en-US" w:eastAsia="zh-CN"/>
              </w:rPr>
              <w:t>覆盖区域</w:t>
            </w:r>
          </w:p>
          <w:p w14:paraId="1D46F168">
            <w:pPr>
              <w:pStyle w:val="11"/>
              <w:keepNext w:val="0"/>
              <w:keepLines w:val="0"/>
              <w:suppressLineNumbers w:val="0"/>
              <w:bidi w:val="0"/>
              <w:spacing w:before="0" w:beforeAutospacing="0" w:after="0" w:afterAutospacing="0"/>
              <w:ind w:left="0" w:right="0"/>
              <w:jc w:val="center"/>
              <w:rPr>
                <w:rFonts w:hint="eastAsia" w:ascii="Times New Roman" w:hAnsi="Times New Roman"/>
                <w:b/>
                <w:bCs/>
                <w:color w:val="000000"/>
                <w:lang w:val="en-US" w:eastAsia="zh-CN"/>
              </w:rPr>
            </w:pPr>
            <w:r>
              <w:rPr>
                <w:rFonts w:hint="eastAsia" w:ascii="Times New Roman" w:hAnsi="Times New Roman"/>
                <w:b/>
                <w:bCs/>
                <w:color w:val="000000"/>
                <w:lang w:val="en-US" w:eastAsia="zh-CN"/>
              </w:rPr>
              <w:t>（县、市、区）</w:t>
            </w:r>
          </w:p>
        </w:tc>
      </w:tr>
      <w:tr w14:paraId="7A94F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80" w:type="dxa"/>
            <w:left w:w="128" w:type="dxa"/>
            <w:bottom w:w="80" w:type="dxa"/>
            <w:right w:w="128" w:type="dxa"/>
          </w:tblCellMar>
        </w:tblPrEx>
        <w:trPr>
          <w:trHeight w:val="2321" w:hRule="atLeast"/>
          <w:jc w:val="center"/>
        </w:trPr>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EAC33">
            <w:pPr>
              <w:pStyle w:val="11"/>
              <w:keepNext w:val="0"/>
              <w:keepLines w:val="0"/>
              <w:suppressLineNumbers w:val="0"/>
              <w:bidi w:val="0"/>
              <w:spacing w:before="0" w:beforeAutospacing="0" w:after="0" w:afterAutospacing="0"/>
              <w:ind w:left="0" w:right="0"/>
              <w:jc w:val="center"/>
              <w:rPr>
                <w:rFonts w:hint="eastAsia" w:ascii="Times New Roman" w:hAnsi="Times New Roman"/>
                <w:color w:val="000000"/>
                <w:lang w:val="en-US" w:eastAsia="zh-CN"/>
              </w:rPr>
            </w:pPr>
            <w:r>
              <w:rPr>
                <w:rFonts w:hint="eastAsia" w:ascii="Times New Roman" w:hAnsi="Times New Roman"/>
                <w:color w:val="000000"/>
                <w:lang w:val="en-US" w:eastAsia="zh-CN"/>
              </w:rPr>
              <w:t>昆明市</w:t>
            </w:r>
          </w:p>
        </w:tc>
        <w:tc>
          <w:tcPr>
            <w:tcW w:w="3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BF06A">
            <w:pPr>
              <w:pStyle w:val="11"/>
              <w:keepNext w:val="0"/>
              <w:keepLines w:val="0"/>
              <w:suppressLineNumbers w:val="0"/>
              <w:bidi w:val="0"/>
              <w:spacing w:before="0" w:beforeAutospacing="0" w:after="0" w:afterAutospacing="0" w:line="300" w:lineRule="exact"/>
              <w:ind w:left="0" w:right="0"/>
              <w:jc w:val="left"/>
              <w:rPr>
                <w:rFonts w:hint="default" w:ascii="Times New Roman" w:hAnsi="Times New Roman" w:eastAsia="仿宋_GB2312" w:cs="Times New Roman"/>
                <w:color w:val="000000"/>
                <w:lang w:val="en-US" w:eastAsia="zh-CN"/>
              </w:rPr>
            </w:pPr>
            <w:r>
              <w:rPr>
                <w:rFonts w:hint="eastAsia" w:ascii="Times New Roman" w:hAnsi="Times New Roman" w:cs="Times New Roman"/>
                <w:color w:val="000000"/>
                <w:lang w:val="en-US" w:eastAsia="zh-CN"/>
              </w:rPr>
              <w:t>1.</w:t>
            </w:r>
            <w:r>
              <w:rPr>
                <w:rFonts w:hint="default" w:ascii="Times New Roman" w:hAnsi="Times New Roman" w:eastAsia="仿宋_GB2312" w:cs="Times New Roman"/>
                <w:color w:val="000000"/>
                <w:lang w:val="en-US" w:eastAsia="zh-CN"/>
              </w:rPr>
              <w:t>全省应急指挥中枢</w:t>
            </w:r>
            <w:r>
              <w:rPr>
                <w:rFonts w:hint="eastAsia" w:cs="Times New Roman"/>
                <w:color w:val="000000"/>
                <w:lang w:val="en-US" w:eastAsia="zh-CN"/>
              </w:rPr>
              <w:t>：</w:t>
            </w:r>
            <w:r>
              <w:rPr>
                <w:rFonts w:hint="default" w:ascii="Times New Roman" w:hAnsi="Times New Roman" w:eastAsia="仿宋_GB2312" w:cs="Times New Roman"/>
                <w:color w:val="000000"/>
                <w:lang w:val="en-US" w:eastAsia="zh-CN"/>
              </w:rPr>
              <w:t>覆盖滇中、滇东北、滇东南的总枢纽，兼顾高密度人口安置与山区灾害应对；</w:t>
            </w:r>
            <w:r>
              <w:rPr>
                <w:rFonts w:hint="eastAsia" w:ascii="Times New Roman" w:hAnsi="Times New Roman" w:cs="Times New Roman"/>
                <w:color w:val="000000"/>
                <w:lang w:val="en-US" w:eastAsia="zh-CN"/>
              </w:rPr>
              <w:t>2.</w:t>
            </w:r>
            <w:r>
              <w:rPr>
                <w:rFonts w:hint="default" w:ascii="Times New Roman" w:hAnsi="Times New Roman" w:eastAsia="仿宋_GB2312" w:cs="Times New Roman"/>
                <w:color w:val="000000"/>
                <w:lang w:val="en-US" w:eastAsia="zh-CN"/>
              </w:rPr>
              <w:t>跨区域物资集散中心</w:t>
            </w:r>
            <w:r>
              <w:rPr>
                <w:rFonts w:hint="eastAsia" w:ascii="Times New Roman" w:hAnsi="Times New Roman" w:cs="Times New Roman"/>
                <w:color w:val="000000"/>
                <w:lang w:val="en-US" w:eastAsia="zh-CN"/>
              </w:rPr>
              <w:t>：</w:t>
            </w:r>
            <w:r>
              <w:rPr>
                <w:rFonts w:hint="default" w:ascii="Times New Roman" w:hAnsi="Times New Roman" w:eastAsia="仿宋_GB2312" w:cs="Times New Roman"/>
                <w:color w:val="000000"/>
                <w:lang w:val="en-US" w:eastAsia="zh-CN"/>
              </w:rPr>
              <w:t>联动昆河高速、广昆高速、渝昆高铁，实现对红河、文山、昭通的物资快速调配；</w:t>
            </w:r>
            <w:r>
              <w:rPr>
                <w:rFonts w:hint="eastAsia" w:ascii="Times New Roman" w:hAnsi="Times New Roman" w:cs="Times New Roman"/>
                <w:color w:val="000000"/>
                <w:lang w:val="en-US" w:eastAsia="zh-CN"/>
              </w:rPr>
              <w:t>3.</w:t>
            </w:r>
            <w:r>
              <w:rPr>
                <w:rFonts w:hint="default" w:ascii="Times New Roman" w:hAnsi="Times New Roman" w:eastAsia="仿宋_GB2312" w:cs="Times New Roman"/>
                <w:color w:val="000000"/>
                <w:lang w:val="en-US" w:eastAsia="zh-CN"/>
              </w:rPr>
              <w:t>多灾种应对基地：针对性配置地震、内涝、地质物资及医疗资源，适配覆盖区域灾害类型。</w:t>
            </w:r>
          </w:p>
        </w:tc>
        <w:tc>
          <w:tcPr>
            <w:tcW w:w="32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DB528">
            <w:pPr>
              <w:pStyle w:val="11"/>
              <w:keepNext w:val="0"/>
              <w:keepLines w:val="0"/>
              <w:suppressLineNumbers w:val="0"/>
              <w:bidi w:val="0"/>
              <w:spacing w:before="0" w:beforeAutospacing="0" w:after="0" w:afterAutospacing="0" w:line="300" w:lineRule="exact"/>
              <w:ind w:left="0" w:right="0"/>
              <w:jc w:val="both"/>
              <w:rPr>
                <w:rFonts w:hint="default" w:ascii="Times New Roman" w:hAnsi="Times New Roman" w:eastAsia="仿宋_GB2312" w:cs="Times New Roman"/>
                <w:color w:val="000000"/>
                <w:lang w:val="en-US" w:eastAsia="zh-CN"/>
              </w:rPr>
            </w:pPr>
            <w:r>
              <w:rPr>
                <w:rFonts w:hint="default" w:ascii="Times New Roman" w:hAnsi="Times New Roman" w:eastAsia="仿宋_GB2312" w:cs="Times New Roman"/>
                <w:color w:val="000000"/>
                <w:lang w:val="en-US" w:eastAsia="zh-CN"/>
              </w:rPr>
              <w:t>74个：昆明市14个、玉溪市9个、曲靖市9个、红河州13个、昭通市11个、文山州8个、楚雄州10个；人口：约3181.4万人，占全省67.79%。</w:t>
            </w:r>
          </w:p>
        </w:tc>
      </w:tr>
      <w:tr w14:paraId="2829B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80" w:type="dxa"/>
            <w:left w:w="128" w:type="dxa"/>
            <w:bottom w:w="80" w:type="dxa"/>
            <w:right w:w="128" w:type="dxa"/>
          </w:tblCellMar>
        </w:tblPrEx>
        <w:trPr>
          <w:trHeight w:val="2228" w:hRule="atLeast"/>
          <w:jc w:val="center"/>
        </w:trPr>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5D861">
            <w:pPr>
              <w:pStyle w:val="11"/>
              <w:keepNext w:val="0"/>
              <w:keepLines w:val="0"/>
              <w:suppressLineNumbers w:val="0"/>
              <w:bidi w:val="0"/>
              <w:spacing w:before="0" w:beforeAutospacing="0" w:after="0" w:afterAutospacing="0"/>
              <w:ind w:left="0" w:right="0"/>
              <w:jc w:val="center"/>
              <w:rPr>
                <w:rFonts w:hint="eastAsia" w:ascii="Times New Roman" w:hAnsi="Times New Roman"/>
                <w:color w:val="000000"/>
                <w:lang w:val="en-US" w:eastAsia="zh-CN"/>
              </w:rPr>
            </w:pPr>
            <w:r>
              <w:rPr>
                <w:rFonts w:hint="eastAsia" w:ascii="Times New Roman" w:hAnsi="Times New Roman"/>
                <w:color w:val="000000"/>
                <w:lang w:val="en-US" w:eastAsia="zh-CN"/>
              </w:rPr>
              <w:t>普洱市</w:t>
            </w:r>
          </w:p>
        </w:tc>
        <w:tc>
          <w:tcPr>
            <w:tcW w:w="3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4DA89">
            <w:pPr>
              <w:pStyle w:val="11"/>
              <w:keepNext w:val="0"/>
              <w:keepLines w:val="0"/>
              <w:suppressLineNumbers w:val="0"/>
              <w:bidi w:val="0"/>
              <w:spacing w:before="0" w:beforeAutospacing="0" w:after="0" w:afterAutospacing="0" w:line="300" w:lineRule="exact"/>
              <w:ind w:left="0" w:right="0"/>
              <w:jc w:val="left"/>
              <w:rPr>
                <w:rFonts w:hint="default" w:ascii="Times New Roman" w:hAnsi="Times New Roman" w:eastAsia="仿宋_GB2312" w:cs="Times New Roman"/>
                <w:color w:val="000000"/>
                <w:lang w:val="en-US" w:eastAsia="zh-CN"/>
              </w:rPr>
            </w:pPr>
            <w:r>
              <w:rPr>
                <w:rFonts w:hint="default" w:ascii="Times New Roman" w:hAnsi="Times New Roman" w:eastAsia="仿宋_GB2312" w:cs="Times New Roman"/>
                <w:color w:val="000000"/>
                <w:lang w:val="en-US" w:eastAsia="zh-CN"/>
              </w:rPr>
              <w:t>1.滇西南应急避难枢纽：聚焦普洱、西双版纳、临沧热带/亚热带区域，主打地质灾害（滑坡、泥石流）与洪涝应急救援；2.边境联动核心：依托中老铁路、沿边高速，衔接普洱、西双版纳边境口岸，支持跨境避难与涉外救援；3.结合山区地形优化避难设施设备，适配临沧、普洱山区疏散需求。</w:t>
            </w:r>
          </w:p>
        </w:tc>
        <w:tc>
          <w:tcPr>
            <w:tcW w:w="32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53155">
            <w:pPr>
              <w:pStyle w:val="11"/>
              <w:keepNext w:val="0"/>
              <w:keepLines w:val="0"/>
              <w:suppressLineNumbers w:val="0"/>
              <w:bidi w:val="0"/>
              <w:spacing w:before="0" w:beforeAutospacing="0" w:after="0" w:afterAutospacing="0" w:line="300" w:lineRule="exact"/>
              <w:ind w:left="0" w:right="0"/>
              <w:jc w:val="both"/>
              <w:rPr>
                <w:rFonts w:hint="default" w:ascii="Times New Roman" w:hAnsi="Times New Roman" w:eastAsia="仿宋_GB2312" w:cs="Times New Roman"/>
                <w:color w:val="000000"/>
                <w:lang w:val="en-US" w:eastAsia="zh-CN"/>
              </w:rPr>
            </w:pPr>
            <w:r>
              <w:rPr>
                <w:rFonts w:hint="default" w:ascii="Times New Roman" w:hAnsi="Times New Roman" w:eastAsia="仿宋_GB2312" w:cs="Times New Roman"/>
                <w:color w:val="000000"/>
                <w:lang w:val="en-US" w:eastAsia="zh-CN"/>
              </w:rPr>
              <w:t>21个：普洱市10个、西双版纳州3个、临沧市8个；人口：约591.8万人，占全省12.61%。</w:t>
            </w:r>
          </w:p>
        </w:tc>
      </w:tr>
      <w:tr w14:paraId="710DD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80" w:type="dxa"/>
            <w:left w:w="128" w:type="dxa"/>
            <w:bottom w:w="80" w:type="dxa"/>
            <w:right w:w="128" w:type="dxa"/>
          </w:tblCellMar>
        </w:tblPrEx>
        <w:trPr>
          <w:trHeight w:val="0" w:hRule="atLeast"/>
          <w:jc w:val="center"/>
        </w:trPr>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6F63D">
            <w:pPr>
              <w:pStyle w:val="11"/>
              <w:keepNext w:val="0"/>
              <w:keepLines w:val="0"/>
              <w:suppressLineNumbers w:val="0"/>
              <w:bidi w:val="0"/>
              <w:spacing w:before="0" w:beforeAutospacing="0" w:after="0" w:afterAutospacing="0"/>
              <w:ind w:left="0" w:right="0"/>
              <w:jc w:val="center"/>
              <w:rPr>
                <w:rFonts w:hint="eastAsia" w:ascii="Times New Roman" w:hAnsi="Times New Roman"/>
                <w:color w:val="000000"/>
                <w:lang w:val="en-US" w:eastAsia="zh-CN"/>
              </w:rPr>
            </w:pPr>
            <w:r>
              <w:rPr>
                <w:rFonts w:hint="eastAsia" w:ascii="Times New Roman" w:hAnsi="Times New Roman"/>
                <w:color w:val="000000"/>
                <w:lang w:val="en-US" w:eastAsia="zh-CN"/>
              </w:rPr>
              <w:t>大理州</w:t>
            </w:r>
          </w:p>
        </w:tc>
        <w:tc>
          <w:tcPr>
            <w:tcW w:w="3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63CF1">
            <w:pPr>
              <w:pStyle w:val="11"/>
              <w:keepNext w:val="0"/>
              <w:keepLines w:val="0"/>
              <w:suppressLineNumbers w:val="0"/>
              <w:bidi w:val="0"/>
              <w:spacing w:before="0" w:beforeAutospacing="0" w:after="0" w:afterAutospacing="0" w:line="300" w:lineRule="exact"/>
              <w:ind w:left="0" w:right="0"/>
              <w:jc w:val="left"/>
              <w:rPr>
                <w:rFonts w:hint="default" w:ascii="Times New Roman" w:hAnsi="Times New Roman" w:eastAsia="仿宋_GB2312" w:cs="Times New Roman"/>
                <w:color w:val="000000"/>
                <w:lang w:val="en-US" w:eastAsia="zh-CN"/>
              </w:rPr>
            </w:pPr>
            <w:r>
              <w:rPr>
                <w:rFonts w:hint="default" w:ascii="Times New Roman" w:hAnsi="Times New Roman" w:eastAsia="仿宋_GB2312" w:cs="Times New Roman"/>
                <w:color w:val="000000"/>
                <w:lang w:val="en-US" w:eastAsia="zh-CN"/>
              </w:rPr>
              <w:t>1.滇西和滇西北应急避难枢纽：统筹大理、丽江保山、德宏滇西走廊与怒江、迪庆滇西北高原，应对地震、山洪、冰雪等复合型灾害；2.跨境救援节点：衔接中缅边境（德宏）与滇藏通道（迪庆），联动开展跨境、跨省救援；3.旅游应急核心：覆盖大理、丽江、迪庆旅游区，保障游客与居民疏散</w:t>
            </w:r>
            <w:r>
              <w:rPr>
                <w:rFonts w:hint="eastAsia" w:cs="Times New Roman"/>
                <w:color w:val="000000"/>
                <w:lang w:val="en-US" w:eastAsia="zh-CN"/>
              </w:rPr>
              <w:t>。</w:t>
            </w:r>
          </w:p>
        </w:tc>
        <w:tc>
          <w:tcPr>
            <w:tcW w:w="32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C6AAA">
            <w:pPr>
              <w:pStyle w:val="11"/>
              <w:keepNext w:val="0"/>
              <w:keepLines w:val="0"/>
              <w:suppressLineNumbers w:val="0"/>
              <w:bidi w:val="0"/>
              <w:spacing w:before="0" w:beforeAutospacing="0" w:after="0" w:afterAutospacing="0" w:line="300" w:lineRule="exact"/>
              <w:ind w:left="0" w:right="0"/>
              <w:jc w:val="both"/>
              <w:rPr>
                <w:rFonts w:hint="default" w:ascii="Times New Roman" w:hAnsi="Times New Roman" w:eastAsia="仿宋_GB2312" w:cs="Times New Roman"/>
                <w:color w:val="000000"/>
                <w:lang w:val="en-US" w:eastAsia="zh-CN"/>
              </w:rPr>
            </w:pPr>
            <w:r>
              <w:rPr>
                <w:rFonts w:hint="default" w:ascii="Times New Roman" w:hAnsi="Times New Roman" w:eastAsia="仿宋_GB2312" w:cs="Times New Roman"/>
                <w:color w:val="000000"/>
                <w:lang w:val="en-US" w:eastAsia="zh-CN"/>
              </w:rPr>
              <w:t>34个：大理州12个、保山市5个、德宏州5个、怒江州4个、迪庆州3个、丽江市5个；人口：约919.8万人，占全省19.60%</w:t>
            </w:r>
            <w:r>
              <w:rPr>
                <w:rFonts w:hint="eastAsia" w:cs="Times New Roman"/>
                <w:color w:val="000000"/>
                <w:lang w:val="en-US" w:eastAsia="zh-CN"/>
              </w:rPr>
              <w:t>。</w:t>
            </w:r>
          </w:p>
        </w:tc>
      </w:tr>
    </w:tbl>
    <w:p w14:paraId="19643A7F">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color w:val="000000"/>
          <w:kern w:val="2"/>
          <w:sz w:val="28"/>
          <w:szCs w:val="28"/>
          <w:highlight w:val="none"/>
          <w:lang w:val="en-US" w:eastAsia="zh-CN" w:bidi="ar-SA"/>
        </w:rPr>
        <w:t>州（市）级应急避难场所作为区域性骨干支撑平台，是州（</w:t>
      </w:r>
      <w:r>
        <w:rPr>
          <w:rFonts w:hint="eastAsia" w:ascii="Times New Roman" w:hAnsi="Times New Roman" w:eastAsia="方正仿宋简体" w:cs="Times New Roman"/>
          <w:color w:val="000000"/>
          <w:kern w:val="2"/>
          <w:sz w:val="28"/>
          <w:szCs w:val="28"/>
          <w:highlight w:val="none"/>
          <w:lang w:val="en-US" w:eastAsia="zh-CN" w:bidi="ar-SA"/>
        </w:rPr>
        <w:t>市</w:t>
      </w:r>
      <w:r>
        <w:rPr>
          <w:rFonts w:hint="default" w:ascii="Times New Roman" w:hAnsi="Times New Roman" w:eastAsia="方正仿宋简体" w:cs="Times New Roman"/>
          <w:color w:val="000000"/>
          <w:kern w:val="2"/>
          <w:sz w:val="28"/>
          <w:szCs w:val="28"/>
          <w:highlight w:val="none"/>
          <w:lang w:val="en-US" w:eastAsia="zh-CN" w:bidi="ar-SA"/>
        </w:rPr>
        <w:t>）域内的应急枢纽，承担着</w:t>
      </w:r>
      <w:r>
        <w:rPr>
          <w:rFonts w:hint="eastAsia" w:ascii="Times New Roman" w:hAnsi="Times New Roman" w:eastAsia="方正仿宋简体" w:cs="Times New Roman"/>
          <w:color w:val="000000"/>
          <w:kern w:val="2"/>
          <w:sz w:val="28"/>
          <w:szCs w:val="28"/>
          <w:highlight w:val="none"/>
          <w:lang w:val="en-US" w:eastAsia="zh-CN" w:bidi="ar-SA"/>
        </w:rPr>
        <w:t>州</w:t>
      </w:r>
      <w:r>
        <w:rPr>
          <w:rFonts w:hint="default" w:ascii="Times New Roman" w:hAnsi="Times New Roman" w:eastAsia="方正仿宋简体" w:cs="Times New Roman"/>
          <w:color w:val="000000"/>
          <w:kern w:val="2"/>
          <w:sz w:val="28"/>
          <w:szCs w:val="28"/>
          <w:highlight w:val="none"/>
          <w:lang w:val="en-US" w:eastAsia="zh-CN" w:bidi="ar-SA"/>
        </w:rPr>
        <w:t>（</w:t>
      </w:r>
      <w:r>
        <w:rPr>
          <w:rFonts w:hint="eastAsia" w:ascii="Times New Roman" w:hAnsi="Times New Roman" w:eastAsia="方正仿宋简体" w:cs="Times New Roman"/>
          <w:color w:val="000000"/>
          <w:kern w:val="2"/>
          <w:sz w:val="28"/>
          <w:szCs w:val="28"/>
          <w:highlight w:val="none"/>
          <w:lang w:val="en-US" w:eastAsia="zh-CN" w:bidi="ar-SA"/>
        </w:rPr>
        <w:t>市</w:t>
      </w:r>
      <w:r>
        <w:rPr>
          <w:rFonts w:hint="default" w:ascii="Times New Roman" w:hAnsi="Times New Roman" w:eastAsia="方正仿宋简体" w:cs="Times New Roman"/>
          <w:color w:val="000000"/>
          <w:kern w:val="2"/>
          <w:sz w:val="28"/>
          <w:szCs w:val="28"/>
          <w:highlight w:val="none"/>
          <w:lang w:val="en-US" w:eastAsia="zh-CN" w:bidi="ar-SA"/>
        </w:rPr>
        <w:t>）重大灾害的救灾指挥调度、本行政区域内跨县协调、中长期避难安置、灾后过渡支持、区域物资中转等职责。</w:t>
      </w:r>
      <w:r>
        <w:rPr>
          <w:rFonts w:hint="eastAsia" w:ascii="Times New Roman" w:hAnsi="Times New Roman" w:eastAsia="方正仿宋简体" w:cs="Times New Roman"/>
          <w:color w:val="000000"/>
          <w:kern w:val="2"/>
          <w:sz w:val="28"/>
          <w:szCs w:val="28"/>
          <w:highlight w:val="none"/>
          <w:lang w:val="en-US" w:eastAsia="zh-CN" w:bidi="ar-SA"/>
        </w:rPr>
        <w:t>州</w:t>
      </w:r>
      <w:r>
        <w:rPr>
          <w:rFonts w:hint="default" w:ascii="Times New Roman" w:hAnsi="Times New Roman" w:eastAsia="方正仿宋简体" w:cs="Times New Roman"/>
          <w:color w:val="000000"/>
          <w:kern w:val="2"/>
          <w:sz w:val="28"/>
          <w:szCs w:val="28"/>
          <w:highlight w:val="none"/>
          <w:lang w:val="en-US" w:eastAsia="zh-CN" w:bidi="ar-SA"/>
        </w:rPr>
        <w:t>（</w:t>
      </w:r>
      <w:r>
        <w:rPr>
          <w:rFonts w:hint="eastAsia" w:ascii="Times New Roman" w:hAnsi="Times New Roman" w:eastAsia="方正仿宋简体" w:cs="Times New Roman"/>
          <w:color w:val="000000"/>
          <w:kern w:val="2"/>
          <w:sz w:val="28"/>
          <w:szCs w:val="28"/>
          <w:highlight w:val="none"/>
          <w:lang w:val="en-US" w:eastAsia="zh-CN" w:bidi="ar-SA"/>
        </w:rPr>
        <w:t>市</w:t>
      </w:r>
      <w:r>
        <w:rPr>
          <w:rFonts w:hint="default" w:ascii="Times New Roman" w:hAnsi="Times New Roman" w:eastAsia="方正仿宋简体" w:cs="Times New Roman"/>
          <w:color w:val="000000"/>
          <w:kern w:val="2"/>
          <w:sz w:val="28"/>
          <w:szCs w:val="28"/>
          <w:highlight w:val="none"/>
          <w:lang w:val="en-US" w:eastAsia="zh-CN" w:bidi="ar-SA"/>
        </w:rPr>
        <w:t>）级避难场所应为长期应急避难场所，重点适配州（市）级区域灾害类型多元的实际需求。</w:t>
      </w:r>
    </w:p>
    <w:p w14:paraId="2ED7C53D">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color w:val="000000"/>
          <w:kern w:val="2"/>
          <w:sz w:val="28"/>
          <w:szCs w:val="28"/>
          <w:highlight w:val="none"/>
          <w:lang w:val="en-US" w:eastAsia="zh-CN" w:bidi="ar-SA"/>
        </w:rPr>
        <w:t>县级避难场所是避难体系的实施单元，负责县域内的救灾指挥、紧急疏散、短（长）期安置、基本生活保障、物资发放以及医疗救护等多项功能。县级应急避难场所应具备短期及以上的安置能力。</w:t>
      </w:r>
    </w:p>
    <w:p w14:paraId="60279B37">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color w:val="000000"/>
          <w:kern w:val="2"/>
          <w:sz w:val="28"/>
          <w:szCs w:val="28"/>
          <w:highlight w:val="none"/>
          <w:lang w:val="en-US" w:eastAsia="zh-CN" w:bidi="ar-SA"/>
        </w:rPr>
        <w:t>乡镇（街道）级避难场所</w:t>
      </w:r>
      <w:r>
        <w:rPr>
          <w:rFonts w:hint="eastAsia" w:ascii="Times New Roman" w:hAnsi="Times New Roman" w:eastAsia="方正仿宋简体" w:cs="Times New Roman"/>
          <w:color w:val="000000"/>
          <w:kern w:val="2"/>
          <w:sz w:val="28"/>
          <w:szCs w:val="28"/>
          <w:highlight w:val="none"/>
          <w:lang w:val="en-US" w:eastAsia="zh-CN" w:bidi="ar-SA"/>
        </w:rPr>
        <w:t>是</w:t>
      </w:r>
      <w:r>
        <w:rPr>
          <w:rFonts w:hint="default" w:ascii="Times New Roman" w:hAnsi="Times New Roman" w:eastAsia="方正仿宋简体" w:cs="Times New Roman"/>
          <w:color w:val="000000"/>
          <w:kern w:val="2"/>
          <w:sz w:val="28"/>
          <w:szCs w:val="28"/>
          <w:highlight w:val="none"/>
          <w:lang w:val="en-US" w:eastAsia="zh-CN" w:bidi="ar-SA"/>
        </w:rPr>
        <w:t>应对灾害的快速响应单元，承担着长期安置、短期避难、人员集中疏散、基础医疗救助以及组织动员等功能。乡镇应急避难场所应实现长期、短期、紧急全时长覆盖，以适应灾害发生后各类避难需求。</w:t>
      </w:r>
    </w:p>
    <w:p w14:paraId="07F93B54">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color w:val="000000"/>
          <w:kern w:val="2"/>
          <w:sz w:val="28"/>
          <w:szCs w:val="28"/>
          <w:highlight w:val="none"/>
          <w:lang w:val="en-US" w:eastAsia="zh-CN" w:bidi="ar-SA"/>
        </w:rPr>
        <w:t>村级避难场所承担灾害初期的紧急避险、安置、信息传递、自救互救引导功能，应对村域内灾害，突出紧急性和可达性。村级应急避难场所以短期、紧急两类为主，适配村（社区）小范围、近距离的避难需求。</w:t>
      </w:r>
    </w:p>
    <w:p w14:paraId="1D860F3E">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Chars="200" w:right="0" w:rightChars="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（四）分区布局规划</w:t>
      </w:r>
    </w:p>
    <w:p w14:paraId="38735C18">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default" w:ascii="Times New Roman" w:hAnsi="Times New Roman" w:eastAsia="方正仿宋简体" w:cs="Times New Roman"/>
          <w:color w:val="000000"/>
          <w:kern w:val="2"/>
          <w:sz w:val="28"/>
          <w:szCs w:val="28"/>
          <w:highlight w:val="none"/>
          <w:lang w:val="en-US" w:eastAsia="zh-CN" w:bidi="ar-SA"/>
        </w:rPr>
        <w:t>云南省第一次全国自然灾害风险普查显示，</w:t>
      </w:r>
      <w:r>
        <w:rPr>
          <w:rFonts w:hint="eastAsia" w:ascii="Times New Roman" w:hAnsi="Times New Roman" w:eastAsia="方正仿宋简体" w:cs="Times New Roman"/>
          <w:color w:val="000000"/>
          <w:kern w:val="2"/>
          <w:sz w:val="28"/>
          <w:szCs w:val="28"/>
          <w:highlight w:val="none"/>
          <w:lang w:val="en-US" w:eastAsia="zh-CN" w:bidi="ar-SA"/>
        </w:rPr>
        <w:t>全</w:t>
      </w:r>
      <w:r>
        <w:rPr>
          <w:rFonts w:hint="default" w:ascii="Times New Roman" w:hAnsi="Times New Roman" w:eastAsia="方正仿宋简体" w:cs="Times New Roman"/>
          <w:color w:val="000000"/>
          <w:kern w:val="2"/>
          <w:sz w:val="28"/>
          <w:szCs w:val="28"/>
          <w:highlight w:val="none"/>
          <w:lang w:val="en-US" w:eastAsia="zh-CN" w:bidi="ar-SA"/>
        </w:rPr>
        <w:t>省自北向南可划分为四大自然灾害综合风险大区：滇西北高山峡谷地质－地震－森林火灾综合风险大区</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滇中北部及滇东北地质－地震－洪涝（洪水）灾害综合风险大区</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滇中及滇东南干旱－地震－洪涝灾害综合风险大区</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滇西及滇南岭谷地震－洪涝（洪水）－地质灾害综合风险大区。</w:t>
      </w:r>
    </w:p>
    <w:p w14:paraId="13250077">
      <w:pPr>
        <w:pStyle w:val="4"/>
        <w:keepNext w:val="0"/>
        <w:keepLines w:val="0"/>
        <w:pageBreakBefore w:val="0"/>
        <w:kinsoku/>
        <w:overflowPunct/>
        <w:topLinePunct w:val="0"/>
        <w:autoSpaceDE/>
        <w:autoSpaceDN/>
        <w:bidi w:val="0"/>
        <w:adjustRightInd/>
        <w:snapToGrid/>
        <w:spacing w:before="0" w:after="0" w:line="560" w:lineRule="exact"/>
        <w:ind w:left="0" w:leftChars="0" w:firstLine="422" w:firstLineChars="150"/>
        <w:textAlignment w:val="auto"/>
        <w:rPr>
          <w:rFonts w:hint="default" w:ascii="Times New Roman" w:hAnsi="Times New Roman" w:eastAsia="方正仿宋_GB2312" w:cs="Times New Roman"/>
          <w:color w:val="000000"/>
          <w:lang w:val="en-US" w:eastAsia="zh-CN"/>
        </w:rPr>
      </w:pPr>
      <w:r>
        <w:rPr>
          <w:rFonts w:hint="eastAsia" w:ascii="Times New Roman" w:hAnsi="Times New Roman" w:eastAsia="方正仿宋_GB2312" w:cs="Times New Roman"/>
          <w:color w:val="000000"/>
          <w:lang w:val="en-US" w:eastAsia="zh-CN"/>
        </w:rPr>
        <w:t xml:space="preserve">  1.</w:t>
      </w:r>
      <w:r>
        <w:rPr>
          <w:rFonts w:hint="default" w:ascii="Times New Roman" w:hAnsi="Times New Roman" w:eastAsia="方正仿宋_GB2312" w:cs="Times New Roman"/>
          <w:color w:val="000000"/>
          <w:lang w:val="en-US" w:eastAsia="zh-CN"/>
        </w:rPr>
        <w:t>滇西北高山峡谷地质－地震－森林火灾综合风险大区</w:t>
      </w:r>
    </w:p>
    <w:p w14:paraId="77C3B1A1">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eastAsia" w:ascii="Times New Roman" w:hAnsi="Times New Roman" w:eastAsia="方正仿宋简体" w:cs="Times New Roman"/>
          <w:color w:val="000000"/>
          <w:kern w:val="2"/>
          <w:sz w:val="28"/>
          <w:szCs w:val="28"/>
          <w:highlight w:val="none"/>
          <w:lang w:val="en-US" w:eastAsia="zh-CN" w:bidi="ar-SA"/>
        </w:rPr>
        <w:t>该区域</w:t>
      </w:r>
      <w:r>
        <w:rPr>
          <w:rFonts w:hint="default" w:ascii="Times New Roman" w:hAnsi="Times New Roman" w:eastAsia="方正仿宋简体" w:cs="Times New Roman"/>
          <w:color w:val="000000"/>
          <w:kern w:val="2"/>
          <w:sz w:val="28"/>
          <w:szCs w:val="28"/>
          <w:highlight w:val="none"/>
          <w:lang w:val="en-US" w:eastAsia="zh-CN" w:bidi="ar-SA"/>
        </w:rPr>
        <w:t>应急避难场所的规划建设以防范地震和地质灾害为核心，同时兼顾森林火灾、洪涝等灾害风险。场所布局需优先选择地势平缓、地质结构稳定的地块，</w:t>
      </w:r>
      <w:r>
        <w:rPr>
          <w:rFonts w:hint="eastAsia" w:ascii="Times New Roman" w:hAnsi="Times New Roman" w:eastAsia="方正仿宋简体" w:cs="Times New Roman"/>
          <w:color w:val="000000"/>
          <w:kern w:val="2"/>
          <w:sz w:val="28"/>
          <w:szCs w:val="28"/>
          <w:highlight w:val="none"/>
          <w:lang w:val="en-US" w:eastAsia="zh-CN" w:bidi="ar-SA"/>
        </w:rPr>
        <w:t>尽量</w:t>
      </w:r>
      <w:r>
        <w:rPr>
          <w:rFonts w:hint="default" w:ascii="Times New Roman" w:hAnsi="Times New Roman" w:eastAsia="方正仿宋简体" w:cs="Times New Roman"/>
          <w:color w:val="000000"/>
          <w:kern w:val="2"/>
          <w:sz w:val="28"/>
          <w:szCs w:val="28"/>
          <w:highlight w:val="none"/>
          <w:lang w:val="en-US" w:eastAsia="zh-CN" w:bidi="ar-SA"/>
        </w:rPr>
        <w:t>避开丽江</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剑川断裂、乔后断裂等活动断裂带</w:t>
      </w:r>
      <w:r>
        <w:rPr>
          <w:rFonts w:hint="eastAsia" w:ascii="Times New Roman" w:hAnsi="Times New Roman" w:eastAsia="方正仿宋简体" w:cs="Times New Roman"/>
          <w:color w:val="000000"/>
          <w:kern w:val="2"/>
          <w:sz w:val="28"/>
          <w:szCs w:val="28"/>
          <w:highlight w:val="none"/>
          <w:lang w:val="en-US" w:eastAsia="zh-CN" w:bidi="ar-SA"/>
        </w:rPr>
        <w:t>，严格避开</w:t>
      </w:r>
      <w:r>
        <w:rPr>
          <w:rFonts w:hint="default" w:ascii="Times New Roman" w:hAnsi="Times New Roman" w:eastAsia="方正仿宋简体" w:cs="Times New Roman"/>
          <w:color w:val="000000"/>
          <w:kern w:val="2"/>
          <w:sz w:val="28"/>
          <w:szCs w:val="28"/>
          <w:highlight w:val="none"/>
          <w:lang w:val="en-US" w:eastAsia="zh-CN" w:bidi="ar-SA"/>
        </w:rPr>
        <w:t>滑坡、泥石流</w:t>
      </w:r>
      <w:r>
        <w:rPr>
          <w:rFonts w:hint="eastAsia" w:ascii="Times New Roman" w:hAnsi="Times New Roman" w:eastAsia="方正仿宋简体" w:cs="Times New Roman"/>
          <w:color w:val="000000"/>
          <w:kern w:val="2"/>
          <w:sz w:val="28"/>
          <w:szCs w:val="28"/>
          <w:highlight w:val="none"/>
          <w:lang w:val="en-US" w:eastAsia="zh-CN" w:bidi="ar-SA"/>
        </w:rPr>
        <w:t>等地质灾害</w:t>
      </w:r>
      <w:r>
        <w:rPr>
          <w:rFonts w:hint="default" w:ascii="Times New Roman" w:hAnsi="Times New Roman" w:eastAsia="方正仿宋简体" w:cs="Times New Roman"/>
          <w:color w:val="000000"/>
          <w:kern w:val="2"/>
          <w:sz w:val="28"/>
          <w:szCs w:val="28"/>
          <w:highlight w:val="none"/>
          <w:lang w:val="en-US" w:eastAsia="zh-CN" w:bidi="ar-SA"/>
        </w:rPr>
        <w:t>易发区，若无法避让则需采取工程防治措施规避地震与地质灾害威胁；同时需与森林资源集中区保持安全距离或设置防火隔离带，应对冬季干旱引发的森林火灾风险；此外，结合区域耕地稀缺分散、相对高差超3000米且气候垂直地带差异显著的特点，应利用非耕地资源，依托交通干线布局以保障应急转移效率，并根据不同海拔区域的灾害风险程度分级设置，确保场所容量适配受威胁人口，满足差异化安置需求。</w:t>
      </w:r>
    </w:p>
    <w:p w14:paraId="4EE69E02">
      <w:pPr>
        <w:pStyle w:val="4"/>
        <w:keepNext w:val="0"/>
        <w:keepLines w:val="0"/>
        <w:pageBreakBefore w:val="0"/>
        <w:kinsoku/>
        <w:overflowPunct/>
        <w:topLinePunct w:val="0"/>
        <w:autoSpaceDE/>
        <w:autoSpaceDN/>
        <w:bidi w:val="0"/>
        <w:adjustRightInd/>
        <w:snapToGrid/>
        <w:spacing w:before="0" w:after="0" w:line="560" w:lineRule="exact"/>
        <w:ind w:left="0" w:leftChars="0" w:firstLine="422" w:firstLineChars="150"/>
        <w:textAlignment w:val="auto"/>
        <w:rPr>
          <w:rFonts w:hint="default" w:ascii="Times New Roman" w:hAnsi="Times New Roman" w:eastAsia="方正仿宋_GB2312" w:cs="Times New Roman"/>
          <w:color w:val="000000"/>
          <w:lang w:val="en-US" w:eastAsia="zh-CN"/>
        </w:rPr>
      </w:pPr>
      <w:r>
        <w:rPr>
          <w:rFonts w:hint="eastAsia" w:ascii="Times New Roman" w:hAnsi="Times New Roman" w:eastAsia="方正仿宋_GB2312" w:cs="Times New Roman"/>
          <w:color w:val="000000"/>
          <w:lang w:val="en-US" w:eastAsia="zh-CN"/>
        </w:rPr>
        <w:t xml:space="preserve">  2.</w:t>
      </w:r>
      <w:r>
        <w:rPr>
          <w:rFonts w:hint="default" w:ascii="Times New Roman" w:hAnsi="Times New Roman" w:eastAsia="方正仿宋_GB2312" w:cs="Times New Roman"/>
          <w:color w:val="000000"/>
          <w:lang w:val="en-US" w:eastAsia="zh-CN"/>
        </w:rPr>
        <w:t>滇中北部及滇东北地质－地震－洪涝（洪水）灾害综合风险大区</w:t>
      </w:r>
    </w:p>
    <w:p w14:paraId="4C1F0E9C">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eastAsia" w:ascii="Times New Roman" w:hAnsi="Times New Roman" w:eastAsia="方正仿宋简体" w:cs="Times New Roman"/>
          <w:color w:val="000000"/>
          <w:kern w:val="2"/>
          <w:sz w:val="28"/>
          <w:szCs w:val="28"/>
          <w:highlight w:val="none"/>
          <w:lang w:val="en-US" w:eastAsia="zh-CN" w:bidi="ar-SA"/>
        </w:rPr>
        <w:t>该区域</w:t>
      </w:r>
      <w:r>
        <w:rPr>
          <w:rFonts w:hint="default" w:ascii="Times New Roman" w:hAnsi="Times New Roman" w:eastAsia="方正仿宋简体" w:cs="Times New Roman"/>
          <w:color w:val="000000"/>
          <w:kern w:val="2"/>
          <w:sz w:val="28"/>
          <w:szCs w:val="28"/>
          <w:highlight w:val="none"/>
          <w:lang w:val="en-US" w:eastAsia="zh-CN" w:bidi="ar-SA"/>
        </w:rPr>
        <w:t>应急避难场所的规划建设以防范地震和地质灾害为核心，同时兼顾洪涝</w:t>
      </w:r>
      <w:r>
        <w:rPr>
          <w:rFonts w:hint="eastAsia" w:ascii="Times New Roman" w:hAnsi="Times New Roman" w:eastAsia="方正仿宋简体" w:cs="Times New Roman"/>
          <w:color w:val="000000"/>
          <w:kern w:val="2"/>
          <w:sz w:val="28"/>
          <w:szCs w:val="28"/>
          <w:highlight w:val="none"/>
          <w:lang w:val="en-US" w:eastAsia="zh-CN" w:bidi="ar-SA"/>
        </w:rPr>
        <w:t>（洪水）和生产安全事故</w:t>
      </w:r>
      <w:r>
        <w:rPr>
          <w:rFonts w:hint="default" w:ascii="Times New Roman" w:hAnsi="Times New Roman" w:eastAsia="方正仿宋简体" w:cs="Times New Roman"/>
          <w:color w:val="000000"/>
          <w:kern w:val="2"/>
          <w:sz w:val="28"/>
          <w:szCs w:val="28"/>
          <w:highlight w:val="none"/>
          <w:lang w:val="en-US" w:eastAsia="zh-CN" w:bidi="ar-SA"/>
        </w:rPr>
        <w:t>等灾害风险。场所布局需优先选择地势较高、远离河流洪水淹没区的地块，</w:t>
      </w:r>
      <w:r>
        <w:rPr>
          <w:rFonts w:hint="eastAsia" w:ascii="Times New Roman" w:hAnsi="Times New Roman" w:eastAsia="方正仿宋简体" w:cs="Times New Roman"/>
          <w:color w:val="000000"/>
          <w:kern w:val="2"/>
          <w:sz w:val="28"/>
          <w:szCs w:val="28"/>
          <w:highlight w:val="none"/>
          <w:lang w:val="en-US" w:eastAsia="zh-CN" w:bidi="ar-SA"/>
        </w:rPr>
        <w:t>尽量</w:t>
      </w:r>
      <w:r>
        <w:rPr>
          <w:rFonts w:hint="default" w:ascii="Times New Roman" w:hAnsi="Times New Roman" w:eastAsia="方正仿宋简体" w:cs="Times New Roman"/>
          <w:color w:val="000000"/>
          <w:kern w:val="2"/>
          <w:sz w:val="28"/>
          <w:szCs w:val="28"/>
          <w:highlight w:val="none"/>
          <w:lang w:val="en-US" w:eastAsia="zh-CN" w:bidi="ar-SA"/>
        </w:rPr>
        <w:t>避开小江断裂、普渡河断裂、绿汁江断裂等活动断裂带，</w:t>
      </w:r>
      <w:r>
        <w:rPr>
          <w:rFonts w:hint="eastAsia" w:ascii="Times New Roman" w:hAnsi="Times New Roman" w:eastAsia="方正仿宋简体" w:cs="Times New Roman"/>
          <w:color w:val="000000"/>
          <w:kern w:val="2"/>
          <w:sz w:val="28"/>
          <w:szCs w:val="28"/>
          <w:highlight w:val="none"/>
          <w:lang w:val="en-US" w:eastAsia="zh-CN" w:bidi="ar-SA"/>
        </w:rPr>
        <w:t>严格避开</w:t>
      </w:r>
      <w:r>
        <w:rPr>
          <w:rFonts w:hint="default" w:ascii="Times New Roman" w:hAnsi="Times New Roman" w:eastAsia="方正仿宋简体" w:cs="Times New Roman"/>
          <w:color w:val="000000"/>
          <w:kern w:val="2"/>
          <w:sz w:val="28"/>
          <w:szCs w:val="28"/>
          <w:highlight w:val="none"/>
          <w:lang w:val="en-US" w:eastAsia="zh-CN" w:bidi="ar-SA"/>
        </w:rPr>
        <w:t>以及滇东北高原峡谷区、哀牢山北段等岩体破碎、人类工程活动强烈的滑坡、泥石流易发区，同步规避地震、地质灾害与洪涝的叠加威胁；考虑到区域单点暴雨多发、气候垂直变化明显且山高谷深的特点，场所布局需兼顾分散性与交通可达性，依托干线道路覆盖不同地貌单元的受威胁区域，避免集中布局导致的次生风险，同时结合耕地与人口分布情况合理控制场所规模，确保容量适配各片区受灾害影响的人口数量，满足应急安置与物资调配需求。</w:t>
      </w:r>
    </w:p>
    <w:p w14:paraId="54C58718">
      <w:pPr>
        <w:pStyle w:val="4"/>
        <w:keepNext w:val="0"/>
        <w:keepLines w:val="0"/>
        <w:pageBreakBefore w:val="0"/>
        <w:kinsoku/>
        <w:overflowPunct/>
        <w:topLinePunct w:val="0"/>
        <w:autoSpaceDE/>
        <w:autoSpaceDN/>
        <w:bidi w:val="0"/>
        <w:adjustRightInd/>
        <w:snapToGrid/>
        <w:spacing w:before="0" w:after="0" w:line="560" w:lineRule="exact"/>
        <w:ind w:left="0" w:leftChars="0" w:firstLine="422" w:firstLineChars="150"/>
        <w:textAlignment w:val="auto"/>
        <w:rPr>
          <w:rFonts w:hint="default" w:ascii="Times New Roman" w:hAnsi="Times New Roman" w:eastAsia="方正仿宋_GB2312" w:cs="Times New Roman"/>
          <w:color w:val="000000"/>
          <w:lang w:val="en-US" w:eastAsia="zh-CN"/>
        </w:rPr>
      </w:pPr>
      <w:r>
        <w:rPr>
          <w:rFonts w:hint="eastAsia" w:ascii="Times New Roman" w:hAnsi="Times New Roman" w:eastAsia="方正仿宋_GB2312" w:cs="Times New Roman"/>
          <w:color w:val="000000"/>
          <w:lang w:val="en-US" w:eastAsia="zh-CN"/>
        </w:rPr>
        <w:t xml:space="preserve">  3.</w:t>
      </w:r>
      <w:r>
        <w:rPr>
          <w:rFonts w:hint="default" w:ascii="Times New Roman" w:hAnsi="Times New Roman" w:eastAsia="方正仿宋_GB2312" w:cs="Times New Roman"/>
          <w:color w:val="000000"/>
          <w:lang w:val="en-US" w:eastAsia="zh-CN"/>
        </w:rPr>
        <w:t>滇中及滇东南干旱－地震－洪涝灾害综合风险大区</w:t>
      </w:r>
    </w:p>
    <w:p w14:paraId="04198F5E">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eastAsia" w:ascii="Times New Roman" w:hAnsi="Times New Roman" w:eastAsia="方正仿宋简体" w:cs="Times New Roman"/>
          <w:color w:val="000000"/>
          <w:kern w:val="2"/>
          <w:sz w:val="28"/>
          <w:szCs w:val="28"/>
          <w:highlight w:val="none"/>
          <w:lang w:val="en-US" w:eastAsia="zh-CN" w:bidi="ar-SA"/>
        </w:rPr>
        <w:t>该区域</w:t>
      </w:r>
      <w:r>
        <w:rPr>
          <w:rFonts w:hint="default" w:ascii="Times New Roman" w:hAnsi="Times New Roman" w:eastAsia="方正仿宋简体" w:cs="Times New Roman"/>
          <w:color w:val="000000"/>
          <w:kern w:val="2"/>
          <w:sz w:val="28"/>
          <w:szCs w:val="28"/>
          <w:highlight w:val="none"/>
          <w:lang w:val="en-US" w:eastAsia="zh-CN" w:bidi="ar-SA"/>
        </w:rPr>
        <w:t>应急避难场所的规划建设以防范地震和</w:t>
      </w:r>
      <w:r>
        <w:rPr>
          <w:rFonts w:hint="eastAsia" w:ascii="Times New Roman" w:hAnsi="Times New Roman" w:eastAsia="方正仿宋简体" w:cs="Times New Roman"/>
          <w:color w:val="000000"/>
          <w:kern w:val="2"/>
          <w:sz w:val="28"/>
          <w:szCs w:val="28"/>
          <w:highlight w:val="none"/>
          <w:lang w:val="en-US" w:eastAsia="zh-CN" w:bidi="ar-SA"/>
        </w:rPr>
        <w:t>洪涝</w:t>
      </w:r>
      <w:r>
        <w:rPr>
          <w:rFonts w:hint="default" w:ascii="Times New Roman" w:hAnsi="Times New Roman" w:eastAsia="方正仿宋简体" w:cs="Times New Roman"/>
          <w:color w:val="000000"/>
          <w:kern w:val="2"/>
          <w:sz w:val="28"/>
          <w:szCs w:val="28"/>
          <w:highlight w:val="none"/>
          <w:lang w:val="en-US" w:eastAsia="zh-CN" w:bidi="ar-SA"/>
        </w:rPr>
        <w:t>灾害为核心，同时兼顾</w:t>
      </w:r>
      <w:r>
        <w:rPr>
          <w:rFonts w:hint="eastAsia" w:ascii="Times New Roman" w:hAnsi="Times New Roman" w:eastAsia="方正仿宋简体" w:cs="Times New Roman"/>
          <w:color w:val="000000"/>
          <w:kern w:val="2"/>
          <w:sz w:val="28"/>
          <w:szCs w:val="28"/>
          <w:highlight w:val="none"/>
          <w:lang w:val="en-US" w:eastAsia="zh-CN" w:bidi="ar-SA"/>
        </w:rPr>
        <w:t>生产安全事故和公共卫生事件</w:t>
      </w:r>
      <w:r>
        <w:rPr>
          <w:rFonts w:hint="default" w:ascii="Times New Roman" w:hAnsi="Times New Roman" w:eastAsia="方正仿宋简体" w:cs="Times New Roman"/>
          <w:color w:val="000000"/>
          <w:kern w:val="2"/>
          <w:sz w:val="28"/>
          <w:szCs w:val="28"/>
          <w:highlight w:val="none"/>
          <w:lang w:val="en-US" w:eastAsia="zh-CN" w:bidi="ar-SA"/>
        </w:rPr>
        <w:t>风险。场所布局需优先选择地形平缓、岩体稳定的地块，</w:t>
      </w:r>
      <w:r>
        <w:rPr>
          <w:rFonts w:hint="eastAsia" w:ascii="Times New Roman" w:hAnsi="Times New Roman" w:eastAsia="方正仿宋简体" w:cs="Times New Roman"/>
          <w:color w:val="000000"/>
          <w:kern w:val="2"/>
          <w:sz w:val="28"/>
          <w:szCs w:val="28"/>
          <w:highlight w:val="none"/>
          <w:lang w:val="en-US" w:eastAsia="zh-CN" w:bidi="ar-SA"/>
        </w:rPr>
        <w:t>尽量</w:t>
      </w:r>
      <w:r>
        <w:rPr>
          <w:rFonts w:hint="default" w:ascii="Times New Roman" w:hAnsi="Times New Roman" w:eastAsia="方正仿宋简体" w:cs="Times New Roman"/>
          <w:color w:val="000000"/>
          <w:kern w:val="2"/>
          <w:sz w:val="28"/>
          <w:szCs w:val="28"/>
          <w:highlight w:val="none"/>
          <w:lang w:val="en-US" w:eastAsia="zh-CN" w:bidi="ar-SA"/>
        </w:rPr>
        <w:t>避开曲靖－陆良断裂、小江断裂、哀牢山断裂等活动断裂带</w:t>
      </w:r>
      <w:r>
        <w:rPr>
          <w:rFonts w:hint="eastAsia" w:ascii="Times New Roman" w:hAnsi="Times New Roman" w:eastAsia="方正仿宋简体" w:cs="Times New Roman"/>
          <w:color w:val="000000"/>
          <w:kern w:val="2"/>
          <w:sz w:val="28"/>
          <w:szCs w:val="28"/>
          <w:highlight w:val="none"/>
          <w:lang w:val="en-US" w:eastAsia="zh-CN" w:bidi="ar-SA"/>
        </w:rPr>
        <w:t>，严格避开</w:t>
      </w:r>
      <w:r>
        <w:rPr>
          <w:rFonts w:hint="default" w:ascii="Times New Roman" w:hAnsi="Times New Roman" w:eastAsia="方正仿宋简体" w:cs="Times New Roman"/>
          <w:color w:val="000000"/>
          <w:kern w:val="2"/>
          <w:sz w:val="28"/>
          <w:szCs w:val="28"/>
          <w:highlight w:val="none"/>
          <w:lang w:val="en-US" w:eastAsia="zh-CN" w:bidi="ar-SA"/>
        </w:rPr>
        <w:t>变质岩体、软弱岩体分布区，同时远离南盘江、元江河谷洪水淹没区与河网密集的低洼地带以防范洪涝侵袭，还需避开喀斯特溶洞发育区防止地面塌陷次生风险；考虑到区域石漠化严重、地表水易下渗致干旱的特点，场所需就近衔接可靠水源地保障用水需求；结合地势西北高南低、地形以山地</w:t>
      </w:r>
      <w:r>
        <w:rPr>
          <w:rFonts w:hint="eastAsia" w:ascii="Times New Roman" w:hAnsi="Times New Roman" w:eastAsia="方正仿宋简体" w:cs="Times New Roman"/>
          <w:color w:val="000000"/>
          <w:kern w:val="2"/>
          <w:sz w:val="28"/>
          <w:szCs w:val="28"/>
          <w:highlight w:val="none"/>
          <w:lang w:val="en-US" w:eastAsia="zh-CN" w:bidi="ar-SA"/>
        </w:rPr>
        <w:t>－</w:t>
      </w:r>
      <w:r>
        <w:rPr>
          <w:rFonts w:hint="default" w:ascii="Times New Roman" w:hAnsi="Times New Roman" w:eastAsia="方正仿宋简体" w:cs="Times New Roman"/>
          <w:color w:val="000000"/>
          <w:kern w:val="2"/>
          <w:sz w:val="28"/>
          <w:szCs w:val="28"/>
          <w:highlight w:val="none"/>
          <w:lang w:val="en-US" w:eastAsia="zh-CN" w:bidi="ar-SA"/>
        </w:rPr>
        <w:t>河谷地为主及南北气候差异的特征，布局需依托干线道路覆盖不同地貌单元，兼顾分散性与可达性，避免集中布局的次生风险，并结合耕地分布与人口密度合理控制场所规模，确保容量适配各片区受地震、洪涝影响的人口数量，满足差异化应急安置与物资调配需求。</w:t>
      </w:r>
    </w:p>
    <w:p w14:paraId="0C00F4F6">
      <w:pPr>
        <w:pStyle w:val="4"/>
        <w:keepNext w:val="0"/>
        <w:keepLines w:val="0"/>
        <w:pageBreakBefore w:val="0"/>
        <w:kinsoku/>
        <w:overflowPunct/>
        <w:topLinePunct w:val="0"/>
        <w:autoSpaceDE/>
        <w:autoSpaceDN/>
        <w:bidi w:val="0"/>
        <w:adjustRightInd/>
        <w:snapToGrid/>
        <w:spacing w:before="0" w:after="0" w:line="560" w:lineRule="exact"/>
        <w:ind w:left="0" w:leftChars="0" w:firstLine="422" w:firstLineChars="150"/>
        <w:textAlignment w:val="auto"/>
        <w:rPr>
          <w:rFonts w:hint="default" w:ascii="Times New Roman" w:hAnsi="Times New Roman" w:eastAsia="方正仿宋_GB2312" w:cs="Times New Roman"/>
          <w:color w:val="000000"/>
          <w:lang w:val="en-US" w:eastAsia="zh-CN"/>
        </w:rPr>
      </w:pPr>
      <w:r>
        <w:rPr>
          <w:rFonts w:hint="eastAsia" w:ascii="Times New Roman" w:hAnsi="Times New Roman" w:eastAsia="方正仿宋_GB2312" w:cs="Times New Roman"/>
          <w:color w:val="000000"/>
          <w:lang w:val="en-US" w:eastAsia="zh-CN"/>
        </w:rPr>
        <w:t xml:space="preserve">  4.</w:t>
      </w:r>
      <w:r>
        <w:rPr>
          <w:rFonts w:hint="default" w:ascii="Times New Roman" w:hAnsi="Times New Roman" w:eastAsia="方正仿宋_GB2312" w:cs="Times New Roman"/>
          <w:color w:val="000000"/>
          <w:lang w:val="en-US" w:eastAsia="zh-CN"/>
        </w:rPr>
        <w:t>滇西及滇南岭谷地震－洪涝（洪水）－地质灾害综合风险大区</w:t>
      </w:r>
    </w:p>
    <w:p w14:paraId="13656D9B">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r>
        <w:rPr>
          <w:rFonts w:hint="eastAsia" w:ascii="Times New Roman" w:hAnsi="Times New Roman" w:eastAsia="方正仿宋简体" w:cs="Times New Roman"/>
          <w:color w:val="000000"/>
          <w:kern w:val="2"/>
          <w:sz w:val="28"/>
          <w:szCs w:val="28"/>
          <w:highlight w:val="none"/>
          <w:lang w:val="en-US" w:eastAsia="zh-CN" w:bidi="ar-SA"/>
        </w:rPr>
        <w:t>该区域</w:t>
      </w:r>
      <w:r>
        <w:rPr>
          <w:rFonts w:hint="default" w:ascii="Times New Roman" w:hAnsi="Times New Roman" w:eastAsia="方正仿宋简体" w:cs="Times New Roman"/>
          <w:color w:val="000000"/>
          <w:kern w:val="2"/>
          <w:sz w:val="28"/>
          <w:szCs w:val="28"/>
          <w:highlight w:val="none"/>
          <w:lang w:val="en-US" w:eastAsia="zh-CN" w:bidi="ar-SA"/>
        </w:rPr>
        <w:t>应急避难场所的规划建设以防范地震和</w:t>
      </w:r>
      <w:r>
        <w:rPr>
          <w:rFonts w:hint="eastAsia" w:ascii="Times New Roman" w:hAnsi="Times New Roman" w:eastAsia="方正仿宋简体" w:cs="Times New Roman"/>
          <w:color w:val="000000"/>
          <w:kern w:val="2"/>
          <w:sz w:val="28"/>
          <w:szCs w:val="28"/>
          <w:highlight w:val="none"/>
          <w:lang w:val="en-US" w:eastAsia="zh-CN" w:bidi="ar-SA"/>
        </w:rPr>
        <w:t>洪涝（洪水）</w:t>
      </w:r>
      <w:r>
        <w:rPr>
          <w:rFonts w:hint="default" w:ascii="Times New Roman" w:hAnsi="Times New Roman" w:eastAsia="方正仿宋简体" w:cs="Times New Roman"/>
          <w:color w:val="000000"/>
          <w:kern w:val="2"/>
          <w:sz w:val="28"/>
          <w:szCs w:val="28"/>
          <w:highlight w:val="none"/>
          <w:lang w:val="en-US" w:eastAsia="zh-CN" w:bidi="ar-SA"/>
        </w:rPr>
        <w:t>灾害为核心，同时兼顾</w:t>
      </w:r>
      <w:r>
        <w:rPr>
          <w:rFonts w:hint="eastAsia" w:ascii="Times New Roman" w:hAnsi="Times New Roman" w:eastAsia="方正仿宋简体" w:cs="Times New Roman"/>
          <w:color w:val="000000"/>
          <w:kern w:val="2"/>
          <w:sz w:val="28"/>
          <w:szCs w:val="28"/>
          <w:highlight w:val="none"/>
          <w:lang w:val="en-US" w:eastAsia="zh-CN" w:bidi="ar-SA"/>
        </w:rPr>
        <w:t>地质灾害和生产安全事故</w:t>
      </w:r>
      <w:r>
        <w:rPr>
          <w:rFonts w:hint="default" w:ascii="Times New Roman" w:hAnsi="Times New Roman" w:eastAsia="方正仿宋简体" w:cs="Times New Roman"/>
          <w:color w:val="000000"/>
          <w:kern w:val="2"/>
          <w:sz w:val="28"/>
          <w:szCs w:val="28"/>
          <w:highlight w:val="none"/>
          <w:lang w:val="en-US" w:eastAsia="zh-CN" w:bidi="ar-SA"/>
        </w:rPr>
        <w:t>风险。场所布局需优先选择地势较高、岩体完整稳定的地块，</w:t>
      </w:r>
      <w:r>
        <w:rPr>
          <w:rFonts w:hint="eastAsia" w:ascii="Times New Roman" w:hAnsi="Times New Roman" w:eastAsia="方正仿宋简体" w:cs="Times New Roman"/>
          <w:color w:val="000000"/>
          <w:kern w:val="2"/>
          <w:sz w:val="28"/>
          <w:szCs w:val="28"/>
          <w:highlight w:val="none"/>
          <w:lang w:val="en-US" w:eastAsia="zh-CN" w:bidi="ar-SA"/>
        </w:rPr>
        <w:t>尽量</w:t>
      </w:r>
      <w:r>
        <w:rPr>
          <w:rFonts w:hint="default" w:ascii="Times New Roman" w:hAnsi="Times New Roman" w:eastAsia="方正仿宋简体" w:cs="Times New Roman"/>
          <w:color w:val="000000"/>
          <w:kern w:val="2"/>
          <w:sz w:val="28"/>
          <w:szCs w:val="28"/>
          <w:highlight w:val="none"/>
          <w:lang w:val="en-US" w:eastAsia="zh-CN" w:bidi="ar-SA"/>
        </w:rPr>
        <w:t>避开澜沧江、阿墨江、把边江等活动断裂带及新构造运动强烈区域，规避地震高强度破坏风险，同时远离澜沧江、怒江等河流中下游的洪水淹没区与低洼地带，防范雨量集中引发的洪涝侵袭，避开高黎贡山、怒山等山脉周边深度切割的中山峡谷地貌区，尤其是花岗岩、片麻岩广布、风化壳深厚、自然斜坡稳定性差的泥石流易发区，防止地质灾害次生威胁；考虑到区域地势北高南低、地形起伏大的特点，场所布局需兼顾分散性与交通可达性，依托干线道路覆盖不同峡谷、河谷单元的受威胁区域，避免集中布局导致的多重损失，同时结合人口密度与耕地分布合理控制场所规模，配套建设简易排水设施应对降雨集中可能引发的场所内涝，确保容量适配各片区受灾害影响的人口数量，满足应急安置、物资调配与基本生活保障需求。</w:t>
      </w:r>
    </w:p>
    <w:p w14:paraId="6BB54858">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（五）应急通道规划</w:t>
      </w:r>
    </w:p>
    <w:p w14:paraId="7F8CAD80">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default" w:ascii="Times New Roman" w:hAnsi="Times New Roman" w:eastAsia="方正仿宋简体" w:cs="Times New Roman"/>
          <w:b w:val="0"/>
          <w:bCs w:val="0"/>
          <w:color w:val="000000"/>
          <w:sz w:val="28"/>
          <w:szCs w:val="28"/>
          <w:highlight w:val="none"/>
          <w:lang w:val="en-US" w:eastAsia="zh-CN"/>
        </w:rPr>
      </w:pPr>
      <w:r>
        <w:rPr>
          <w:rFonts w:hint="default" w:ascii="Times New Roman" w:hAnsi="Times New Roman" w:eastAsia="方正仿宋简体" w:cs="Times New Roman"/>
          <w:b w:val="0"/>
          <w:bCs w:val="0"/>
          <w:color w:val="000000"/>
          <w:sz w:val="28"/>
          <w:szCs w:val="28"/>
          <w:highlight w:val="none"/>
          <w:lang w:val="en-US" w:eastAsia="zh-CN"/>
        </w:rPr>
        <w:t>应急避难场所应设置2个及以上连接不同方向道路的出入口</w:t>
      </w:r>
      <w:r>
        <w:rPr>
          <w:rFonts w:hint="eastAsia" w:ascii="Times New Roman" w:hAnsi="Times New Roman" w:eastAsia="方正仿宋简体" w:cs="Times New Roman"/>
          <w:b w:val="0"/>
          <w:bCs w:val="0"/>
          <w:color w:val="000000"/>
          <w:sz w:val="28"/>
          <w:szCs w:val="28"/>
          <w:highlight w:val="none"/>
          <w:lang w:val="en-US" w:eastAsia="zh-CN"/>
        </w:rPr>
        <w:t>，</w:t>
      </w:r>
      <w:r>
        <w:rPr>
          <w:rFonts w:hint="default" w:ascii="Times New Roman" w:hAnsi="Times New Roman" w:eastAsia="方正仿宋简体" w:cs="Times New Roman"/>
          <w:b w:val="0"/>
          <w:bCs w:val="0"/>
          <w:color w:val="000000"/>
          <w:sz w:val="28"/>
          <w:szCs w:val="28"/>
          <w:highlight w:val="none"/>
          <w:lang w:val="en-US" w:eastAsia="zh-CN"/>
        </w:rPr>
        <w:t>连接出入口的主要通道应满足消防、安全疏散和物资运输、医疗救护等专用车辆通行要求以及 GB55037的防火宽度要求。受当地地形条件限制的高山峡谷地区的村（社区）级应急避难场所可设置1条或1条以上与外界相通的疏散道路</w:t>
      </w:r>
      <w:r>
        <w:rPr>
          <w:rFonts w:hint="eastAsia" w:ascii="Times New Roman" w:hAnsi="Times New Roman" w:eastAsia="方正仿宋简体" w:cs="Times New Roman"/>
          <w:b w:val="0"/>
          <w:bCs w:val="0"/>
          <w:color w:val="000000"/>
          <w:sz w:val="28"/>
          <w:szCs w:val="28"/>
          <w:highlight w:val="none"/>
          <w:lang w:val="en-US" w:eastAsia="zh-CN"/>
        </w:rPr>
        <w:t>，加强道路抗风险能力</w:t>
      </w:r>
      <w:r>
        <w:rPr>
          <w:rFonts w:hint="default" w:ascii="Times New Roman" w:hAnsi="Times New Roman" w:eastAsia="方正仿宋简体" w:cs="Times New Roman"/>
          <w:b w:val="0"/>
          <w:bCs w:val="0"/>
          <w:color w:val="000000"/>
          <w:sz w:val="28"/>
          <w:szCs w:val="28"/>
          <w:highlight w:val="none"/>
          <w:lang w:val="en-US" w:eastAsia="zh-CN"/>
        </w:rPr>
        <w:t>。</w:t>
      </w:r>
    </w:p>
    <w:p w14:paraId="1A610967">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outlineLvl w:val="2"/>
        <w:rPr>
          <w:rFonts w:hint="default" w:ascii="Times New Roman" w:hAnsi="Times New Roman" w:eastAsia="楷体" w:cs="Times New Roman"/>
          <w:b/>
          <w:bCs/>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（六）区域协同</w:t>
      </w:r>
    </w:p>
    <w:p w14:paraId="0086A12A">
      <w:pPr>
        <w:pStyle w:val="4"/>
        <w:spacing w:line="560" w:lineRule="exact"/>
        <w:ind w:firstLine="422" w:firstLineChars="150"/>
        <w:rPr>
          <w:rFonts w:hint="eastAsia" w:ascii="Times New Roman" w:hAnsi="Times New Roman" w:eastAsia="方正仿宋简体" w:cs="Times New Roman"/>
          <w:b w:val="0"/>
          <w:bCs w:val="0"/>
          <w:color w:val="000000"/>
          <w:sz w:val="28"/>
          <w:szCs w:val="28"/>
          <w:highlight w:val="none"/>
          <w:lang w:val="en-US" w:eastAsia="zh-CN"/>
        </w:rPr>
      </w:pPr>
      <w:bookmarkStart w:id="9" w:name="_Toc27950"/>
      <w:r>
        <w:rPr>
          <w:rFonts w:hint="eastAsia" w:ascii="Times New Roman" w:hAnsi="Times New Roman" w:eastAsia="方正仿宋_GB2312" w:cs="Times New Roman"/>
          <w:color w:val="000000"/>
          <w:lang w:val="en-US" w:eastAsia="zh-CN"/>
        </w:rPr>
        <w:t xml:space="preserve">  1.跨</w:t>
      </w:r>
      <w:bookmarkEnd w:id="9"/>
      <w:r>
        <w:rPr>
          <w:rFonts w:hint="eastAsia" w:ascii="Times New Roman" w:hAnsi="Times New Roman" w:eastAsia="方正仿宋_GB2312" w:cs="Times New Roman"/>
          <w:color w:val="000000"/>
          <w:lang w:val="en-US" w:eastAsia="zh-CN"/>
        </w:rPr>
        <w:t>境协同</w:t>
      </w:r>
    </w:p>
    <w:p w14:paraId="4BECEB7A">
      <w:pPr>
        <w:pStyle w:val="4"/>
        <w:spacing w:line="560" w:lineRule="exact"/>
        <w:ind w:firstLine="420" w:firstLineChars="150"/>
        <w:rPr>
          <w:rFonts w:hint="eastAsia" w:ascii="Times New Roman" w:hAnsi="Times New Roman" w:eastAsia="方正仿宋简体" w:cs="Times New Roman"/>
          <w:b w:val="0"/>
          <w:bCs w:val="0"/>
          <w:color w:val="000000"/>
          <w:sz w:val="28"/>
          <w:szCs w:val="28"/>
          <w:highlight w:val="none"/>
          <w:lang w:val="en-US" w:eastAsia="zh-CN"/>
        </w:rPr>
      </w:pPr>
      <w:r>
        <w:rPr>
          <w:rFonts w:hint="eastAsia" w:ascii="Times New Roman" w:hAnsi="Times New Roman" w:eastAsia="方正仿宋简体" w:cs="Times New Roman"/>
          <w:b w:val="0"/>
          <w:bCs w:val="0"/>
          <w:color w:val="000000"/>
          <w:sz w:val="28"/>
          <w:szCs w:val="28"/>
          <w:highlight w:val="none"/>
          <w:lang w:val="en-US" w:eastAsia="zh-CN"/>
        </w:rPr>
        <w:t>聚焦全省沿边地区地震、洪涝（洪水）、地质灾害高发区，在沿边地区构建县</w:t>
      </w:r>
      <w:r>
        <w:rPr>
          <w:rFonts w:hint="default" w:ascii="Times New Roman" w:hAnsi="Times New Roman" w:eastAsia="方正仿宋简体" w:cs="Times New Roman"/>
          <w:color w:val="000000"/>
          <w:kern w:val="2"/>
          <w:sz w:val="28"/>
          <w:szCs w:val="28"/>
          <w:highlight w:val="none"/>
          <w:lang w:val="en-US" w:eastAsia="zh-CN" w:bidi="ar-SA"/>
        </w:rPr>
        <w:t>－</w:t>
      </w:r>
      <w:r>
        <w:rPr>
          <w:rFonts w:hint="eastAsia" w:ascii="Times New Roman" w:hAnsi="Times New Roman" w:eastAsia="方正仿宋简体" w:cs="Times New Roman"/>
          <w:b w:val="0"/>
          <w:bCs w:val="0"/>
          <w:color w:val="000000"/>
          <w:sz w:val="28"/>
          <w:szCs w:val="28"/>
          <w:highlight w:val="none"/>
          <w:lang w:val="en-US" w:eastAsia="zh-CN"/>
        </w:rPr>
        <w:t>乡镇</w:t>
      </w:r>
      <w:r>
        <w:rPr>
          <w:rFonts w:hint="default" w:ascii="Times New Roman" w:hAnsi="Times New Roman" w:eastAsia="方正仿宋简体" w:cs="Times New Roman"/>
          <w:color w:val="000000"/>
          <w:kern w:val="2"/>
          <w:sz w:val="28"/>
          <w:szCs w:val="28"/>
          <w:highlight w:val="none"/>
          <w:lang w:val="en-US" w:eastAsia="zh-CN" w:bidi="ar-SA"/>
        </w:rPr>
        <w:t>－</w:t>
      </w:r>
      <w:r>
        <w:rPr>
          <w:rFonts w:hint="eastAsia" w:ascii="Times New Roman" w:hAnsi="Times New Roman" w:eastAsia="方正仿宋简体" w:cs="Times New Roman"/>
          <w:b w:val="0"/>
          <w:bCs w:val="0"/>
          <w:color w:val="000000"/>
          <w:sz w:val="28"/>
          <w:szCs w:val="28"/>
          <w:highlight w:val="none"/>
          <w:lang w:val="en-US" w:eastAsia="zh-CN"/>
        </w:rPr>
        <w:t>村级应急避难场所协同布局，将全省边境重点场所纳入区域调度体系，重点强化河口、磨憨、瑞丽、天保等口岸城市（镇）的避难场所建设，升级改造边境避难场所设施配置，提升避难能力，</w:t>
      </w:r>
      <w:r>
        <w:rPr>
          <w:rFonts w:hint="eastAsia" w:ascii="Times New Roman" w:hAnsi="Times New Roman" w:eastAsia="方正仿宋简体" w:cs="Times New Roman"/>
          <w:color w:val="000000"/>
          <w:sz w:val="28"/>
          <w:szCs w:val="28"/>
          <w:highlight w:val="none"/>
          <w:lang w:val="en-US" w:eastAsia="zh-CN"/>
        </w:rPr>
        <w:t>推动中缅、中老、中越跨境应急通道建设。</w:t>
      </w:r>
    </w:p>
    <w:p w14:paraId="620EF860">
      <w:pPr>
        <w:pStyle w:val="4"/>
        <w:keepNext w:val="0"/>
        <w:keepLines w:val="0"/>
        <w:pageBreakBefore w:val="0"/>
        <w:kinsoku/>
        <w:overflowPunct/>
        <w:topLinePunct w:val="0"/>
        <w:autoSpaceDE/>
        <w:autoSpaceDN/>
        <w:bidi w:val="0"/>
        <w:adjustRightInd/>
        <w:snapToGrid/>
        <w:spacing w:before="0" w:after="0" w:line="560" w:lineRule="exact"/>
        <w:ind w:left="0" w:leftChars="0" w:firstLine="422" w:firstLineChars="150"/>
        <w:textAlignment w:val="auto"/>
        <w:rPr>
          <w:rFonts w:hint="eastAsia" w:ascii="Times New Roman" w:hAnsi="Times New Roman" w:eastAsia="方正仿宋_GB2312" w:cs="Times New Roman"/>
          <w:color w:val="000000"/>
          <w:lang w:val="en-US" w:eastAsia="zh-CN"/>
        </w:rPr>
      </w:pPr>
      <w:bookmarkStart w:id="10" w:name="_Toc32368"/>
      <w:r>
        <w:rPr>
          <w:rFonts w:hint="eastAsia" w:ascii="Times New Roman" w:hAnsi="Times New Roman" w:eastAsia="方正仿宋_GB2312" w:cs="Times New Roman"/>
          <w:color w:val="000000"/>
          <w:lang w:val="en-US" w:eastAsia="zh-CN"/>
        </w:rPr>
        <w:t xml:space="preserve">  2.跨省</w:t>
      </w:r>
      <w:bookmarkEnd w:id="10"/>
      <w:r>
        <w:rPr>
          <w:rFonts w:hint="eastAsia" w:ascii="Times New Roman" w:hAnsi="Times New Roman" w:eastAsia="方正仿宋_GB2312" w:cs="Times New Roman"/>
          <w:color w:val="000000"/>
          <w:lang w:val="en-US" w:eastAsia="zh-CN"/>
        </w:rPr>
        <w:t>协同</w:t>
      </w:r>
    </w:p>
    <w:p w14:paraId="49B7A155">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eastAsia" w:ascii="Times New Roman" w:hAnsi="Times New Roman" w:eastAsia="方正仿宋简体" w:cs="Times New Roman"/>
          <w:b w:val="0"/>
          <w:bCs w:val="0"/>
          <w:color w:val="000000"/>
          <w:sz w:val="28"/>
          <w:szCs w:val="28"/>
          <w:highlight w:val="none"/>
          <w:lang w:val="en-US" w:eastAsia="zh-CN"/>
        </w:rPr>
      </w:pPr>
      <w:bookmarkStart w:id="11" w:name="_Toc28046"/>
      <w:r>
        <w:rPr>
          <w:rFonts w:hint="eastAsia" w:ascii="Times New Roman" w:hAnsi="Times New Roman" w:eastAsia="方正仿宋简体" w:cs="Times New Roman"/>
          <w:b w:val="0"/>
          <w:bCs w:val="0"/>
          <w:color w:val="000000"/>
          <w:sz w:val="28"/>
          <w:szCs w:val="28"/>
          <w:highlight w:val="none"/>
          <w:lang w:val="en-US" w:eastAsia="zh-CN"/>
        </w:rPr>
        <w:t>加强与四川、贵州、广西、西藏等周边省份的空间协调，推动建立跨省（区）应急避难协作机制，共同推进区域应急避难场所体系建设，协同保障应急通道的建设与畅通，提升重大灾害下的跨区域联动响应能力。重点推进昭通与四川宜宾、凉山州，文山、红河与贵州黔西南、广西百色，迪庆香格里拉、丽江与四川甘孜、西藏昌都等在防灾减灾领域的空间协作。</w:t>
      </w:r>
    </w:p>
    <w:p w14:paraId="1004DFAA">
      <w:pPr>
        <w:pStyle w:val="4"/>
        <w:keepNext w:val="0"/>
        <w:keepLines w:val="0"/>
        <w:pageBreakBefore w:val="0"/>
        <w:kinsoku/>
        <w:overflowPunct/>
        <w:topLinePunct w:val="0"/>
        <w:autoSpaceDE/>
        <w:autoSpaceDN/>
        <w:bidi w:val="0"/>
        <w:adjustRightInd/>
        <w:snapToGrid/>
        <w:spacing w:before="0" w:after="0" w:line="560" w:lineRule="exact"/>
        <w:ind w:left="0" w:leftChars="0" w:firstLine="422" w:firstLineChars="150"/>
        <w:textAlignment w:val="auto"/>
        <w:rPr>
          <w:rFonts w:hint="eastAsia" w:ascii="Times New Roman" w:hAnsi="Times New Roman" w:eastAsia="方正仿宋_GB2312" w:cs="Times New Roman"/>
          <w:color w:val="000000"/>
          <w:lang w:val="en-US" w:eastAsia="zh-CN"/>
        </w:rPr>
      </w:pPr>
      <w:r>
        <w:rPr>
          <w:rFonts w:hint="eastAsia" w:ascii="Times New Roman" w:hAnsi="Times New Roman" w:eastAsia="方正仿宋_GB2312" w:cs="Times New Roman"/>
          <w:color w:val="000000"/>
          <w:lang w:val="en-US" w:eastAsia="zh-CN"/>
        </w:rPr>
        <w:t xml:space="preserve">  3.省内</w:t>
      </w:r>
      <w:bookmarkEnd w:id="11"/>
      <w:r>
        <w:rPr>
          <w:rFonts w:hint="eastAsia" w:ascii="Times New Roman" w:hAnsi="Times New Roman" w:eastAsia="方正仿宋_GB2312" w:cs="Times New Roman"/>
          <w:color w:val="000000"/>
          <w:lang w:val="en-US" w:eastAsia="zh-CN"/>
        </w:rPr>
        <w:t>协同</w:t>
      </w:r>
    </w:p>
    <w:p w14:paraId="5DD6B5D8">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both"/>
        <w:textAlignment w:val="auto"/>
        <w:rPr>
          <w:rFonts w:hint="eastAsia" w:ascii="Times New Roman" w:hAnsi="Times New Roman" w:eastAsia="方正仿宋简体" w:cs="Times New Roman"/>
          <w:b w:val="0"/>
          <w:bCs w:val="0"/>
          <w:color w:val="000000"/>
          <w:sz w:val="28"/>
          <w:szCs w:val="28"/>
          <w:highlight w:val="none"/>
          <w:lang w:val="en-US" w:eastAsia="zh-CN"/>
        </w:rPr>
      </w:pPr>
      <w:r>
        <w:rPr>
          <w:rFonts w:hint="eastAsia" w:ascii="Times New Roman" w:hAnsi="Times New Roman" w:eastAsia="方正仿宋简体" w:cs="Times New Roman"/>
          <w:b w:val="0"/>
          <w:bCs w:val="0"/>
          <w:color w:val="000000"/>
          <w:sz w:val="28"/>
          <w:szCs w:val="28"/>
          <w:highlight w:val="none"/>
          <w:lang w:val="en-US" w:eastAsia="zh-CN"/>
        </w:rPr>
        <w:t>构建“三核引领、五级联动”的省域内空间协同体系，依托昆明市、大理州、普洱市布局三个省级核心避难场所，辐射带动全省避难场所体系完善；结合四大风险区特点，实施差异化避难布局；强化州市交界、县乡毗邻地区的联合规划与资源共享，消除避难空白；贯通省、市、县、乡镇（街道）、村（社区）五级避难功能，推动公园、学校、体育场馆等公共空间改造，实现全域覆盖的应急避难网络。</w:t>
      </w:r>
    </w:p>
    <w:p w14:paraId="0FBBEF9C">
      <w:pPr>
        <w:pStyle w:val="3"/>
        <w:keepNext w:val="0"/>
        <w:keepLines w:val="0"/>
        <w:pageBreakBefore w:val="0"/>
        <w:kinsoku/>
        <w:overflowPunct/>
        <w:topLinePunct w:val="0"/>
        <w:autoSpaceDE/>
        <w:autoSpaceDN/>
        <w:bidi w:val="0"/>
        <w:adjustRightInd/>
        <w:snapToGrid/>
        <w:spacing w:line="580" w:lineRule="exact"/>
        <w:textAlignment w:val="auto"/>
        <w:rPr>
          <w:rFonts w:hint="default" w:ascii="Times New Roman" w:hAnsi="Times New Roman" w:cs="Times New Roman"/>
          <w:color w:val="000000"/>
        </w:rPr>
      </w:pPr>
      <w:bookmarkStart w:id="12" w:name="_Toc32636"/>
      <w:r>
        <w:rPr>
          <w:rFonts w:hint="eastAsia" w:ascii="Times New Roman" w:hAnsi="Times New Roman" w:cs="Times New Roman"/>
          <w:color w:val="000000"/>
          <w:lang w:val="en-US" w:eastAsia="zh-CN"/>
        </w:rPr>
        <w:t xml:space="preserve">        八</w:t>
      </w:r>
      <w:r>
        <w:rPr>
          <w:rFonts w:hint="default" w:ascii="Times New Roman" w:hAnsi="Times New Roman" w:cs="Times New Roman"/>
          <w:color w:val="000000"/>
        </w:rPr>
        <w:t>、实施安排</w:t>
      </w:r>
      <w:bookmarkEnd w:id="12"/>
    </w:p>
    <w:p w14:paraId="7917B439">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outlineLvl w:val="2"/>
        <w:rPr>
          <w:rFonts w:hint="default" w:ascii="Times New Roman" w:hAnsi="Times New Roman" w:eastAsia="方正楷体_GBK" w:cs="Times New Roman"/>
          <w:b w:val="0"/>
          <w:bCs w:val="0"/>
          <w:color w:val="000000"/>
          <w:kern w:val="2"/>
          <w:sz w:val="28"/>
          <w:szCs w:val="28"/>
          <w:highlight w:val="none"/>
          <w:lang w:val="en-US" w:eastAsia="zh-CN" w:bidi="ar-SA"/>
        </w:rPr>
      </w:pPr>
      <w:r>
        <w:rPr>
          <w:rFonts w:hint="default" w:ascii="Times New Roman" w:hAnsi="Times New Roman" w:eastAsia="方正楷体_GBK" w:cs="Times New Roman"/>
          <w:b w:val="0"/>
          <w:bCs w:val="0"/>
          <w:color w:val="000000"/>
          <w:kern w:val="2"/>
          <w:sz w:val="28"/>
          <w:szCs w:val="28"/>
          <w:highlight w:val="none"/>
          <w:lang w:val="en-US" w:eastAsia="zh-CN" w:bidi="ar-SA"/>
        </w:rPr>
        <w:t>（一）规划编制（2024—2026年）</w:t>
      </w:r>
    </w:p>
    <w:p w14:paraId="7D5A7E71">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rPr>
          <w:rFonts w:hint="default" w:ascii="Times New Roman" w:hAnsi="Times New Roman" w:eastAsia="方正仿宋简体" w:cs="Times New Roman"/>
          <w:color w:val="000000"/>
          <w:sz w:val="28"/>
          <w:szCs w:val="28"/>
          <w:highlight w:val="none"/>
          <w:lang w:val="en-US" w:eastAsia="zh-CN"/>
        </w:rPr>
      </w:pPr>
      <w:r>
        <w:rPr>
          <w:rFonts w:hint="default" w:ascii="Times New Roman" w:hAnsi="Times New Roman" w:eastAsia="方正仿宋简体" w:cs="Times New Roman"/>
          <w:color w:val="000000"/>
          <w:sz w:val="28"/>
          <w:szCs w:val="28"/>
          <w:highlight w:val="none"/>
          <w:lang w:val="en-US" w:eastAsia="zh-CN"/>
        </w:rPr>
        <w:t>全面完成州（市）和县（市、区）应急避难场所专项规划编制。2026年6月底前，完成全省16个州（市）级应急避难场所专项规划编制及审批；2026年12月底前，完成全部县（市、区）级应急避难场所专项规划编制及审批。完成专项规划数据库质检及备案，纳入国土空间规划</w:t>
      </w:r>
      <w:r>
        <w:rPr>
          <w:rFonts w:hint="eastAsia" w:ascii="Times New Roman" w:hAnsi="Times New Roman" w:eastAsia="方正仿宋简体" w:cs="Times New Roman"/>
          <w:color w:val="000000"/>
          <w:sz w:val="28"/>
          <w:szCs w:val="28"/>
          <w:highlight w:val="none"/>
          <w:lang w:val="en-US" w:eastAsia="zh-CN"/>
        </w:rPr>
        <w:t>“</w:t>
      </w:r>
      <w:r>
        <w:rPr>
          <w:rFonts w:hint="default" w:ascii="Times New Roman" w:hAnsi="Times New Roman" w:eastAsia="方正仿宋简体" w:cs="Times New Roman"/>
          <w:color w:val="000000"/>
          <w:sz w:val="28"/>
          <w:szCs w:val="28"/>
          <w:highlight w:val="none"/>
          <w:lang w:val="en-US" w:eastAsia="zh-CN"/>
        </w:rPr>
        <w:t>一张图</w:t>
      </w:r>
      <w:r>
        <w:rPr>
          <w:rFonts w:hint="eastAsia" w:ascii="Times New Roman" w:hAnsi="Times New Roman" w:eastAsia="方正仿宋简体" w:cs="Times New Roman"/>
          <w:color w:val="000000"/>
          <w:sz w:val="28"/>
          <w:szCs w:val="28"/>
          <w:highlight w:val="none"/>
          <w:lang w:val="en-US" w:eastAsia="zh-CN"/>
        </w:rPr>
        <w:t>”</w:t>
      </w:r>
      <w:r>
        <w:rPr>
          <w:rFonts w:hint="default" w:ascii="Times New Roman" w:hAnsi="Times New Roman" w:eastAsia="方正仿宋简体" w:cs="Times New Roman"/>
          <w:color w:val="000000"/>
          <w:sz w:val="28"/>
          <w:szCs w:val="28"/>
          <w:highlight w:val="none"/>
          <w:lang w:val="en-US" w:eastAsia="zh-CN"/>
        </w:rPr>
        <w:t>系统管理。
</w:t>
      </w:r>
    </w:p>
    <w:p w14:paraId="7789BEFE">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outlineLvl w:val="2"/>
        <w:rPr>
          <w:rFonts w:hint="default" w:ascii="Times New Roman" w:hAnsi="Times New Roman" w:eastAsia="方正楷体_GBK" w:cs="Times New Roman"/>
          <w:b w:val="0"/>
          <w:bCs w:val="0"/>
          <w:color w:val="000000"/>
          <w:kern w:val="2"/>
          <w:sz w:val="28"/>
          <w:szCs w:val="28"/>
          <w:highlight w:val="none"/>
          <w:lang w:val="en-US" w:eastAsia="zh-CN" w:bidi="ar-SA"/>
        </w:rPr>
      </w:pPr>
      <w:r>
        <w:rPr>
          <w:rFonts w:hint="default" w:ascii="Times New Roman" w:hAnsi="Times New Roman" w:eastAsia="方正楷体_GBK" w:cs="Times New Roman"/>
          <w:b w:val="0"/>
          <w:bCs w:val="0"/>
          <w:color w:val="000000"/>
          <w:kern w:val="2"/>
          <w:sz w:val="28"/>
          <w:szCs w:val="28"/>
          <w:highlight w:val="none"/>
          <w:lang w:val="en-US" w:eastAsia="zh-CN" w:bidi="ar-SA"/>
        </w:rPr>
        <w:t>（二）调查评估认定（2024—2035年）</w:t>
      </w:r>
    </w:p>
    <w:p w14:paraId="7E385E32">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rPr>
          <w:rFonts w:hint="default" w:ascii="Times New Roman" w:hAnsi="Times New Roman" w:eastAsia="方正仿宋简体" w:cs="Times New Roman"/>
          <w:color w:val="000000"/>
          <w:sz w:val="28"/>
          <w:szCs w:val="28"/>
          <w:highlight w:val="none"/>
          <w:lang w:val="en-US" w:eastAsia="zh-CN"/>
        </w:rPr>
      </w:pPr>
      <w:r>
        <w:rPr>
          <w:rFonts w:hint="default" w:ascii="Times New Roman" w:hAnsi="Times New Roman" w:eastAsia="方正仿宋简体" w:cs="Times New Roman"/>
          <w:color w:val="000000"/>
          <w:sz w:val="28"/>
          <w:szCs w:val="28"/>
          <w:highlight w:val="none"/>
          <w:lang w:val="en-US" w:eastAsia="zh-CN"/>
        </w:rPr>
        <w:t>以需求为导向，组织开展全省应急避难场所资源调查、避难场所资源评估及存量避难场所认定工作。成立相应工作组，成员包括但不限于管理部门、管理单位、运维单位（含委托的第三方）以及行业专家。避难场所资源调查根据调查目的，结合已有国土调查、自然灾害综合风险普查等成果，明确避难场所资源分类，并根据调查范围、对象，确定调查内容和调查方法，形成调查成果。场所评估工作根据调查成果清单，结合实际需求，细化评估内容</w:t>
      </w:r>
      <w:r>
        <w:rPr>
          <w:rFonts w:hint="eastAsia" w:ascii="Times New Roman" w:hAnsi="Times New Roman" w:eastAsia="方正仿宋简体" w:cs="Times New Roman"/>
          <w:color w:val="000000"/>
          <w:sz w:val="28"/>
          <w:szCs w:val="28"/>
          <w:highlight w:val="none"/>
          <w:lang w:val="en-US" w:eastAsia="zh-CN"/>
        </w:rPr>
        <w:t>、</w:t>
      </w:r>
      <w:r>
        <w:rPr>
          <w:rFonts w:hint="default" w:ascii="Times New Roman" w:hAnsi="Times New Roman" w:eastAsia="方正仿宋简体" w:cs="Times New Roman"/>
          <w:color w:val="000000"/>
          <w:sz w:val="28"/>
          <w:szCs w:val="28"/>
          <w:highlight w:val="none"/>
          <w:lang w:val="en-US" w:eastAsia="zh-CN"/>
        </w:rPr>
        <w:t>指标及方法，得出评估结果。存量避难场所认定在资源评估的基础上，确定认定方法及要求，确定存量场所级别及类型的认定结论。</w:t>
      </w:r>
    </w:p>
    <w:p w14:paraId="1004DB45">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outlineLvl w:val="2"/>
        <w:rPr>
          <w:rFonts w:hint="default" w:ascii="Times New Roman" w:hAnsi="Times New Roman" w:eastAsia="方正楷体_GBK" w:cs="Times New Roman"/>
          <w:b w:val="0"/>
          <w:bCs w:val="0"/>
          <w:color w:val="000000"/>
          <w:kern w:val="2"/>
          <w:sz w:val="28"/>
          <w:szCs w:val="28"/>
          <w:highlight w:val="none"/>
          <w:lang w:val="en-US" w:eastAsia="zh-CN" w:bidi="ar-SA"/>
        </w:rPr>
      </w:pPr>
      <w:r>
        <w:rPr>
          <w:rFonts w:hint="default" w:ascii="Times New Roman" w:hAnsi="Times New Roman" w:eastAsia="方正楷体_GBK" w:cs="Times New Roman"/>
          <w:b w:val="0"/>
          <w:bCs w:val="0"/>
          <w:color w:val="000000"/>
          <w:kern w:val="2"/>
          <w:sz w:val="28"/>
          <w:szCs w:val="28"/>
          <w:highlight w:val="none"/>
          <w:lang w:val="en-US" w:eastAsia="zh-CN" w:bidi="ar-SA"/>
        </w:rPr>
        <w:t>（三）试点建设（2024—2028年）</w:t>
      </w:r>
    </w:p>
    <w:p w14:paraId="6437B682">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rPr>
          <w:rFonts w:hint="default" w:ascii="Times New Roman" w:hAnsi="Times New Roman" w:eastAsia="方正仿宋简体" w:cs="Times New Roman"/>
          <w:color w:val="000000"/>
          <w:sz w:val="28"/>
          <w:szCs w:val="28"/>
          <w:highlight w:val="none"/>
          <w:lang w:val="en-US" w:eastAsia="zh-CN"/>
        </w:rPr>
      </w:pPr>
      <w:r>
        <w:rPr>
          <w:rFonts w:hint="default" w:ascii="Times New Roman" w:hAnsi="Times New Roman" w:eastAsia="方正仿宋简体" w:cs="Times New Roman"/>
          <w:color w:val="000000"/>
          <w:sz w:val="28"/>
          <w:szCs w:val="28"/>
          <w:highlight w:val="none"/>
          <w:lang w:val="en-US" w:eastAsia="zh-CN"/>
        </w:rPr>
        <w:t>2028年底以前，开展各级应急避难场所试点建设，各地要根据区域风险和城乡特点，统筹相关资源和经费，因地制宜开展应急避难场所建设试点及推广。</w:t>
      </w:r>
    </w:p>
    <w:p w14:paraId="325DB184">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outlineLvl w:val="2"/>
        <w:rPr>
          <w:rFonts w:hint="default" w:ascii="Times New Roman" w:hAnsi="Times New Roman" w:eastAsia="楷体" w:cs="Times New Roman"/>
          <w:b/>
          <w:bCs/>
          <w:color w:val="000000"/>
          <w:kern w:val="2"/>
          <w:sz w:val="28"/>
          <w:szCs w:val="28"/>
          <w:highlight w:val="none"/>
          <w:lang w:val="en-US" w:eastAsia="zh-CN" w:bidi="ar-SA"/>
        </w:rPr>
      </w:pPr>
      <w:r>
        <w:rPr>
          <w:rFonts w:hint="default" w:ascii="Times New Roman" w:hAnsi="Times New Roman" w:eastAsia="方正楷体_GBK" w:cs="Times New Roman"/>
          <w:b w:val="0"/>
          <w:bCs w:val="0"/>
          <w:color w:val="000000"/>
          <w:kern w:val="2"/>
          <w:sz w:val="28"/>
          <w:szCs w:val="28"/>
          <w:highlight w:val="none"/>
          <w:lang w:val="en-US" w:eastAsia="zh-CN" w:bidi="ar-SA"/>
        </w:rPr>
        <w:t>（四）场所建设（2024—2035年）</w:t>
      </w:r>
    </w:p>
    <w:p w14:paraId="2ACD964C">
      <w:pPr>
        <w:keepNext w:val="0"/>
        <w:keepLines w:val="0"/>
        <w:pageBreakBefore w:val="0"/>
        <w:widowControl w:val="0"/>
        <w:kinsoku/>
        <w:wordWrap w:val="0"/>
        <w:overflowPunct/>
        <w:topLinePunct w:val="0"/>
        <w:autoSpaceDE/>
        <w:autoSpaceDN/>
        <w:bidi w:val="0"/>
        <w:adjustRightInd/>
        <w:snapToGrid/>
        <w:spacing w:line="580" w:lineRule="exact"/>
        <w:ind w:right="0" w:rightChars="0" w:firstLine="560" w:firstLineChars="200"/>
        <w:jc w:val="both"/>
        <w:textAlignment w:val="auto"/>
        <w:rPr>
          <w:rFonts w:hint="eastAsia" w:ascii="Times New Roman" w:hAnsi="Times New Roman" w:eastAsia="方正仿宋简体" w:cs="Times New Roman"/>
          <w:color w:val="000000"/>
          <w:sz w:val="28"/>
          <w:szCs w:val="28"/>
          <w:highlight w:val="none"/>
          <w:lang w:val="en-US" w:eastAsia="zh-CN"/>
        </w:rPr>
      </w:pPr>
      <w:r>
        <w:rPr>
          <w:rFonts w:hint="eastAsia" w:ascii="Times New Roman" w:hAnsi="Times New Roman" w:eastAsia="方正仿宋简体" w:cs="Times New Roman"/>
          <w:color w:val="000000"/>
          <w:sz w:val="28"/>
          <w:szCs w:val="28"/>
          <w:highlight w:val="none"/>
          <w:lang w:val="en-US" w:eastAsia="zh-CN"/>
        </w:rPr>
        <w:t>在地震、地质灾害、洪涝等高风险区域优先建设应急避难场所，加强农村地区、边境地区和高海拔地区应急避难场所建设，实现乡镇级、村级应急避难场所全覆盖。依托公共建筑及场地空间功能与改造场所预设的应急避难功能、可使用的有效避难面积、预计可容纳避难人数等目标的差距，根据功能需求和效果目标制定改造方案。改造内容一般包括工程结构加固、功能区划设与调整、设施设备和物资配置。提升现有场所功能，对现有应急避难场所进行升级改造，完善设施设备，提升服务能力。至2030年，全省应急避难场所面积达到7978.39万平方米。至2035年，全省应急避难场所面积达到8605.06万平方米。</w:t>
      </w:r>
    </w:p>
    <w:p w14:paraId="2DC2AA83">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（五）制度建设</w:t>
      </w:r>
      <w:r>
        <w:rPr>
          <w:rFonts w:hint="default" w:ascii="Times New Roman" w:hAnsi="Times New Roman" w:eastAsia="方正楷体_GBK" w:cs="Times New Roman"/>
          <w:b w:val="0"/>
          <w:bCs w:val="0"/>
          <w:color w:val="000000"/>
          <w:kern w:val="2"/>
          <w:sz w:val="28"/>
          <w:szCs w:val="28"/>
          <w:highlight w:val="none"/>
          <w:lang w:val="en-US" w:eastAsia="zh-CN" w:bidi="ar-SA"/>
        </w:rPr>
        <w:t>（2024—2035年）</w:t>
      </w:r>
    </w:p>
    <w:p w14:paraId="5F2D39E9">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rPr>
          <w:rFonts w:hint="default" w:ascii="Times New Roman" w:hAnsi="Times New Roman" w:eastAsia="方正仿宋简体" w:cs="Times New Roman"/>
          <w:color w:val="000000"/>
          <w:sz w:val="28"/>
          <w:szCs w:val="28"/>
          <w:highlight w:val="none"/>
          <w:lang w:val="en-US" w:eastAsia="zh-CN"/>
        </w:rPr>
      </w:pPr>
      <w:r>
        <w:rPr>
          <w:rFonts w:hint="eastAsia" w:ascii="Times New Roman" w:hAnsi="Times New Roman" w:eastAsia="方正仿宋简体" w:cs="Times New Roman"/>
          <w:color w:val="000000"/>
          <w:sz w:val="28"/>
          <w:szCs w:val="28"/>
          <w:highlight w:val="none"/>
          <w:lang w:val="en-US" w:eastAsia="zh-CN"/>
        </w:rPr>
        <w:t>依据《中华人民共和国突发事件应对法》《应急避难场所通用技术要求》《应急避难场所管护使用规范》等法规规范，构建系统化制度框架。制定管理办法，明确政府各部门的统筹监管职责与场所运营单位的日常管护及应急响应责任，规范场所设施设备、标识等定期检查维护标准，应急物资的轮换补充机制，明确场所应急启用的触发条件、人员分区域疏散引导流程、跨部门物资调配方案与协同联动细则，建立监督主体体系，明确定期检查频次、失职行为追责办法及奖励机制等。</w:t>
      </w:r>
    </w:p>
    <w:p w14:paraId="4C61BC99">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（六）规划宣</w:t>
      </w:r>
      <w:r>
        <w:rPr>
          <w:rFonts w:hint="default" w:ascii="Times New Roman" w:hAnsi="Times New Roman" w:eastAsia="方正楷体_GBK" w:cs="Times New Roman"/>
          <w:b w:val="0"/>
          <w:bCs w:val="0"/>
          <w:color w:val="000000"/>
          <w:kern w:val="2"/>
          <w:sz w:val="28"/>
          <w:szCs w:val="28"/>
          <w:highlight w:val="none"/>
          <w:lang w:val="en-US" w:eastAsia="zh-CN" w:bidi="ar-SA"/>
        </w:rPr>
        <w:t>贯（2024—2035年）</w:t>
      </w:r>
    </w:p>
    <w:p w14:paraId="788FABFF">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rPr>
          <w:rFonts w:hint="default" w:ascii="Times New Roman" w:hAnsi="Times New Roman" w:eastAsia="方正仿宋简体" w:cs="Times New Roman"/>
          <w:color w:val="000000"/>
          <w:sz w:val="28"/>
          <w:szCs w:val="28"/>
          <w:highlight w:val="none"/>
          <w:lang w:val="en-US" w:eastAsia="zh-CN"/>
        </w:rPr>
      </w:pPr>
      <w:r>
        <w:rPr>
          <w:rFonts w:hint="default" w:ascii="Times New Roman" w:hAnsi="Times New Roman" w:eastAsia="方正仿宋简体" w:cs="Times New Roman"/>
          <w:color w:val="000000"/>
          <w:sz w:val="28"/>
          <w:szCs w:val="28"/>
          <w:highlight w:val="none"/>
          <w:lang w:val="en-US" w:eastAsia="zh-CN"/>
        </w:rPr>
        <w:t>构建分层分类宣贯体系，通过政策解读会、专题培训等形式，明确规划落地责任分工与政策执行要求；针对企事业单位、社区（村），依托政务服务平台、社区宣传栏、</w:t>
      </w:r>
      <w:r>
        <w:rPr>
          <w:rFonts w:hint="eastAsia" w:ascii="Times New Roman" w:hAnsi="Times New Roman" w:eastAsia="方正仿宋简体" w:cs="Times New Roman"/>
          <w:color w:val="000000"/>
          <w:sz w:val="28"/>
          <w:szCs w:val="28"/>
          <w:highlight w:val="none"/>
          <w:lang w:val="en-US" w:eastAsia="zh-CN"/>
        </w:rPr>
        <w:t>公益</w:t>
      </w:r>
      <w:r>
        <w:rPr>
          <w:rFonts w:hint="default" w:ascii="Times New Roman" w:hAnsi="Times New Roman" w:eastAsia="方正仿宋简体" w:cs="Times New Roman"/>
          <w:color w:val="000000"/>
          <w:sz w:val="28"/>
          <w:szCs w:val="28"/>
          <w:highlight w:val="none"/>
          <w:lang w:val="en-US" w:eastAsia="zh-CN"/>
        </w:rPr>
        <w:t>培训等渠道，普及避难场所建设标准、日常管护义务及应急配合流程；针对公众，通过主流媒体、短视频平台、应急演练现场讲解等方式，发放政策手册、解读避难场所功能定位、疏散路线及应急避险操作规范，设立线上线下政策咨询窗口与意见反馈通道，及时回应公众疑问，确保政策宣贯覆盖全主体、贯穿全流程，推动规划落地与公众应急意识提升有机结合。</w:t>
      </w:r>
      <w:r>
        <w:rPr>
          <w:rFonts w:hint="eastAsia" w:ascii="Times New Roman" w:hAnsi="Times New Roman" w:eastAsia="方正仿宋简体" w:cs="Times New Roman"/>
          <w:color w:val="000000"/>
          <w:sz w:val="28"/>
          <w:szCs w:val="28"/>
          <w:highlight w:val="none"/>
          <w:lang w:val="en-US" w:eastAsia="zh-CN"/>
        </w:rPr>
        <w:t>通过应急演练，在模拟疏散、避难安置等环节中同步引导参与者熟悉应急避难场所的位置、功能分区及使用流程，直观宣贯专项规划。</w:t>
      </w:r>
    </w:p>
    <w:p w14:paraId="08D4A86F">
      <w:pPr>
        <w:pStyle w:val="3"/>
        <w:keepNext w:val="0"/>
        <w:keepLines w:val="0"/>
        <w:pageBreakBefore w:val="0"/>
        <w:kinsoku/>
        <w:overflowPunct/>
        <w:topLinePunct w:val="0"/>
        <w:autoSpaceDE/>
        <w:autoSpaceDN/>
        <w:bidi w:val="0"/>
        <w:adjustRightInd/>
        <w:snapToGrid/>
        <w:spacing w:line="580" w:lineRule="exact"/>
        <w:textAlignment w:val="auto"/>
        <w:rPr>
          <w:rFonts w:hint="default" w:ascii="Times New Roman" w:hAnsi="Times New Roman" w:cs="Times New Roman"/>
          <w:color w:val="000000"/>
        </w:rPr>
      </w:pPr>
      <w:bookmarkStart w:id="13" w:name="_Toc26201"/>
      <w:r>
        <w:rPr>
          <w:rFonts w:hint="eastAsia" w:ascii="Times New Roman" w:hAnsi="Times New Roman" w:cs="Times New Roman"/>
          <w:color w:val="000000"/>
          <w:lang w:val="en-US" w:eastAsia="zh-CN"/>
        </w:rPr>
        <w:t xml:space="preserve">        九</w:t>
      </w:r>
      <w:r>
        <w:rPr>
          <w:rFonts w:hint="default" w:ascii="Times New Roman" w:hAnsi="Times New Roman" w:cs="Times New Roman"/>
          <w:color w:val="000000"/>
        </w:rPr>
        <w:t>、保障措施</w:t>
      </w:r>
      <w:bookmarkEnd w:id="13"/>
    </w:p>
    <w:p w14:paraId="2884890B">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（一）组织保障</w:t>
      </w:r>
    </w:p>
    <w:p w14:paraId="439394BE">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rPr>
          <w:rFonts w:hint="default" w:ascii="Times New Roman" w:hAnsi="Times New Roman" w:eastAsia="方正仿宋简体" w:cs="Times New Roman"/>
          <w:color w:val="000000"/>
          <w:sz w:val="28"/>
          <w:szCs w:val="28"/>
          <w:highlight w:val="none"/>
          <w:lang w:val="en-US" w:eastAsia="zh-CN"/>
        </w:rPr>
      </w:pPr>
      <w:r>
        <w:rPr>
          <w:rFonts w:hint="eastAsia" w:ascii="Times New Roman" w:hAnsi="Times New Roman" w:eastAsia="方正仿宋简体" w:cs="Times New Roman"/>
          <w:color w:val="000000"/>
          <w:sz w:val="28"/>
          <w:szCs w:val="28"/>
          <w:highlight w:val="none"/>
          <w:lang w:val="en-US" w:eastAsia="zh-CN"/>
        </w:rPr>
        <w:t>各级</w:t>
      </w:r>
      <w:r>
        <w:rPr>
          <w:rFonts w:hint="default" w:ascii="Times New Roman" w:hAnsi="Times New Roman" w:eastAsia="方正仿宋简体" w:cs="Times New Roman"/>
          <w:color w:val="000000"/>
          <w:sz w:val="28"/>
          <w:szCs w:val="28"/>
          <w:highlight w:val="none"/>
          <w:lang w:val="en-US" w:eastAsia="zh-CN"/>
        </w:rPr>
        <w:t>人民政府将应急避难场所管理纳入重要议事日程，</w:t>
      </w:r>
      <w:r>
        <w:rPr>
          <w:rFonts w:hint="eastAsia" w:ascii="Times New Roman" w:hAnsi="Times New Roman" w:eastAsia="方正仿宋简体" w:cs="Times New Roman"/>
          <w:color w:val="000000"/>
          <w:sz w:val="28"/>
          <w:szCs w:val="28"/>
          <w:highlight w:val="none"/>
          <w:lang w:val="en-US" w:eastAsia="zh-CN"/>
        </w:rPr>
        <w:t>完善法律法规和相关制度建设，</w:t>
      </w:r>
      <w:r>
        <w:rPr>
          <w:rFonts w:hint="default" w:ascii="Times New Roman" w:hAnsi="Times New Roman" w:eastAsia="方正仿宋简体" w:cs="Times New Roman"/>
          <w:color w:val="000000"/>
          <w:sz w:val="28"/>
          <w:szCs w:val="28"/>
          <w:highlight w:val="none"/>
          <w:lang w:val="en-US" w:eastAsia="zh-CN"/>
        </w:rPr>
        <w:t>建立协调机制，解决重大问题，纳入公共服务体系与政府绩效考核。</w:t>
      </w:r>
      <w:r>
        <w:rPr>
          <w:rFonts w:hint="eastAsia" w:ascii="Times New Roman" w:hAnsi="Times New Roman" w:eastAsia="方正仿宋简体" w:cs="Times New Roman"/>
          <w:color w:val="000000"/>
          <w:sz w:val="28"/>
          <w:szCs w:val="28"/>
          <w:highlight w:val="none"/>
          <w:lang w:val="en-US" w:eastAsia="zh-CN"/>
        </w:rPr>
        <w:t>各部门</w:t>
      </w:r>
      <w:r>
        <w:rPr>
          <w:rFonts w:hint="default" w:ascii="Times New Roman" w:hAnsi="Times New Roman" w:eastAsia="方正仿宋简体" w:cs="Times New Roman"/>
          <w:color w:val="000000"/>
          <w:sz w:val="28"/>
          <w:szCs w:val="28"/>
          <w:highlight w:val="none"/>
          <w:lang w:val="en-US" w:eastAsia="zh-CN"/>
        </w:rPr>
        <w:t>应按职责分工，强化协同配合和行业指导，推动新建公共设施具备应急功能，提升防灾避险能力，共同推进避难场所的规划、建设、管护和使用。</w:t>
      </w:r>
    </w:p>
    <w:p w14:paraId="11479CA7">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outlineLvl w:val="2"/>
        <w:rPr>
          <w:rFonts w:hint="default" w:ascii="Times New Roman" w:hAnsi="Times New Roman" w:eastAsia="楷体" w:cs="Times New Roman"/>
          <w:b/>
          <w:bCs/>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（二）制度建设</w:t>
      </w:r>
    </w:p>
    <w:p w14:paraId="2005F475">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rPr>
          <w:rFonts w:hint="default" w:ascii="Times New Roman" w:hAnsi="Times New Roman" w:eastAsia="方正仿宋简体" w:cs="Times New Roman"/>
          <w:color w:val="000000"/>
          <w:sz w:val="28"/>
          <w:szCs w:val="28"/>
          <w:highlight w:val="none"/>
          <w:lang w:val="en-US" w:eastAsia="zh-CN"/>
        </w:rPr>
      </w:pPr>
      <w:r>
        <w:rPr>
          <w:rFonts w:hint="eastAsia" w:ascii="Times New Roman" w:hAnsi="Times New Roman" w:eastAsia="方正仿宋简体" w:cs="Times New Roman"/>
          <w:color w:val="000000"/>
          <w:sz w:val="28"/>
          <w:szCs w:val="28"/>
          <w:highlight w:val="none"/>
          <w:lang w:val="en-US" w:eastAsia="zh-CN"/>
        </w:rPr>
        <w:t>制定法律法规，建立健全应急避难场所全生命周期管理制度体系，明确“属地管理、分级负责、部门协同”的责任机制，落实管理单位。完善建设、运维、启用、评估等制度。制定平灾转换操作规程和启用预案，明确灾时响应流程与职责分工。常态化开展应急演练和综合评估，推动结果应用与考核激励，实现建设标准化、管理常态化、启用高效化，全面提升避难场所运行效能和灾害保障能力</w:t>
      </w:r>
      <w:r>
        <w:rPr>
          <w:rFonts w:hint="default" w:ascii="Times New Roman" w:hAnsi="Times New Roman" w:eastAsia="方正仿宋简体" w:cs="Times New Roman"/>
          <w:color w:val="000000"/>
          <w:sz w:val="28"/>
          <w:szCs w:val="28"/>
          <w:highlight w:val="none"/>
          <w:lang w:val="en-US" w:eastAsia="zh-CN"/>
        </w:rPr>
        <w:t>。</w:t>
      </w:r>
    </w:p>
    <w:p w14:paraId="6DEF1AA9">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（三）资金保障</w:t>
      </w:r>
    </w:p>
    <w:p w14:paraId="6A4D1875">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rPr>
          <w:rFonts w:hint="eastAsia" w:ascii="Times New Roman" w:hAnsi="Times New Roman" w:eastAsia="方正仿宋简体" w:cs="Times New Roman"/>
          <w:color w:val="000000"/>
          <w:sz w:val="28"/>
          <w:szCs w:val="28"/>
          <w:highlight w:val="none"/>
          <w:lang w:val="en-US" w:eastAsia="zh-CN"/>
        </w:rPr>
      </w:pPr>
      <w:r>
        <w:rPr>
          <w:rFonts w:hint="eastAsia" w:ascii="Times New Roman" w:hAnsi="Times New Roman" w:eastAsia="方正仿宋简体" w:cs="Times New Roman"/>
          <w:color w:val="000000"/>
          <w:sz w:val="28"/>
          <w:szCs w:val="28"/>
          <w:highlight w:val="none"/>
          <w:lang w:val="en-US" w:eastAsia="zh-CN"/>
        </w:rPr>
        <w:t>各地根据区域风险和城乡特点，统筹相关资源和经费，因地制宜开展应急避难场所建设试点及推广。以政府财政投入为主导，明确应急避难场所建设和管理的资金来源，完善应急避难场所资金投入机制，同时拓宽筹资渠道，建立健全多元化资金投入机制，积极争取中央财政专项规划建设资金投入，大力引导社会资本合理合规投入应急避难场所建设和管理。</w:t>
      </w:r>
    </w:p>
    <w:p w14:paraId="3073B82D">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（四）规划评估</w:t>
      </w:r>
    </w:p>
    <w:p w14:paraId="5B1035D8">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rPr>
          <w:rFonts w:hint="default" w:ascii="Times New Roman" w:hAnsi="Times New Roman" w:eastAsia="方正仿宋简体" w:cs="Times New Roman"/>
          <w:color w:val="000000"/>
          <w:sz w:val="28"/>
          <w:szCs w:val="28"/>
          <w:highlight w:val="none"/>
          <w:lang w:val="en-US" w:eastAsia="zh-CN"/>
        </w:rPr>
      </w:pPr>
      <w:r>
        <w:rPr>
          <w:rFonts w:hint="default" w:ascii="Times New Roman" w:hAnsi="Times New Roman" w:eastAsia="方正仿宋简体" w:cs="Times New Roman"/>
          <w:color w:val="000000"/>
          <w:sz w:val="28"/>
          <w:szCs w:val="28"/>
          <w:highlight w:val="none"/>
          <w:lang w:val="en-US" w:eastAsia="zh-CN"/>
        </w:rPr>
        <w:t>建立科学、动态的规划评估机制，对规划实施情况进行全过程、分阶段监测与评估。以5年为周期开展</w:t>
      </w:r>
      <w:r>
        <w:rPr>
          <w:rFonts w:hint="eastAsia" w:ascii="Times New Roman" w:hAnsi="Times New Roman" w:eastAsia="方正仿宋简体" w:cs="Times New Roman"/>
          <w:color w:val="000000"/>
          <w:sz w:val="28"/>
          <w:szCs w:val="28"/>
          <w:highlight w:val="none"/>
          <w:lang w:val="en-US" w:eastAsia="zh-CN"/>
        </w:rPr>
        <w:t>规划中期</w:t>
      </w:r>
      <w:r>
        <w:rPr>
          <w:rFonts w:hint="default" w:ascii="Times New Roman" w:hAnsi="Times New Roman" w:eastAsia="方正仿宋简体" w:cs="Times New Roman"/>
          <w:color w:val="000000"/>
          <w:sz w:val="28"/>
          <w:szCs w:val="28"/>
          <w:highlight w:val="none"/>
          <w:lang w:val="en-US" w:eastAsia="zh-CN"/>
        </w:rPr>
        <w:t>评估，重点围绕规划目标完成情况、避难场所建设覆盖率、设施达标率、布局合理性、管理运维成效及</w:t>
      </w:r>
      <w:r>
        <w:rPr>
          <w:rFonts w:hint="eastAsia" w:ascii="Times New Roman" w:hAnsi="Times New Roman" w:eastAsia="方正仿宋简体" w:cs="Times New Roman"/>
          <w:color w:val="000000"/>
          <w:sz w:val="28"/>
          <w:szCs w:val="28"/>
          <w:highlight w:val="none"/>
          <w:lang w:val="en-US" w:eastAsia="zh-CN"/>
        </w:rPr>
        <w:t>保障能力</w:t>
      </w:r>
      <w:r>
        <w:rPr>
          <w:rFonts w:hint="default" w:ascii="Times New Roman" w:hAnsi="Times New Roman" w:eastAsia="方正仿宋简体" w:cs="Times New Roman"/>
          <w:color w:val="000000"/>
          <w:sz w:val="28"/>
          <w:szCs w:val="28"/>
          <w:highlight w:val="none"/>
          <w:lang w:val="en-US" w:eastAsia="zh-CN"/>
        </w:rPr>
        <w:t>提升等方面进行量化分析</w:t>
      </w:r>
      <w:r>
        <w:rPr>
          <w:rFonts w:hint="eastAsia" w:ascii="Times New Roman" w:hAnsi="Times New Roman" w:eastAsia="方正仿宋简体" w:cs="Times New Roman"/>
          <w:color w:val="000000"/>
          <w:sz w:val="28"/>
          <w:szCs w:val="28"/>
          <w:highlight w:val="none"/>
          <w:lang w:val="en-US" w:eastAsia="zh-CN"/>
        </w:rPr>
        <w:t>，</w:t>
      </w:r>
      <w:r>
        <w:rPr>
          <w:rFonts w:hint="default" w:ascii="Times New Roman" w:hAnsi="Times New Roman" w:eastAsia="方正仿宋简体" w:cs="Times New Roman"/>
          <w:color w:val="000000"/>
          <w:sz w:val="28"/>
          <w:szCs w:val="28"/>
          <w:highlight w:val="none"/>
          <w:lang w:val="en-US" w:eastAsia="zh-CN"/>
        </w:rPr>
        <w:t>及时发现规划实施中的问题与短板，提出优化调整建议。评估结果作为规划修编、项目安排、资金投入和政策调整的重要依据。</w:t>
      </w:r>
    </w:p>
    <w:p w14:paraId="463AB478">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outlineLvl w:val="2"/>
        <w:rPr>
          <w:rFonts w:hint="eastAsia" w:ascii="方正楷体_GBK" w:hAnsi="方正楷体_GBK" w:eastAsia="方正楷体_GBK" w:cs="方正楷体_GBK"/>
          <w:b w:val="0"/>
          <w:bCs w:val="0"/>
          <w:color w:val="000000"/>
          <w:kern w:val="2"/>
          <w:sz w:val="28"/>
          <w:szCs w:val="28"/>
          <w:highlight w:val="none"/>
          <w:lang w:val="en-US" w:eastAsia="zh-CN" w:bidi="ar-SA"/>
        </w:rPr>
      </w:pPr>
      <w:r>
        <w:rPr>
          <w:rFonts w:hint="eastAsia" w:ascii="方正楷体_GBK" w:hAnsi="方正楷体_GBK" w:eastAsia="方正楷体_GBK" w:cs="方正楷体_GBK"/>
          <w:b w:val="0"/>
          <w:bCs w:val="0"/>
          <w:color w:val="000000"/>
          <w:kern w:val="2"/>
          <w:sz w:val="28"/>
          <w:szCs w:val="28"/>
          <w:highlight w:val="none"/>
          <w:lang w:val="en-US" w:eastAsia="zh-CN" w:bidi="ar-SA"/>
        </w:rPr>
        <w:t>（五）社会参与</w:t>
      </w:r>
    </w:p>
    <w:p w14:paraId="0EC9B4AF">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560" w:firstLineChars="200"/>
        <w:jc w:val="both"/>
        <w:textAlignment w:val="auto"/>
        <w:rPr>
          <w:rFonts w:hint="default" w:ascii="Times New Roman" w:hAnsi="Times New Roman" w:eastAsia="方正仿宋简体" w:cs="Times New Roman"/>
          <w:color w:val="000000"/>
          <w:sz w:val="28"/>
          <w:szCs w:val="28"/>
          <w:highlight w:val="none"/>
          <w:lang w:val="en-US" w:eastAsia="zh-CN"/>
        </w:rPr>
      </w:pPr>
      <w:r>
        <w:rPr>
          <w:rFonts w:hint="default" w:ascii="Times New Roman" w:hAnsi="Times New Roman" w:eastAsia="方正仿宋简体" w:cs="Times New Roman"/>
          <w:color w:val="000000"/>
          <w:sz w:val="28"/>
          <w:szCs w:val="28"/>
          <w:highlight w:val="none"/>
          <w:lang w:val="en-US" w:eastAsia="zh-CN"/>
        </w:rPr>
        <w:t>应通过广播、电视、互联网等方式，向社会公众公布应急避难场所位置、设施、功能、应急避难路线等信息，并定期组织开展应急避难场所宣传、培训和演练。推进应急避难知识普及，加强对公众的宣传教育工作，提高其对应急避难场所的认知和利用意识，培养其参与应急救援的自觉性和能动性。</w:t>
      </w:r>
    </w:p>
    <w:p w14:paraId="1E22BF01">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firstLine="420" w:firstLineChars="200"/>
        <w:jc w:val="both"/>
        <w:textAlignment w:val="auto"/>
        <w:rPr>
          <w:rFonts w:hint="default" w:ascii="Times New Roman" w:hAnsi="Times New Roman" w:eastAsia="方正仿宋简体" w:cs="Times New Roman"/>
          <w:color w:val="000000"/>
          <w:kern w:val="2"/>
          <w:sz w:val="28"/>
          <w:szCs w:val="28"/>
          <w:highlight w:val="none"/>
          <w:lang w:val="en-US" w:eastAsia="zh-CN" w:bidi="ar-SA"/>
        </w:rPr>
      </w:pPr>
      <w:bookmarkStart w:id="14" w:name="_Toc31305"/>
      <w:r>
        <w:rPr>
          <w:rFonts w:hint="eastAsia" w:ascii="Times New Roman" w:hAnsi="Times New Roman" w:cs="Times New Roman"/>
          <w:color w:val="000000"/>
          <w:lang w:val="en-US" w:eastAsia="zh-CN"/>
        </w:rPr>
        <w:t xml:space="preserve">   </w:t>
      </w:r>
      <w:bookmarkEnd w:id="14"/>
    </w:p>
    <w:p w14:paraId="1CA6BBD5"/>
    <w:sectPr>
      <w:footerReference r:id="rId3" w:type="default"/>
      <w:pgSz w:w="11906" w:h="16838"/>
      <w:pgMar w:top="1440" w:right="1440" w:bottom="1440" w:left="1440" w:header="708" w:footer="708" w:gutter="0"/>
      <w:pgNumType w:fmt="decimal" w:start="1"/>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56234D70-6379-4D68-BFD4-7C15752DB204}"/>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embedRegular r:id="rId2" w:fontKey="{C5178AE1-BAFA-4ADC-939F-6DB45D0F72E3}"/>
  </w:font>
  <w:font w:name="方正仿宋_GBK">
    <w:panose1 w:val="03000509000000000000"/>
    <w:charset w:val="86"/>
    <w:family w:val="auto"/>
    <w:pitch w:val="default"/>
    <w:sig w:usb0="00000001" w:usb1="080E0000" w:usb2="00000000" w:usb3="00000000" w:csb0="00040000" w:csb1="00000000"/>
    <w:embedRegular r:id="rId3" w:fontKey="{A19386DB-C2B4-4F2A-895C-F95CAB8B6ACE}"/>
  </w:font>
  <w:font w:name="方正公文小标宋">
    <w:altName w:val="方正小标宋_GBK"/>
    <w:panose1 w:val="02000500000000000000"/>
    <w:charset w:val="86"/>
    <w:family w:val="auto"/>
    <w:pitch w:val="default"/>
    <w:sig w:usb0="00000000" w:usb1="00000000" w:usb2="00000016" w:usb3="00000000" w:csb0="00040001" w:csb1="00000000"/>
  </w:font>
  <w:font w:name="方正楷体_GBK">
    <w:panose1 w:val="03000509000000000000"/>
    <w:charset w:val="86"/>
    <w:family w:val="auto"/>
    <w:pitch w:val="default"/>
    <w:sig w:usb0="00000001" w:usb1="080E0000" w:usb2="00000000" w:usb3="00000000" w:csb0="00040000" w:csb1="00000000"/>
    <w:embedRegular r:id="rId4" w:fontKey="{279659BB-D441-4DB6-B85E-556D1C06B6C5}"/>
  </w:font>
  <w:font w:name="方正仿宋简体">
    <w:panose1 w:val="02000000000000000000"/>
    <w:charset w:val="86"/>
    <w:family w:val="auto"/>
    <w:pitch w:val="default"/>
    <w:sig w:usb0="A00002BF" w:usb1="184F6CFA" w:usb2="00000012" w:usb3="00000000" w:csb0="00040001" w:csb1="00000000"/>
    <w:embedRegular r:id="rId5" w:fontKey="{6EA1FA30-F795-4A28-8C6B-C6ECDA7B563F}"/>
  </w:font>
  <w:font w:name="楷体">
    <w:panose1 w:val="02010609060101010101"/>
    <w:charset w:val="86"/>
    <w:family w:val="auto"/>
    <w:pitch w:val="default"/>
    <w:sig w:usb0="800002BF" w:usb1="38CF7CFA" w:usb2="00000016" w:usb3="00000000" w:csb0="00040001" w:csb1="00000000"/>
    <w:embedRegular r:id="rId6" w:fontKey="{E0CA5361-3B1E-4C27-ABEB-B851CD754358}"/>
  </w:font>
  <w:font w:name="方正仿宋_GB2312">
    <w:panose1 w:val="02000000000000000000"/>
    <w:charset w:val="86"/>
    <w:family w:val="auto"/>
    <w:pitch w:val="default"/>
    <w:sig w:usb0="A00002BF" w:usb1="184F6CFA" w:usb2="00000012" w:usb3="00000000" w:csb0="00040001" w:csb1="00000000"/>
    <w:embedRegular r:id="rId7" w:fontKey="{7894EA24-B791-4C4C-8423-9B24E46165B9}"/>
  </w:font>
  <w:font w:name="方正黑体_GBK">
    <w:panose1 w:val="03000509000000000000"/>
    <w:charset w:val="86"/>
    <w:family w:val="auto"/>
    <w:pitch w:val="default"/>
    <w:sig w:usb0="00000001" w:usb1="080E0000" w:usb2="00000000" w:usb3="00000000" w:csb0="00040000" w:csb1="00000000"/>
    <w:embedRegular r:id="rId8" w:fontKey="{4D3DC485-3200-4A0D-812F-8FEAFFF89816}"/>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F42DA7">
    <w:pPr>
      <w:pStyle w:val="7"/>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1EE5F39B">
                          <w:pPr>
                            <w:pStyle w:val="7"/>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v:fill on="f" focussize="0,0"/>
              <v:stroke on="f"/>
              <v:imagedata o:title=""/>
              <o:lock v:ext="edit" aspectratio="f"/>
              <v:textbox inset="0mm,0mm,0mm,0mm" style="mso-fit-shape-to-text:t;">
                <w:txbxContent>
                  <w:p w14:paraId="1EE5F39B">
                    <w:pPr>
                      <w:pStyle w:val="7"/>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842B05"/>
    <w:rsid w:val="001B7932"/>
    <w:rsid w:val="007A47C7"/>
    <w:rsid w:val="00C74BC7"/>
    <w:rsid w:val="011B04CB"/>
    <w:rsid w:val="022126EB"/>
    <w:rsid w:val="02304406"/>
    <w:rsid w:val="0239752D"/>
    <w:rsid w:val="023B15C9"/>
    <w:rsid w:val="03B1569D"/>
    <w:rsid w:val="03BF5681"/>
    <w:rsid w:val="03D5141F"/>
    <w:rsid w:val="04031CE6"/>
    <w:rsid w:val="04257102"/>
    <w:rsid w:val="04730F0C"/>
    <w:rsid w:val="04DA7C54"/>
    <w:rsid w:val="050D1E04"/>
    <w:rsid w:val="051D14A5"/>
    <w:rsid w:val="0540015D"/>
    <w:rsid w:val="057C0083"/>
    <w:rsid w:val="05AD416A"/>
    <w:rsid w:val="05C00209"/>
    <w:rsid w:val="05DA4FB0"/>
    <w:rsid w:val="0635231F"/>
    <w:rsid w:val="06BF259E"/>
    <w:rsid w:val="07236141"/>
    <w:rsid w:val="074C3239"/>
    <w:rsid w:val="07B61FB5"/>
    <w:rsid w:val="089C4D7B"/>
    <w:rsid w:val="089E0D6F"/>
    <w:rsid w:val="09A02EF2"/>
    <w:rsid w:val="09D4435F"/>
    <w:rsid w:val="0A62328F"/>
    <w:rsid w:val="0A724195"/>
    <w:rsid w:val="0A9927FB"/>
    <w:rsid w:val="0B2907CD"/>
    <w:rsid w:val="0BDA3132"/>
    <w:rsid w:val="0BDB6FA4"/>
    <w:rsid w:val="0BF619D4"/>
    <w:rsid w:val="0C833A46"/>
    <w:rsid w:val="0CF76387"/>
    <w:rsid w:val="0D854721"/>
    <w:rsid w:val="0E0A639A"/>
    <w:rsid w:val="0E432AD7"/>
    <w:rsid w:val="0E616644"/>
    <w:rsid w:val="0EA071BB"/>
    <w:rsid w:val="0EB5140A"/>
    <w:rsid w:val="0F8F4C7D"/>
    <w:rsid w:val="100B7305"/>
    <w:rsid w:val="10216E72"/>
    <w:rsid w:val="1057177D"/>
    <w:rsid w:val="10CE6E57"/>
    <w:rsid w:val="10D67B87"/>
    <w:rsid w:val="113F3479"/>
    <w:rsid w:val="115660B9"/>
    <w:rsid w:val="1180031A"/>
    <w:rsid w:val="11AD0F05"/>
    <w:rsid w:val="121E19BE"/>
    <w:rsid w:val="12676E96"/>
    <w:rsid w:val="12786D6D"/>
    <w:rsid w:val="135770E3"/>
    <w:rsid w:val="136510E1"/>
    <w:rsid w:val="137E7BE3"/>
    <w:rsid w:val="1398694A"/>
    <w:rsid w:val="13E26731"/>
    <w:rsid w:val="140B63D8"/>
    <w:rsid w:val="1423796B"/>
    <w:rsid w:val="14384EC6"/>
    <w:rsid w:val="14B14C50"/>
    <w:rsid w:val="15F14A14"/>
    <w:rsid w:val="164A3786"/>
    <w:rsid w:val="167E720B"/>
    <w:rsid w:val="16AD67A9"/>
    <w:rsid w:val="16CA6A04"/>
    <w:rsid w:val="175E3D60"/>
    <w:rsid w:val="18295234"/>
    <w:rsid w:val="185D0EF8"/>
    <w:rsid w:val="18616B1F"/>
    <w:rsid w:val="18955468"/>
    <w:rsid w:val="189779AC"/>
    <w:rsid w:val="18CA388F"/>
    <w:rsid w:val="18D82398"/>
    <w:rsid w:val="18FA29F1"/>
    <w:rsid w:val="19601618"/>
    <w:rsid w:val="19FF6254"/>
    <w:rsid w:val="1A3C4C9D"/>
    <w:rsid w:val="1A5E32DF"/>
    <w:rsid w:val="1A9752FB"/>
    <w:rsid w:val="1B3F34AE"/>
    <w:rsid w:val="1B40358F"/>
    <w:rsid w:val="1B63376E"/>
    <w:rsid w:val="1C086C36"/>
    <w:rsid w:val="1C3E5127"/>
    <w:rsid w:val="1C806976"/>
    <w:rsid w:val="1C977B2E"/>
    <w:rsid w:val="1CCC33D0"/>
    <w:rsid w:val="1D48784E"/>
    <w:rsid w:val="1DFC28C2"/>
    <w:rsid w:val="1E353706"/>
    <w:rsid w:val="1E375C40"/>
    <w:rsid w:val="1EF26200"/>
    <w:rsid w:val="1EF91C65"/>
    <w:rsid w:val="1F122D82"/>
    <w:rsid w:val="1F49266F"/>
    <w:rsid w:val="1F9C49D9"/>
    <w:rsid w:val="1FEB440D"/>
    <w:rsid w:val="20436BA7"/>
    <w:rsid w:val="2086783C"/>
    <w:rsid w:val="20BE4DAA"/>
    <w:rsid w:val="219C5739"/>
    <w:rsid w:val="21AA5958"/>
    <w:rsid w:val="21D7395D"/>
    <w:rsid w:val="21F7437C"/>
    <w:rsid w:val="22A93250"/>
    <w:rsid w:val="22E5142D"/>
    <w:rsid w:val="23797881"/>
    <w:rsid w:val="2385100E"/>
    <w:rsid w:val="23A41AA6"/>
    <w:rsid w:val="23CB2AE2"/>
    <w:rsid w:val="23FF7A2F"/>
    <w:rsid w:val="24127851"/>
    <w:rsid w:val="25640F22"/>
    <w:rsid w:val="25F47A86"/>
    <w:rsid w:val="25FB20FC"/>
    <w:rsid w:val="268F6368"/>
    <w:rsid w:val="27114D63"/>
    <w:rsid w:val="27A32E7F"/>
    <w:rsid w:val="27FC2285"/>
    <w:rsid w:val="284A14E6"/>
    <w:rsid w:val="291F0524"/>
    <w:rsid w:val="296A00B1"/>
    <w:rsid w:val="29AE2BA1"/>
    <w:rsid w:val="29C42C90"/>
    <w:rsid w:val="2A190077"/>
    <w:rsid w:val="2A944B0E"/>
    <w:rsid w:val="2B415A12"/>
    <w:rsid w:val="2B5A38E2"/>
    <w:rsid w:val="2B5E04CE"/>
    <w:rsid w:val="2BE1291B"/>
    <w:rsid w:val="2C347336"/>
    <w:rsid w:val="2C480BCA"/>
    <w:rsid w:val="2CC8091A"/>
    <w:rsid w:val="2D2F2051"/>
    <w:rsid w:val="2D492FD0"/>
    <w:rsid w:val="2E2659E4"/>
    <w:rsid w:val="2E7A7AEA"/>
    <w:rsid w:val="2E9D2BB5"/>
    <w:rsid w:val="2EDB40E1"/>
    <w:rsid w:val="2FB23CBD"/>
    <w:rsid w:val="2FD2540F"/>
    <w:rsid w:val="30303C28"/>
    <w:rsid w:val="303C5266"/>
    <w:rsid w:val="309A0272"/>
    <w:rsid w:val="31743775"/>
    <w:rsid w:val="319F68F4"/>
    <w:rsid w:val="32064FEB"/>
    <w:rsid w:val="323916CF"/>
    <w:rsid w:val="32481C48"/>
    <w:rsid w:val="326572A7"/>
    <w:rsid w:val="3291393F"/>
    <w:rsid w:val="32E955D2"/>
    <w:rsid w:val="3311099D"/>
    <w:rsid w:val="33256200"/>
    <w:rsid w:val="334540C5"/>
    <w:rsid w:val="33473F51"/>
    <w:rsid w:val="337D0373"/>
    <w:rsid w:val="338D722B"/>
    <w:rsid w:val="339A3C7F"/>
    <w:rsid w:val="339F383F"/>
    <w:rsid w:val="34436819"/>
    <w:rsid w:val="3474327E"/>
    <w:rsid w:val="34E7458D"/>
    <w:rsid w:val="34F80983"/>
    <w:rsid w:val="35367E26"/>
    <w:rsid w:val="35E35D24"/>
    <w:rsid w:val="35EB79CF"/>
    <w:rsid w:val="363717E3"/>
    <w:rsid w:val="364865F0"/>
    <w:rsid w:val="36862FAB"/>
    <w:rsid w:val="3703767C"/>
    <w:rsid w:val="37147882"/>
    <w:rsid w:val="37A6451D"/>
    <w:rsid w:val="37F95A23"/>
    <w:rsid w:val="38CA791C"/>
    <w:rsid w:val="38DF0F84"/>
    <w:rsid w:val="391723C3"/>
    <w:rsid w:val="391B7BFC"/>
    <w:rsid w:val="3A051AD0"/>
    <w:rsid w:val="3A181D5F"/>
    <w:rsid w:val="3A1E5668"/>
    <w:rsid w:val="3B721E4F"/>
    <w:rsid w:val="3BF378C1"/>
    <w:rsid w:val="3D4202FC"/>
    <w:rsid w:val="3DA87077"/>
    <w:rsid w:val="3DF64344"/>
    <w:rsid w:val="3E077402"/>
    <w:rsid w:val="3E197A8F"/>
    <w:rsid w:val="3E2F0D1E"/>
    <w:rsid w:val="3E390DE4"/>
    <w:rsid w:val="3E3C6A92"/>
    <w:rsid w:val="3E7D33B2"/>
    <w:rsid w:val="3E7D38E5"/>
    <w:rsid w:val="3EC071DA"/>
    <w:rsid w:val="3F3159CE"/>
    <w:rsid w:val="403C6BA8"/>
    <w:rsid w:val="430F1C4F"/>
    <w:rsid w:val="432C00CB"/>
    <w:rsid w:val="43624617"/>
    <w:rsid w:val="438E12FC"/>
    <w:rsid w:val="43D95954"/>
    <w:rsid w:val="43FD322F"/>
    <w:rsid w:val="44045862"/>
    <w:rsid w:val="44335DBA"/>
    <w:rsid w:val="44B63ECB"/>
    <w:rsid w:val="44EB711D"/>
    <w:rsid w:val="450671F5"/>
    <w:rsid w:val="456C3385"/>
    <w:rsid w:val="456D2780"/>
    <w:rsid w:val="45AA2F2C"/>
    <w:rsid w:val="45CE7426"/>
    <w:rsid w:val="46817D77"/>
    <w:rsid w:val="46AB0986"/>
    <w:rsid w:val="47097E4C"/>
    <w:rsid w:val="47CC09E2"/>
    <w:rsid w:val="47D56408"/>
    <w:rsid w:val="481532A8"/>
    <w:rsid w:val="482D43FC"/>
    <w:rsid w:val="48646920"/>
    <w:rsid w:val="488F4B06"/>
    <w:rsid w:val="48EE4DC1"/>
    <w:rsid w:val="490D5E88"/>
    <w:rsid w:val="49540487"/>
    <w:rsid w:val="49595EF6"/>
    <w:rsid w:val="49E93BAD"/>
    <w:rsid w:val="4A3378F4"/>
    <w:rsid w:val="4A3B64EC"/>
    <w:rsid w:val="4A494400"/>
    <w:rsid w:val="4AD20EFB"/>
    <w:rsid w:val="4AF42591"/>
    <w:rsid w:val="4B10680C"/>
    <w:rsid w:val="4B462E7C"/>
    <w:rsid w:val="4B5478BD"/>
    <w:rsid w:val="4B835D29"/>
    <w:rsid w:val="4BF1403D"/>
    <w:rsid w:val="4BF3005D"/>
    <w:rsid w:val="4D856FCB"/>
    <w:rsid w:val="4E044448"/>
    <w:rsid w:val="4EC85D58"/>
    <w:rsid w:val="4F1A0075"/>
    <w:rsid w:val="4F2C201C"/>
    <w:rsid w:val="4FDC07CD"/>
    <w:rsid w:val="503A58E7"/>
    <w:rsid w:val="505A7568"/>
    <w:rsid w:val="50842B05"/>
    <w:rsid w:val="50C6593E"/>
    <w:rsid w:val="50F47762"/>
    <w:rsid w:val="516A0255"/>
    <w:rsid w:val="51E54ADE"/>
    <w:rsid w:val="52037B49"/>
    <w:rsid w:val="52050B8F"/>
    <w:rsid w:val="52467058"/>
    <w:rsid w:val="524B5C49"/>
    <w:rsid w:val="526D3677"/>
    <w:rsid w:val="529F4E9B"/>
    <w:rsid w:val="52E8739F"/>
    <w:rsid w:val="536B7406"/>
    <w:rsid w:val="53C86535"/>
    <w:rsid w:val="54976C4B"/>
    <w:rsid w:val="54C52267"/>
    <w:rsid w:val="54CF6424"/>
    <w:rsid w:val="54DC3D13"/>
    <w:rsid w:val="54FB11E8"/>
    <w:rsid w:val="56210C1D"/>
    <w:rsid w:val="56326793"/>
    <w:rsid w:val="56C40C2F"/>
    <w:rsid w:val="572E16FC"/>
    <w:rsid w:val="57321082"/>
    <w:rsid w:val="576A4458"/>
    <w:rsid w:val="57D237B9"/>
    <w:rsid w:val="58B41244"/>
    <w:rsid w:val="58B75B62"/>
    <w:rsid w:val="58BA3695"/>
    <w:rsid w:val="593A584D"/>
    <w:rsid w:val="594154D2"/>
    <w:rsid w:val="59503200"/>
    <w:rsid w:val="59957B60"/>
    <w:rsid w:val="59DD1339"/>
    <w:rsid w:val="5A2F77A1"/>
    <w:rsid w:val="5A761D9E"/>
    <w:rsid w:val="5B0F33D4"/>
    <w:rsid w:val="5B8E215A"/>
    <w:rsid w:val="5BAC2E9B"/>
    <w:rsid w:val="5BE82AFB"/>
    <w:rsid w:val="5C376142"/>
    <w:rsid w:val="5C5A41B8"/>
    <w:rsid w:val="5D3C5A49"/>
    <w:rsid w:val="5D65626D"/>
    <w:rsid w:val="5D863933"/>
    <w:rsid w:val="5D8863D2"/>
    <w:rsid w:val="5DBF627A"/>
    <w:rsid w:val="5E5E3EDA"/>
    <w:rsid w:val="5E717691"/>
    <w:rsid w:val="5EE601D7"/>
    <w:rsid w:val="5F4F7C48"/>
    <w:rsid w:val="5F5E19EE"/>
    <w:rsid w:val="5F9A24EE"/>
    <w:rsid w:val="5FFC1C44"/>
    <w:rsid w:val="60735D0A"/>
    <w:rsid w:val="607D6644"/>
    <w:rsid w:val="609A0DF0"/>
    <w:rsid w:val="60CF59DB"/>
    <w:rsid w:val="60E46184"/>
    <w:rsid w:val="61430D80"/>
    <w:rsid w:val="61834E9E"/>
    <w:rsid w:val="61A8250E"/>
    <w:rsid w:val="61B779DD"/>
    <w:rsid w:val="6274609D"/>
    <w:rsid w:val="627E7605"/>
    <w:rsid w:val="633D2524"/>
    <w:rsid w:val="6340542F"/>
    <w:rsid w:val="63513248"/>
    <w:rsid w:val="643A4137"/>
    <w:rsid w:val="64E65D7C"/>
    <w:rsid w:val="659C7441"/>
    <w:rsid w:val="668C38D8"/>
    <w:rsid w:val="67267B78"/>
    <w:rsid w:val="67854E2A"/>
    <w:rsid w:val="67FB2920"/>
    <w:rsid w:val="681E4916"/>
    <w:rsid w:val="691A3632"/>
    <w:rsid w:val="69B4010B"/>
    <w:rsid w:val="69E13BAA"/>
    <w:rsid w:val="69E51513"/>
    <w:rsid w:val="6A527D4F"/>
    <w:rsid w:val="6ABF392C"/>
    <w:rsid w:val="6B541907"/>
    <w:rsid w:val="6B595BDD"/>
    <w:rsid w:val="6BC431B7"/>
    <w:rsid w:val="6C794DFE"/>
    <w:rsid w:val="6C962A4D"/>
    <w:rsid w:val="6C9E0C9F"/>
    <w:rsid w:val="6CE96E46"/>
    <w:rsid w:val="6D2846C9"/>
    <w:rsid w:val="6E053DBD"/>
    <w:rsid w:val="6E4B225C"/>
    <w:rsid w:val="6EEE451A"/>
    <w:rsid w:val="6F326E58"/>
    <w:rsid w:val="6F3C0B24"/>
    <w:rsid w:val="6F5934C4"/>
    <w:rsid w:val="6FBE1FD2"/>
    <w:rsid w:val="6FD80481"/>
    <w:rsid w:val="70D678E2"/>
    <w:rsid w:val="70DE7EBC"/>
    <w:rsid w:val="70ED7FE3"/>
    <w:rsid w:val="710937D8"/>
    <w:rsid w:val="726C7788"/>
    <w:rsid w:val="727275EF"/>
    <w:rsid w:val="72813003"/>
    <w:rsid w:val="728661BD"/>
    <w:rsid w:val="729C1D30"/>
    <w:rsid w:val="73504BDF"/>
    <w:rsid w:val="736253FB"/>
    <w:rsid w:val="736A4915"/>
    <w:rsid w:val="736C240E"/>
    <w:rsid w:val="73B50536"/>
    <w:rsid w:val="74251BDC"/>
    <w:rsid w:val="745F52E7"/>
    <w:rsid w:val="74731122"/>
    <w:rsid w:val="74EC3198"/>
    <w:rsid w:val="75087284"/>
    <w:rsid w:val="75AC58E1"/>
    <w:rsid w:val="75DA6217"/>
    <w:rsid w:val="75E25FA2"/>
    <w:rsid w:val="75F05766"/>
    <w:rsid w:val="762363F6"/>
    <w:rsid w:val="763A0BF6"/>
    <w:rsid w:val="76A449F6"/>
    <w:rsid w:val="77281FEE"/>
    <w:rsid w:val="77DA5AC6"/>
    <w:rsid w:val="77EB4D7B"/>
    <w:rsid w:val="78025003"/>
    <w:rsid w:val="78326E6A"/>
    <w:rsid w:val="78471FE1"/>
    <w:rsid w:val="78A57B7B"/>
    <w:rsid w:val="78A84346"/>
    <w:rsid w:val="79C52305"/>
    <w:rsid w:val="7A450DFE"/>
    <w:rsid w:val="7AB95ABF"/>
    <w:rsid w:val="7B0A3F04"/>
    <w:rsid w:val="7B1727C7"/>
    <w:rsid w:val="7B70337F"/>
    <w:rsid w:val="7C236022"/>
    <w:rsid w:val="7C6B3778"/>
    <w:rsid w:val="7C8C3248"/>
    <w:rsid w:val="7CB750CB"/>
    <w:rsid w:val="7D144EEA"/>
    <w:rsid w:val="7D2E4979"/>
    <w:rsid w:val="7D6C760A"/>
    <w:rsid w:val="7DF32C82"/>
    <w:rsid w:val="7EA54A11"/>
    <w:rsid w:val="7EBF25B5"/>
    <w:rsid w:val="7EEE545B"/>
    <w:rsid w:val="7FD56A23"/>
    <w:rsid w:val="7FDB024B"/>
    <w:rsid w:val="7FF76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toc 3"/>
    <w:basedOn w:val="1"/>
    <w:next w:val="1"/>
    <w:qFormat/>
    <w:uiPriority w:val="39"/>
    <w:pPr>
      <w:ind w:left="420"/>
    </w:pPr>
    <w:rPr>
      <w:rFonts w:ascii="等线" w:hAnsi="等线" w:eastAsia="等线"/>
      <w:b/>
      <w:sz w:val="30"/>
      <w:szCs w:val="30"/>
    </w:rPr>
  </w:style>
  <w:style w:type="paragraph" w:styleId="7">
    <w:name w:val="footer"/>
    <w:basedOn w:val="1"/>
    <w:qFormat/>
    <w:uiPriority w:val="0"/>
    <w:pPr>
      <w:tabs>
        <w:tab w:val="center" w:pos="4153"/>
        <w:tab w:val="right" w:pos="8306"/>
      </w:tabs>
      <w:snapToGrid w:val="0"/>
      <w:jc w:val="left"/>
    </w:pPr>
    <w:rPr>
      <w:sz w:val="18"/>
    </w:rPr>
  </w:style>
  <w:style w:type="paragraph" w:customStyle="1" w:styleId="10">
    <w:name w:val="_Style 13"/>
    <w:qFormat/>
    <w:uiPriority w:val="0"/>
    <w:pPr>
      <w:spacing w:before="120" w:after="120" w:line="288" w:lineRule="auto"/>
      <w:ind w:left="0"/>
      <w:jc w:val="left"/>
    </w:pPr>
    <w:rPr>
      <w:rFonts w:ascii="Arial" w:hAnsi="Arial" w:eastAsia="等线" w:cs="Arial"/>
      <w:sz w:val="22"/>
      <w:szCs w:val="22"/>
    </w:rPr>
  </w:style>
  <w:style w:type="paragraph" w:customStyle="1" w:styleId="11">
    <w:name w:val="文本-表格"/>
    <w:basedOn w:val="1"/>
    <w:qFormat/>
    <w:uiPriority w:val="0"/>
    <w:pPr>
      <w:spacing w:line="192" w:lineRule="auto"/>
      <w:ind w:firstLine="0" w:firstLineChars="0"/>
      <w:jc w:val="center"/>
    </w:pPr>
    <w:rPr>
      <w:rFonts w:hint="eastAsia" w:ascii="Times New Roman" w:hAnsi="Times New Roman" w:eastAsia="仿宋_GB2312" w:cs="方正仿宋_GBK"/>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云南省林业厅</Company>
  <Pages>19</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2025-10-21T06:32:00Z</dcterms:created>
  <dc:creator>刘丹妮</dc:creator>
  <cp:lastModifiedBy>刘丹妮</cp:lastModifiedBy>
  <dcterms:modified xsi:type="dcterms:W3CDTF">2025-10-21T06:32:51Z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D823D8FE2D184E19810AAA3D2BAF40C3_11</vt:lpwstr>
  </property>
  <property fmtid="{D5CDD505-2E9C-101B-9397-08002B2CF9AE}" pid="4" name="KSOTemplateDocerSaveRecord">
    <vt:lpwstr>eyJoZGlkIjoiZmNmM2Y3MTdkMmUxMzNmYmJkMWE3ZGExZDEyZmYzMDEiLCJ1c2VySWQiOiI0NTM1MDUxNDkifQ==</vt:lpwstr>
  </property>
</Properties>
</file>