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</w:p>
    <w:p>
      <w:pPr>
        <w:rPr>
          <w:color w:val="auto"/>
        </w:rPr>
      </w:pPr>
    </w:p>
    <w:p>
      <w:pPr>
        <w:pStyle w:val="2"/>
        <w:rPr>
          <w:rFonts w:hint="eastAsia"/>
        </w:rPr>
      </w:pPr>
      <w:bookmarkStart w:id="0" w:name="_GoBack"/>
      <w:r>
        <w:t>云南省</w:t>
      </w:r>
      <w:r>
        <w:rPr>
          <w:rFonts w:hint="eastAsia"/>
          <w:lang w:eastAsia="zh-CN"/>
        </w:rPr>
        <w:t>安全生产监督管理局</w:t>
      </w:r>
      <w:r>
        <w:rPr>
          <w:rFonts w:hint="eastAsia"/>
        </w:rPr>
        <w:t>关于</w:t>
      </w:r>
    </w:p>
    <w:p>
      <w:pPr>
        <w:pStyle w:val="2"/>
        <w:rPr>
          <w:rFonts w:hint="eastAsia"/>
          <w:lang w:eastAsia="zh-CN"/>
        </w:rPr>
      </w:pPr>
      <w:r>
        <w:rPr>
          <w:rFonts w:hint="eastAsia"/>
          <w:lang w:eastAsia="zh-CN"/>
        </w:rPr>
        <w:t>进一步加强建材机械行业安全监管</w:t>
      </w:r>
    </w:p>
    <w:p>
      <w:pPr>
        <w:pStyle w:val="2"/>
      </w:pPr>
      <w:r>
        <w:rPr>
          <w:rFonts w:hint="eastAsia"/>
          <w:lang w:eastAsia="zh-CN"/>
        </w:rPr>
        <w:t>推动</w:t>
      </w:r>
      <w:r>
        <w:rPr>
          <w:rFonts w:hint="eastAsia"/>
        </w:rPr>
        <w:t>落后产能退出工作的通知</w:t>
      </w:r>
    </w:p>
    <w:bookmarkEnd w:id="0"/>
    <w:p>
      <w:pPr>
        <w:ind w:left="0" w:leftChars="0" w:firstLine="0" w:firstLineChars="0"/>
        <w:jc w:val="center"/>
        <w:rPr>
          <w:rFonts w:hint="eastAsia"/>
          <w:color w:val="auto"/>
        </w:rPr>
      </w:pPr>
      <w:r>
        <w:rPr>
          <w:rFonts w:hint="eastAsia"/>
          <w:color w:val="auto"/>
        </w:rPr>
        <w:t>云安监管函〔2018〕189号</w:t>
      </w:r>
    </w:p>
    <w:p>
      <w:pPr>
        <w:ind w:left="0" w:leftChars="0" w:firstLine="0" w:firstLineChars="0"/>
        <w:jc w:val="center"/>
        <w:rPr>
          <w:rFonts w:hint="eastAsia"/>
          <w:color w:val="auto"/>
        </w:rPr>
      </w:pPr>
    </w:p>
    <w:p>
      <w:pPr>
        <w:ind w:left="0" w:leftChars="0" w:firstLine="0" w:firstLineChars="0"/>
        <w:rPr>
          <w:color w:val="auto"/>
        </w:rPr>
      </w:pPr>
      <w:r>
        <w:rPr>
          <w:color w:val="auto"/>
        </w:rPr>
        <w:t>各州、市</w:t>
      </w:r>
      <w:r>
        <w:rPr>
          <w:rFonts w:hint="eastAsia"/>
          <w:color w:val="auto"/>
          <w:lang w:eastAsia="zh-CN"/>
        </w:rPr>
        <w:t>安全生产监督管理局</w:t>
      </w:r>
      <w:r>
        <w:rPr>
          <w:color w:val="auto"/>
        </w:rPr>
        <w:t>：</w:t>
      </w:r>
    </w:p>
    <w:p>
      <w:pPr>
        <w:rPr>
          <w:rFonts w:hint="eastAsia" w:eastAsia="仿宋_GB2312"/>
          <w:color w:val="auto"/>
          <w:szCs w:val="32"/>
        </w:rPr>
      </w:pPr>
      <w:r>
        <w:t>为</w:t>
      </w:r>
      <w:r>
        <w:rPr>
          <w:rFonts w:hint="eastAsia"/>
          <w:lang w:eastAsia="zh-CN"/>
        </w:rPr>
        <w:t>认真</w:t>
      </w:r>
      <w:r>
        <w:t>贯彻落实工业和信息化部等16部委《关于利用综合标准依法依规推动落后产能退出的指导意见》</w:t>
      </w:r>
      <w:r>
        <w:rPr>
          <w:rFonts w:hint="eastAsia"/>
          <w:lang w:eastAsia="zh-CN"/>
        </w:rPr>
        <w:t>（</w:t>
      </w:r>
      <w:r>
        <w:t>工信部联产业〔2017〕30号</w:t>
      </w:r>
      <w:r>
        <w:rPr>
          <w:rFonts w:hint="eastAsia"/>
          <w:lang w:eastAsia="zh-CN"/>
        </w:rPr>
        <w:t>）</w:t>
      </w:r>
      <w:r>
        <w:t>和</w:t>
      </w:r>
      <w:r>
        <w:rPr>
          <w:rFonts w:hint="eastAsia"/>
          <w:lang w:eastAsia="zh-CN"/>
        </w:rPr>
        <w:t>《</w:t>
      </w:r>
      <w:r>
        <w:rPr>
          <w:rFonts w:hint="eastAsia"/>
        </w:rPr>
        <w:t>云南省淘汰落后产能工作领导小组办公室关于印发云南省201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年利用综合标准依法依规推动落后产能退出工作方案的通知</w:t>
      </w:r>
      <w:r>
        <w:rPr>
          <w:rFonts w:hint="eastAsia"/>
          <w:lang w:eastAsia="zh-CN"/>
        </w:rPr>
        <w:t>》（云工信产业</w:t>
      </w:r>
      <w:r>
        <w:t>〔201</w:t>
      </w:r>
      <w:r>
        <w:rPr>
          <w:rFonts w:hint="eastAsia"/>
          <w:lang w:val="en-US" w:eastAsia="zh-CN"/>
        </w:rPr>
        <w:t>8</w:t>
      </w:r>
      <w:r>
        <w:t>〕</w:t>
      </w:r>
      <w:r>
        <w:rPr>
          <w:rFonts w:hint="eastAsia"/>
          <w:lang w:val="en-US" w:eastAsia="zh-CN"/>
        </w:rPr>
        <w:t>338号</w:t>
      </w:r>
      <w:r>
        <w:rPr>
          <w:rFonts w:hint="eastAsia"/>
          <w:lang w:eastAsia="zh-CN"/>
        </w:rPr>
        <w:t>）</w:t>
      </w:r>
      <w:r>
        <w:t>要求，</w:t>
      </w:r>
      <w:r>
        <w:rPr>
          <w:rFonts w:hint="eastAsia"/>
          <w:lang w:eastAsia="zh-CN"/>
        </w:rPr>
        <w:t>进一步加强全省建材机械行业安全监管，充分</w:t>
      </w:r>
      <w:r>
        <w:rPr>
          <w:rFonts w:hint="eastAsia"/>
        </w:rPr>
        <w:t>利用</w:t>
      </w:r>
      <w:r>
        <w:rPr>
          <w:rFonts w:hint="eastAsia"/>
          <w:lang w:eastAsia="zh-CN"/>
        </w:rPr>
        <w:t>安全生产</w:t>
      </w:r>
      <w:r>
        <w:rPr>
          <w:rFonts w:hint="eastAsia"/>
        </w:rPr>
        <w:t>标准依法依规</w:t>
      </w:r>
      <w:r>
        <w:t>推动</w:t>
      </w:r>
      <w:r>
        <w:rPr>
          <w:rFonts w:hint="eastAsia"/>
        </w:rPr>
        <w:t>落后产能退出</w:t>
      </w:r>
      <w:r>
        <w:rPr>
          <w:color w:val="auto"/>
        </w:rPr>
        <w:t>，</w:t>
      </w:r>
      <w:r>
        <w:rPr>
          <w:rFonts w:hint="eastAsia"/>
          <w:color w:val="auto"/>
          <w:szCs w:val="32"/>
          <w:lang w:eastAsia="zh-CN"/>
        </w:rPr>
        <w:t>现将有关事项通知如下</w:t>
      </w:r>
      <w:r>
        <w:rPr>
          <w:rFonts w:hint="eastAsia" w:eastAsia="仿宋_GB2312"/>
          <w:color w:val="auto"/>
          <w:szCs w:val="32"/>
        </w:rPr>
        <w:t>。</w:t>
      </w:r>
    </w:p>
    <w:p>
      <w:pPr>
        <w:pStyle w:val="3"/>
        <w:rPr>
          <w:color w:val="auto"/>
        </w:rPr>
      </w:pPr>
      <w:r>
        <w:rPr>
          <w:color w:val="auto"/>
        </w:rPr>
        <w:t>一、</w:t>
      </w:r>
      <w:r>
        <w:rPr>
          <w:rFonts w:hint="eastAsia"/>
          <w:color w:val="auto"/>
          <w:lang w:eastAsia="zh-CN"/>
        </w:rPr>
        <w:t>主要</w:t>
      </w:r>
      <w:r>
        <w:rPr>
          <w:color w:val="auto"/>
        </w:rPr>
        <w:t>任务</w:t>
      </w:r>
    </w:p>
    <w:p>
      <w:pPr>
        <w:ind w:firstLine="65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以</w:t>
      </w:r>
      <w:r>
        <w:rPr>
          <w:rFonts w:hint="eastAsia" w:cs="Times New Roman"/>
          <w:sz w:val="32"/>
          <w:szCs w:val="32"/>
          <w:lang w:eastAsia="zh-CN"/>
        </w:rPr>
        <w:t>建材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行业</w:t>
      </w:r>
      <w:r>
        <w:rPr>
          <w:rFonts w:hint="eastAsia" w:cs="Times New Roman"/>
          <w:sz w:val="32"/>
          <w:szCs w:val="32"/>
          <w:lang w:eastAsia="zh-CN"/>
        </w:rPr>
        <w:t>（水泥、平板玻璃、烧结砖瓦）、机械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行业</w:t>
      </w:r>
      <w:r>
        <w:rPr>
          <w:rFonts w:hint="eastAsia" w:cs="Times New Roman"/>
          <w:sz w:val="32"/>
          <w:szCs w:val="32"/>
          <w:lang w:eastAsia="zh-CN"/>
        </w:rPr>
        <w:t>（有铸造工艺）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为重点</w:t>
      </w:r>
      <w:r>
        <w:rPr>
          <w:rFonts w:hint="eastAsia" w:cs="Times New Roman"/>
          <w:sz w:val="32"/>
          <w:szCs w:val="32"/>
          <w:lang w:eastAsia="zh-CN"/>
        </w:rPr>
        <w:t>（以下简称建材、机械行业）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cs="Times New Roman"/>
          <w:sz w:val="32"/>
          <w:szCs w:val="32"/>
          <w:lang w:eastAsia="zh-CN"/>
        </w:rPr>
        <w:t>通过重点事故隐患整治、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严格常态化执法和强制性标准实施，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推动一批</w:t>
      </w:r>
      <w:r>
        <w:rPr>
          <w:color w:val="auto"/>
        </w:rPr>
        <w:t>达不到</w:t>
      </w:r>
      <w:r>
        <w:rPr>
          <w:rFonts w:hint="eastAsia"/>
          <w:color w:val="auto"/>
          <w:lang w:eastAsia="zh-CN"/>
        </w:rPr>
        <w:t>安全生产</w:t>
      </w:r>
      <w:r>
        <w:rPr>
          <w:color w:val="auto"/>
        </w:rPr>
        <w:t>相关法律、行政法规和国家标准或行业标准要求</w:t>
      </w:r>
      <w:r>
        <w:rPr>
          <w:rFonts w:hint="eastAsia"/>
          <w:color w:val="auto"/>
          <w:lang w:eastAsia="zh-CN"/>
        </w:rPr>
        <w:t>，</w:t>
      </w:r>
      <w:r>
        <w:rPr>
          <w:color w:val="auto"/>
        </w:rPr>
        <w:t>经停产停业整顿仍不具备安全生产条件的</w:t>
      </w:r>
      <w:r>
        <w:rPr>
          <w:rFonts w:hint="eastAsia"/>
          <w:color w:val="auto"/>
          <w:lang w:eastAsia="zh-CN"/>
        </w:rPr>
        <w:t>企业</w:t>
      </w:r>
      <w:r>
        <w:rPr>
          <w:color w:val="auto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依法依规关停退出，</w:t>
      </w:r>
      <w:r>
        <w:rPr>
          <w:rFonts w:hint="eastAsia" w:cs="Times New Roman"/>
          <w:sz w:val="32"/>
          <w:szCs w:val="32"/>
          <w:lang w:eastAsia="zh-CN"/>
        </w:rPr>
        <w:t>促进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产业结构持续优化升级。</w:t>
      </w:r>
    </w:p>
    <w:p>
      <w:pPr>
        <w:pStyle w:val="3"/>
        <w:rPr>
          <w:color w:val="auto"/>
        </w:rPr>
      </w:pPr>
      <w:r>
        <w:rPr>
          <w:color w:val="auto"/>
        </w:rPr>
        <w:t>二、工作措施和责任分工</w:t>
      </w:r>
    </w:p>
    <w:p>
      <w:pPr>
        <w:rPr>
          <w:color w:val="auto"/>
        </w:rPr>
      </w:pPr>
      <w:r>
        <w:rPr>
          <w:rStyle w:val="26"/>
          <w:rFonts w:hint="eastAsia"/>
          <w:lang w:eastAsia="zh-CN"/>
        </w:rPr>
        <w:t>（一）完善</w:t>
      </w:r>
      <w:r>
        <w:rPr>
          <w:rStyle w:val="26"/>
        </w:rPr>
        <w:t>企业档案</w:t>
      </w:r>
      <w:r>
        <w:rPr>
          <w:rStyle w:val="26"/>
          <w:rFonts w:hint="eastAsia"/>
          <w:lang w:eastAsia="zh-CN"/>
        </w:rPr>
        <w:t>信息</w:t>
      </w:r>
      <w:r>
        <w:rPr>
          <w:rStyle w:val="26"/>
        </w:rPr>
        <w:t>。</w:t>
      </w:r>
      <w:r>
        <w:rPr>
          <w:rFonts w:hint="eastAsia"/>
          <w:color w:val="auto"/>
          <w:lang w:eastAsia="zh-CN"/>
        </w:rPr>
        <w:t>分别以州（市）和县（市、区）为单位全面排查</w:t>
      </w:r>
      <w:r>
        <w:rPr>
          <w:color w:val="auto"/>
        </w:rPr>
        <w:t>梳理</w:t>
      </w:r>
      <w:r>
        <w:rPr>
          <w:rFonts w:hint="eastAsia" w:cs="Times New Roman"/>
          <w:sz w:val="32"/>
          <w:szCs w:val="32"/>
          <w:lang w:eastAsia="zh-CN"/>
        </w:rPr>
        <w:t>建材、机械行业</w:t>
      </w:r>
      <w:r>
        <w:rPr>
          <w:color w:val="auto"/>
        </w:rPr>
        <w:t>企业</w:t>
      </w:r>
      <w:r>
        <w:rPr>
          <w:rFonts w:hint="eastAsia"/>
          <w:color w:val="auto"/>
          <w:lang w:eastAsia="zh-CN"/>
        </w:rPr>
        <w:t>底数</w:t>
      </w:r>
      <w:r>
        <w:rPr>
          <w:color w:val="auto"/>
        </w:rPr>
        <w:t>情况，组织</w:t>
      </w:r>
      <w:r>
        <w:rPr>
          <w:rFonts w:hint="eastAsia"/>
          <w:color w:val="auto"/>
          <w:lang w:eastAsia="zh-CN"/>
        </w:rPr>
        <w:t>全部企业登陆“云南省安全生产大检查长效机制管理系统”完整、准确填报企业基本信息，建立“一企一标准”，按时上报隐患自检自查情况。</w:t>
      </w:r>
    </w:p>
    <w:p>
      <w:pPr>
        <w:rPr>
          <w:color w:val="auto"/>
        </w:rPr>
      </w:pPr>
      <w:r>
        <w:rPr>
          <w:rStyle w:val="26"/>
          <w:rFonts w:hint="eastAsia"/>
          <w:lang w:eastAsia="zh-CN"/>
        </w:rPr>
        <w:t>（二）开展专项执法行动。</w:t>
      </w:r>
      <w:r>
        <w:rPr>
          <w:rFonts w:hint="eastAsia"/>
          <w:color w:val="auto"/>
          <w:lang w:val="en-US" w:eastAsia="zh-CN"/>
        </w:rPr>
        <w:t>9月30日前，</w:t>
      </w:r>
      <w:r>
        <w:rPr>
          <w:rFonts w:hint="eastAsia"/>
          <w:color w:val="auto"/>
          <w:lang w:eastAsia="zh-CN"/>
        </w:rPr>
        <w:t>各县（市、区）安全监管部门要</w:t>
      </w:r>
      <w:r>
        <w:rPr>
          <w:color w:val="auto"/>
        </w:rPr>
        <w:t>对</w:t>
      </w:r>
      <w:r>
        <w:rPr>
          <w:rFonts w:hint="eastAsia"/>
          <w:color w:val="auto"/>
          <w:lang w:eastAsia="zh-CN"/>
        </w:rPr>
        <w:t>辖区内</w:t>
      </w:r>
      <w:r>
        <w:rPr>
          <w:rFonts w:hint="eastAsia" w:cs="Times New Roman"/>
          <w:sz w:val="32"/>
          <w:szCs w:val="32"/>
          <w:lang w:eastAsia="zh-CN"/>
        </w:rPr>
        <w:t>建材、机械行业</w:t>
      </w:r>
      <w:r>
        <w:rPr>
          <w:color w:val="auto"/>
        </w:rPr>
        <w:t>企业</w:t>
      </w:r>
      <w:r>
        <w:rPr>
          <w:rFonts w:hint="eastAsia"/>
          <w:color w:val="auto"/>
          <w:lang w:eastAsia="zh-CN"/>
        </w:rPr>
        <w:t>开展一轮全覆盖</w:t>
      </w:r>
      <w:r>
        <w:rPr>
          <w:color w:val="auto"/>
        </w:rPr>
        <w:t>检查</w:t>
      </w:r>
      <w:r>
        <w:rPr>
          <w:rFonts w:hint="eastAsia"/>
          <w:color w:val="auto"/>
          <w:lang w:eastAsia="zh-CN"/>
        </w:rPr>
        <w:t>，并建立检查档案；各州（市）安全监管部门在此期间要</w:t>
      </w:r>
      <w:r>
        <w:rPr>
          <w:color w:val="auto"/>
        </w:rPr>
        <w:t>组织专项执法检查，</w:t>
      </w:r>
      <w:r>
        <w:rPr>
          <w:rFonts w:hint="eastAsia"/>
          <w:color w:val="auto"/>
          <w:lang w:eastAsia="zh-CN"/>
        </w:rPr>
        <w:t>对重点企业进行抽查，对相关县（市、区）安全监管部门全覆盖检查情况进行督查。</w:t>
      </w:r>
      <w:r>
        <w:rPr>
          <w:color w:val="auto"/>
        </w:rPr>
        <w:t>对达不到</w:t>
      </w:r>
      <w:r>
        <w:rPr>
          <w:rFonts w:hint="eastAsia"/>
          <w:color w:val="auto"/>
          <w:lang w:eastAsia="zh-CN"/>
        </w:rPr>
        <w:t>安全生产</w:t>
      </w:r>
      <w:r>
        <w:rPr>
          <w:color w:val="auto"/>
        </w:rPr>
        <w:t>相关法律、行政法规和国家标准或行业标准要求</w:t>
      </w:r>
      <w:r>
        <w:rPr>
          <w:rFonts w:hint="eastAsia"/>
          <w:color w:val="auto"/>
          <w:lang w:eastAsia="zh-CN"/>
        </w:rPr>
        <w:t>，不具备安全生产条件</w:t>
      </w:r>
      <w:r>
        <w:rPr>
          <w:color w:val="auto"/>
        </w:rPr>
        <w:t>的</w:t>
      </w:r>
      <w:r>
        <w:rPr>
          <w:rFonts w:hint="eastAsia"/>
          <w:color w:val="auto"/>
          <w:lang w:eastAsia="zh-CN"/>
        </w:rPr>
        <w:t>企业</w:t>
      </w:r>
      <w:r>
        <w:rPr>
          <w:color w:val="auto"/>
        </w:rPr>
        <w:t>，立即停产停业整顿</w:t>
      </w:r>
      <w:r>
        <w:rPr>
          <w:rFonts w:hint="eastAsia"/>
          <w:color w:val="auto"/>
          <w:lang w:eastAsia="zh-CN"/>
        </w:rPr>
        <w:t>；</w:t>
      </w:r>
      <w:r>
        <w:rPr>
          <w:color w:val="auto"/>
        </w:rPr>
        <w:t>经停产停业整顿仍不具备安全生产条件的，</w:t>
      </w:r>
      <w:r>
        <w:rPr>
          <w:rFonts w:hint="eastAsia"/>
          <w:color w:val="auto"/>
          <w:lang w:eastAsia="zh-CN"/>
        </w:rPr>
        <w:t>依法</w:t>
      </w:r>
      <w:r>
        <w:rPr>
          <w:color w:val="auto"/>
        </w:rPr>
        <w:t>予以关闭</w:t>
      </w:r>
      <w:r>
        <w:rPr>
          <w:rFonts w:hint="eastAsia"/>
          <w:color w:val="auto"/>
          <w:lang w:eastAsia="zh-CN"/>
        </w:rPr>
        <w:t>，移交</w:t>
      </w:r>
      <w:r>
        <w:rPr>
          <w:color w:val="auto"/>
        </w:rPr>
        <w:t>有关部门吊销相关证照。</w:t>
      </w:r>
      <w:r>
        <w:rPr>
          <w:rFonts w:hint="eastAsia"/>
          <w:color w:val="auto"/>
          <w:lang w:eastAsia="zh-CN"/>
        </w:rPr>
        <w:t>省安全监管局将对部分州市进行重点督查，并适时通报有关情况。</w:t>
      </w:r>
    </w:p>
    <w:p>
      <w:pPr>
        <w:rPr>
          <w:color w:val="auto"/>
        </w:rPr>
      </w:pPr>
      <w:r>
        <w:rPr>
          <w:rStyle w:val="26"/>
          <w:rFonts w:hint="eastAsia"/>
          <w:lang w:eastAsia="zh-CN"/>
        </w:rPr>
        <w:t>（三）督促企业全面提升安全生产水平。</w:t>
      </w:r>
      <w:r>
        <w:rPr>
          <w:rFonts w:hint="eastAsia"/>
          <w:color w:val="auto"/>
          <w:lang w:eastAsia="zh-CN"/>
        </w:rPr>
        <w:t>大力</w:t>
      </w:r>
      <w:r>
        <w:rPr>
          <w:color w:val="auto"/>
        </w:rPr>
        <w:t>推进企业安全生产标准化建设，</w:t>
      </w:r>
      <w:r>
        <w:rPr>
          <w:rFonts w:hint="eastAsia"/>
          <w:color w:val="auto"/>
          <w:lang w:eastAsia="zh-CN"/>
        </w:rPr>
        <w:t>加大对安全生产标准化达标企业体系运行情况的抽查力度，</w:t>
      </w:r>
      <w:r>
        <w:rPr>
          <w:color w:val="auto"/>
        </w:rPr>
        <w:t>强化安全培训教育，督促企业加强安全风险管控。</w:t>
      </w:r>
      <w:r>
        <w:rPr>
          <w:rFonts w:hint="eastAsia"/>
          <w:color w:val="auto"/>
          <w:lang w:eastAsia="zh-CN"/>
        </w:rPr>
        <w:t>对存在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能耗、环保、安全、质量、技术达不到标准</w:t>
      </w:r>
      <w:r>
        <w:rPr>
          <w:rFonts w:hint="eastAsia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生产不合格产品</w:t>
      </w:r>
      <w:r>
        <w:rPr>
          <w:rFonts w:hint="eastAsia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淘汰类产能</w:t>
      </w:r>
      <w:r>
        <w:rPr>
          <w:rFonts w:hint="eastAsia"/>
          <w:color w:val="auto"/>
          <w:lang w:eastAsia="zh-CN"/>
        </w:rPr>
        <w:t>的落后产能企业，安全生产标准化评审申请一律不予受理，已达标取证的企业一律予以摘牌。</w:t>
      </w:r>
    </w:p>
    <w:p>
      <w:pPr>
        <w:pStyle w:val="3"/>
        <w:rPr>
          <w:color w:val="auto"/>
        </w:rPr>
      </w:pPr>
      <w:r>
        <w:rPr>
          <w:color w:val="auto"/>
        </w:rPr>
        <w:t>三、工作要求</w:t>
      </w:r>
    </w:p>
    <w:p>
      <w:pPr>
        <w:rPr>
          <w:rFonts w:hint="eastAsia"/>
          <w:color w:val="auto"/>
          <w:lang w:eastAsia="zh-CN"/>
        </w:rPr>
      </w:pPr>
      <w:r>
        <w:rPr>
          <w:rStyle w:val="26"/>
          <w:rFonts w:hint="eastAsia"/>
          <w:lang w:eastAsia="zh-CN"/>
        </w:rPr>
        <w:t>（一）统筹兼顾各项工作。</w:t>
      </w:r>
      <w:r>
        <w:rPr>
          <w:rFonts w:hint="eastAsia"/>
          <w:color w:val="auto"/>
          <w:lang w:eastAsia="zh-CN"/>
        </w:rPr>
        <w:t>各地要将</w:t>
      </w:r>
      <w:r>
        <w:rPr>
          <w:rFonts w:hint="eastAsia"/>
          <w:color w:val="auto"/>
        </w:rPr>
        <w:t>利用</w:t>
      </w:r>
      <w:r>
        <w:rPr>
          <w:rFonts w:hint="eastAsia"/>
          <w:color w:val="auto"/>
          <w:lang w:eastAsia="zh-CN"/>
        </w:rPr>
        <w:t>安全生产</w:t>
      </w:r>
      <w:r>
        <w:rPr>
          <w:rFonts w:hint="eastAsia"/>
          <w:color w:val="auto"/>
        </w:rPr>
        <w:t>标准依法依规推动落后产能</w:t>
      </w:r>
      <w:r>
        <w:rPr>
          <w:rFonts w:hint="eastAsia"/>
          <w:color w:val="auto"/>
          <w:lang w:eastAsia="zh-CN"/>
        </w:rPr>
        <w:t>退出工作与安全生产大检查、云南省开展水泥企业安全生产和职业健康执法专项行动、年度计划执法检查、</w:t>
      </w:r>
      <w:r>
        <w:rPr>
          <w:rFonts w:hint="eastAsia"/>
        </w:rPr>
        <w:t>粉尘涉爆</w:t>
      </w:r>
      <w:r>
        <w:rPr>
          <w:rFonts w:hint="eastAsia"/>
          <w:lang w:eastAsia="zh-CN"/>
        </w:rPr>
        <w:t>隐患整改“攻坚年”行动</w:t>
      </w:r>
      <w:r>
        <w:rPr>
          <w:rFonts w:hint="eastAsia"/>
          <w:color w:val="auto"/>
          <w:lang w:eastAsia="zh-CN"/>
        </w:rPr>
        <w:t>、有限空间作业条件确认、安全生产大检查长效机制建设、安全生产标准化建设等工作相结合，增强全局意识，统筹推进，做到重点隐患整治和企业安全生产水平整体提升相兼顾。</w:t>
      </w:r>
    </w:p>
    <w:p>
      <w:pPr>
        <w:rPr>
          <w:color w:val="auto"/>
        </w:rPr>
      </w:pPr>
      <w:r>
        <w:rPr>
          <w:rStyle w:val="26"/>
          <w:rFonts w:hint="eastAsia"/>
          <w:lang w:eastAsia="zh-CN"/>
        </w:rPr>
        <w:t>（二）促进落后产能应退尽退。</w:t>
      </w:r>
      <w:r>
        <w:rPr>
          <w:rFonts w:hint="eastAsia"/>
          <w:color w:val="auto"/>
          <w:lang w:eastAsia="zh-CN"/>
        </w:rPr>
        <w:t>要</w:t>
      </w:r>
      <w:r>
        <w:rPr>
          <w:color w:val="auto"/>
        </w:rPr>
        <w:t>逐户核实</w:t>
      </w:r>
      <w:r>
        <w:rPr>
          <w:rFonts w:hint="eastAsia"/>
          <w:color w:val="auto"/>
          <w:lang w:eastAsia="zh-CN"/>
        </w:rPr>
        <w:t>建材、机械行业</w:t>
      </w:r>
      <w:r>
        <w:rPr>
          <w:color w:val="auto"/>
        </w:rPr>
        <w:t>企业安全</w:t>
      </w:r>
      <w:r>
        <w:rPr>
          <w:rFonts w:hint="eastAsia"/>
          <w:color w:val="auto"/>
          <w:lang w:eastAsia="zh-CN"/>
        </w:rPr>
        <w:t>生产相关</w:t>
      </w:r>
      <w:r>
        <w:rPr>
          <w:color w:val="auto"/>
        </w:rPr>
        <w:t>强制性标准执行情况，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将达不到强制性标准的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企业</w:t>
      </w:r>
      <w:r>
        <w:rPr>
          <w:color w:val="auto"/>
        </w:rPr>
        <w:t>列入年度工作计划</w:t>
      </w:r>
      <w:r>
        <w:rPr>
          <w:rFonts w:hint="eastAsia"/>
          <w:color w:va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要求限期整改，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通报有关部门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执行差别电价、阶梯电价、惩罚性电价和超定额用水累进加价等差别化能源资源价格。</w:t>
      </w:r>
      <w:r>
        <w:rPr>
          <w:color w:val="auto"/>
        </w:rPr>
        <w:t>经停产停业整顿仍不具备安全生产条件的</w:t>
      </w:r>
      <w:r>
        <w:rPr>
          <w:rFonts w:hint="eastAsia"/>
          <w:color w:va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在今年内依法依规淘汰退出。</w:t>
      </w:r>
    </w:p>
    <w:p>
      <w:pPr>
        <w:rPr>
          <w:rFonts w:hint="eastAsia"/>
          <w:color w:val="auto"/>
          <w:lang w:val="en-US" w:eastAsia="zh-CN"/>
        </w:rPr>
      </w:pPr>
      <w:r>
        <w:rPr>
          <w:rStyle w:val="26"/>
          <w:rFonts w:hint="eastAsia"/>
          <w:lang w:eastAsia="zh-CN"/>
        </w:rPr>
        <w:t>（三）其他要求。</w:t>
      </w:r>
      <w:r>
        <w:rPr>
          <w:rFonts w:hint="eastAsia"/>
          <w:color w:val="auto"/>
          <w:lang w:val="en-US" w:eastAsia="zh-CN"/>
        </w:rPr>
        <w:t>请各州、市分别于</w:t>
      </w:r>
      <w:r>
        <w:rPr>
          <w:color w:val="auto"/>
        </w:rPr>
        <w:t>9月</w:t>
      </w:r>
      <w:r>
        <w:rPr>
          <w:rFonts w:hint="eastAsia"/>
          <w:color w:val="auto"/>
          <w:lang w:val="en-US" w:eastAsia="zh-CN"/>
        </w:rPr>
        <w:t>31</w:t>
      </w:r>
      <w:r>
        <w:rPr>
          <w:color w:val="auto"/>
        </w:rPr>
        <w:t>日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  <w:lang w:val="en-US" w:eastAsia="zh-CN"/>
        </w:rPr>
        <w:t>12</w:t>
      </w:r>
      <w:r>
        <w:rPr>
          <w:color w:val="auto"/>
        </w:rPr>
        <w:t>月</w:t>
      </w:r>
      <w:r>
        <w:rPr>
          <w:rFonts w:hint="eastAsia"/>
          <w:color w:val="auto"/>
          <w:lang w:val="en-US" w:eastAsia="zh-CN"/>
        </w:rPr>
        <w:t>31</w:t>
      </w:r>
      <w:r>
        <w:rPr>
          <w:color w:val="auto"/>
        </w:rPr>
        <w:t>日前，将</w:t>
      </w:r>
      <w:r>
        <w:rPr>
          <w:rFonts w:hint="eastAsia"/>
          <w:color w:val="auto"/>
          <w:lang w:val="en-US" w:eastAsia="zh-CN"/>
        </w:rPr>
        <w:t>阶段性工作情况报告和2018年度工作总结连同附件1、附件2（书面盖单位公章）报送省安全监管局。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附件：1.落后产能企业基本情况表</w:t>
      </w:r>
    </w:p>
    <w:p>
      <w:pPr>
        <w:ind w:firstLine="1600" w:firstLineChars="5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2.建材、机械企业检查情况汇总表</w:t>
      </w:r>
    </w:p>
    <w:p>
      <w:pPr>
        <w:ind w:firstLine="1600" w:firstLineChars="5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3.建材、机械行业十大重点事故隐患</w:t>
      </w:r>
    </w:p>
    <w:p>
      <w:pPr>
        <w:numPr>
          <w:ilvl w:val="0"/>
          <w:numId w:val="0"/>
        </w:numPr>
        <w:jc w:val="left"/>
        <w:rPr>
          <w:rFonts w:hint="eastAsia"/>
          <w:color w:val="0000FF"/>
          <w:lang w:val="en-US" w:eastAsia="zh-CN"/>
        </w:rPr>
      </w:pPr>
    </w:p>
    <w:p>
      <w:pPr>
        <w:rPr>
          <w:rFonts w:hint="eastAsia" w:eastAsia="仿宋_GB2312"/>
          <w:color w:val="0000FF"/>
          <w:lang w:val="en-US" w:eastAsia="zh-CN"/>
        </w:rPr>
      </w:pPr>
    </w:p>
    <w:p>
      <w:pPr>
        <w:wordWrap w:val="0"/>
        <w:jc w:val="right"/>
        <w:rPr>
          <w:color w:val="auto"/>
        </w:rPr>
      </w:pPr>
      <w:r>
        <w:rPr>
          <w:rFonts w:hint="eastAsia"/>
          <w:color w:val="0000FF"/>
          <w:lang w:val="en-US" w:eastAsia="zh-CN"/>
        </w:rPr>
        <w:t xml:space="preserve">    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color w:val="auto"/>
        </w:rPr>
        <w:t>云南省</w:t>
      </w:r>
      <w:r>
        <w:rPr>
          <w:rFonts w:hint="eastAsia"/>
          <w:color w:val="auto"/>
          <w:lang w:eastAsia="zh-CN"/>
        </w:rPr>
        <w:t>安全生产监督管理局</w:t>
      </w:r>
      <w:r>
        <w:rPr>
          <w:rFonts w:hint="eastAsia"/>
          <w:color w:val="auto"/>
          <w:lang w:val="en-US" w:eastAsia="zh-CN"/>
        </w:rPr>
        <w:t xml:space="preserve">    </w:t>
      </w:r>
    </w:p>
    <w:p>
      <w:pPr>
        <w:wordWrap w:val="0"/>
        <w:jc w:val="right"/>
        <w:rPr>
          <w:color w:val="auto"/>
        </w:rPr>
      </w:pPr>
      <w:r>
        <w:rPr>
          <w:color w:val="auto"/>
        </w:rPr>
        <w:t>201</w:t>
      </w:r>
      <w:r>
        <w:rPr>
          <w:rFonts w:hint="eastAsia"/>
          <w:color w:val="auto"/>
          <w:lang w:val="en-US" w:eastAsia="zh-CN"/>
        </w:rPr>
        <w:t>8</w:t>
      </w:r>
      <w:r>
        <w:rPr>
          <w:color w:val="auto"/>
        </w:rPr>
        <w:t>年</w:t>
      </w:r>
      <w:r>
        <w:rPr>
          <w:rFonts w:hint="eastAsia"/>
          <w:color w:val="auto"/>
          <w:lang w:val="en-US" w:eastAsia="zh-CN"/>
        </w:rPr>
        <w:t>7</w:t>
      </w:r>
      <w:r>
        <w:rPr>
          <w:color w:val="auto"/>
        </w:rPr>
        <w:t>月</w:t>
      </w:r>
      <w:r>
        <w:rPr>
          <w:rFonts w:hint="eastAsia"/>
          <w:color w:val="auto"/>
          <w:lang w:val="en-US" w:eastAsia="zh-CN"/>
        </w:rPr>
        <w:t>31</w:t>
      </w:r>
      <w:r>
        <w:rPr>
          <w:color w:val="auto"/>
        </w:rPr>
        <w:t>日</w:t>
      </w:r>
      <w:r>
        <w:rPr>
          <w:rFonts w:hint="eastAsia"/>
          <w:color w:val="auto"/>
          <w:lang w:val="en-US" w:eastAsia="zh-CN"/>
        </w:rPr>
        <w:t xml:space="preserve">        </w:t>
      </w:r>
    </w:p>
    <w:p>
      <w:pPr>
        <w:ind w:firstLine="5120" w:firstLineChars="1600"/>
        <w:rPr>
          <w:rFonts w:hint="eastAsia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 xml:space="preserve">          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（联系人：陶尤军，联系电话及传真：0871-68371016，邮箱：1282733630@qq.com）</w:t>
      </w:r>
    </w:p>
    <w:sectPr>
      <w:footerReference r:id="rId5" w:type="default"/>
      <w:footerReference r:id="rId6" w:type="even"/>
      <w:pgSz w:w="11906" w:h="16838"/>
      <w:pgMar w:top="1814" w:right="1531" w:bottom="1440" w:left="158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5"/>
        <w:rFonts w:hint="eastAsia"/>
      </w:rPr>
    </w:pPr>
    <w:r>
      <w:rPr>
        <w:rStyle w:val="15"/>
        <w:rFonts w:hint="eastAsia"/>
        <w:sz w:val="28"/>
      </w:rPr>
      <w:t>－</w:t>
    </w:r>
    <w:r>
      <w:rPr>
        <w:sz w:val="28"/>
      </w:rPr>
      <w:fldChar w:fldCharType="begin"/>
    </w:r>
    <w:r>
      <w:rPr>
        <w:rStyle w:val="15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15"/>
        <w:sz w:val="28"/>
      </w:rPr>
      <w:t>10</w:t>
    </w:r>
    <w:r>
      <w:rPr>
        <w:sz w:val="28"/>
      </w:rPr>
      <w:fldChar w:fldCharType="end"/>
    </w:r>
    <w:r>
      <w:rPr>
        <w:rStyle w:val="15"/>
        <w:rFonts w:hint="eastAsia"/>
        <w:sz w:val="28"/>
      </w:rPr>
      <w:t>－</w:t>
    </w:r>
  </w:p>
  <w:p>
    <w:pPr>
      <w:pStyle w:val="9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5"/>
        <w:rFonts w:hint="eastAsia"/>
      </w:rPr>
    </w:pPr>
    <w:r>
      <w:rPr>
        <w:rFonts w:hint="eastAsia"/>
      </w:rPr>
      <w:fldChar w:fldCharType="begin"/>
    </w:r>
    <w:r>
      <w:rPr>
        <w:rStyle w:val="15"/>
        <w:rFonts w:hint="eastAsia"/>
      </w:rPr>
      <w:instrText xml:space="preserve">PAGE  </w:instrText>
    </w:r>
    <w:r>
      <w:rPr>
        <w:rFonts w:hint="eastAsia"/>
      </w:rPr>
      <w:fldChar w:fldCharType="separate"/>
    </w:r>
    <w:r>
      <w:rPr>
        <w:rFonts w:hint="eastAsia"/>
      </w:rPr>
      <w:fldChar w:fldCharType="end"/>
    </w:r>
  </w:p>
  <w:p>
    <w:pPr>
      <w:pStyle w:val="9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5ODNkNDlmNTdkODExYzY2MDMzNDA1ODY2OGQ4MzUifQ=="/>
  </w:docVars>
  <w:rsids>
    <w:rsidRoot w:val="24E6784F"/>
    <w:rsid w:val="004E2CF3"/>
    <w:rsid w:val="00DE1C44"/>
    <w:rsid w:val="00FC78DE"/>
    <w:rsid w:val="01562ECE"/>
    <w:rsid w:val="01712C72"/>
    <w:rsid w:val="01B97AFC"/>
    <w:rsid w:val="020F5206"/>
    <w:rsid w:val="03C22416"/>
    <w:rsid w:val="03EA0D15"/>
    <w:rsid w:val="04892354"/>
    <w:rsid w:val="06CF3F07"/>
    <w:rsid w:val="07113CF8"/>
    <w:rsid w:val="073D54C9"/>
    <w:rsid w:val="07736709"/>
    <w:rsid w:val="08284A88"/>
    <w:rsid w:val="086D07AC"/>
    <w:rsid w:val="08C019BB"/>
    <w:rsid w:val="09F30BC7"/>
    <w:rsid w:val="0C750E64"/>
    <w:rsid w:val="0C79367C"/>
    <w:rsid w:val="0CB8617F"/>
    <w:rsid w:val="0CBA586E"/>
    <w:rsid w:val="0CCC5E52"/>
    <w:rsid w:val="0D7A67D5"/>
    <w:rsid w:val="0D802E5A"/>
    <w:rsid w:val="0E0A5B16"/>
    <w:rsid w:val="0E5A744A"/>
    <w:rsid w:val="0F782894"/>
    <w:rsid w:val="0FC80F16"/>
    <w:rsid w:val="107D3526"/>
    <w:rsid w:val="10881AF2"/>
    <w:rsid w:val="109E0223"/>
    <w:rsid w:val="10B170E9"/>
    <w:rsid w:val="11634011"/>
    <w:rsid w:val="11783731"/>
    <w:rsid w:val="12A842A9"/>
    <w:rsid w:val="12C3653E"/>
    <w:rsid w:val="12E11BBB"/>
    <w:rsid w:val="13975A6D"/>
    <w:rsid w:val="13B77CF6"/>
    <w:rsid w:val="13E7713B"/>
    <w:rsid w:val="13FA60D8"/>
    <w:rsid w:val="14113EB4"/>
    <w:rsid w:val="143645C2"/>
    <w:rsid w:val="1498777A"/>
    <w:rsid w:val="14A53435"/>
    <w:rsid w:val="16536FF3"/>
    <w:rsid w:val="16581B3F"/>
    <w:rsid w:val="17173EDB"/>
    <w:rsid w:val="173E6739"/>
    <w:rsid w:val="17BA1C1B"/>
    <w:rsid w:val="17C33696"/>
    <w:rsid w:val="18004802"/>
    <w:rsid w:val="186110CC"/>
    <w:rsid w:val="18FE4AC0"/>
    <w:rsid w:val="19213F83"/>
    <w:rsid w:val="19C0620C"/>
    <w:rsid w:val="1A667691"/>
    <w:rsid w:val="1A6749AD"/>
    <w:rsid w:val="1AAB1CFB"/>
    <w:rsid w:val="1AD269E1"/>
    <w:rsid w:val="1B4B6D81"/>
    <w:rsid w:val="1BA112A2"/>
    <w:rsid w:val="1BAC317E"/>
    <w:rsid w:val="1BE44316"/>
    <w:rsid w:val="1C0A3012"/>
    <w:rsid w:val="1C7913E2"/>
    <w:rsid w:val="1C90770E"/>
    <w:rsid w:val="1CCF392E"/>
    <w:rsid w:val="1D1E6A1A"/>
    <w:rsid w:val="1DA65C40"/>
    <w:rsid w:val="1DBA53E5"/>
    <w:rsid w:val="1E3027AB"/>
    <w:rsid w:val="1EB1750D"/>
    <w:rsid w:val="1EEB4677"/>
    <w:rsid w:val="1F386C8D"/>
    <w:rsid w:val="1F4B76CB"/>
    <w:rsid w:val="1F4E4E53"/>
    <w:rsid w:val="1FB352E7"/>
    <w:rsid w:val="1FCD4720"/>
    <w:rsid w:val="20AE49B8"/>
    <w:rsid w:val="20DD4B24"/>
    <w:rsid w:val="211D071A"/>
    <w:rsid w:val="21A94812"/>
    <w:rsid w:val="2211162A"/>
    <w:rsid w:val="226530F2"/>
    <w:rsid w:val="22655DE7"/>
    <w:rsid w:val="229C2A8A"/>
    <w:rsid w:val="22BD0C31"/>
    <w:rsid w:val="235127D2"/>
    <w:rsid w:val="23751D16"/>
    <w:rsid w:val="24E6784F"/>
    <w:rsid w:val="25927545"/>
    <w:rsid w:val="25DD6BD8"/>
    <w:rsid w:val="26A851FF"/>
    <w:rsid w:val="26D81955"/>
    <w:rsid w:val="26FF3C39"/>
    <w:rsid w:val="27946C24"/>
    <w:rsid w:val="28474EEE"/>
    <w:rsid w:val="285918F3"/>
    <w:rsid w:val="287E5A32"/>
    <w:rsid w:val="29435A5C"/>
    <w:rsid w:val="294B2FB0"/>
    <w:rsid w:val="29600365"/>
    <w:rsid w:val="29C76735"/>
    <w:rsid w:val="2A5C3DBC"/>
    <w:rsid w:val="2AA14BFF"/>
    <w:rsid w:val="2B33781A"/>
    <w:rsid w:val="2C1C7EEF"/>
    <w:rsid w:val="2C535784"/>
    <w:rsid w:val="2C795DEB"/>
    <w:rsid w:val="2DBE7BDD"/>
    <w:rsid w:val="2E8B0278"/>
    <w:rsid w:val="304B3A8E"/>
    <w:rsid w:val="30644034"/>
    <w:rsid w:val="30CA5B1F"/>
    <w:rsid w:val="31296BC6"/>
    <w:rsid w:val="319A4263"/>
    <w:rsid w:val="324323C9"/>
    <w:rsid w:val="326938D6"/>
    <w:rsid w:val="326A2D1C"/>
    <w:rsid w:val="32F80F65"/>
    <w:rsid w:val="32FF2F72"/>
    <w:rsid w:val="332D329B"/>
    <w:rsid w:val="334D4187"/>
    <w:rsid w:val="336F1B97"/>
    <w:rsid w:val="33DE39D0"/>
    <w:rsid w:val="350C0BCB"/>
    <w:rsid w:val="354248C5"/>
    <w:rsid w:val="35F97397"/>
    <w:rsid w:val="36216294"/>
    <w:rsid w:val="367D09EA"/>
    <w:rsid w:val="36BF031F"/>
    <w:rsid w:val="37112CEF"/>
    <w:rsid w:val="37780DE3"/>
    <w:rsid w:val="37F427FC"/>
    <w:rsid w:val="382E4F8C"/>
    <w:rsid w:val="38CD600B"/>
    <w:rsid w:val="38F153BB"/>
    <w:rsid w:val="39190FCD"/>
    <w:rsid w:val="39F00622"/>
    <w:rsid w:val="3ACA1BB3"/>
    <w:rsid w:val="3AF702CB"/>
    <w:rsid w:val="3BA30423"/>
    <w:rsid w:val="3BE44F27"/>
    <w:rsid w:val="3CE365DE"/>
    <w:rsid w:val="3CF81C12"/>
    <w:rsid w:val="3D886250"/>
    <w:rsid w:val="3E700A60"/>
    <w:rsid w:val="3F4771DA"/>
    <w:rsid w:val="3FA804F8"/>
    <w:rsid w:val="40106C0B"/>
    <w:rsid w:val="402E1B11"/>
    <w:rsid w:val="40762C9E"/>
    <w:rsid w:val="41627A6A"/>
    <w:rsid w:val="418D4F2A"/>
    <w:rsid w:val="41A22408"/>
    <w:rsid w:val="41EE1F9D"/>
    <w:rsid w:val="420573F4"/>
    <w:rsid w:val="429B7815"/>
    <w:rsid w:val="42B50852"/>
    <w:rsid w:val="42F7457C"/>
    <w:rsid w:val="432E04D6"/>
    <w:rsid w:val="43705C5C"/>
    <w:rsid w:val="438A7352"/>
    <w:rsid w:val="441379D6"/>
    <w:rsid w:val="444D2345"/>
    <w:rsid w:val="44EB6044"/>
    <w:rsid w:val="460931AE"/>
    <w:rsid w:val="460C2DBB"/>
    <w:rsid w:val="4636675C"/>
    <w:rsid w:val="463766AE"/>
    <w:rsid w:val="46FF7948"/>
    <w:rsid w:val="470E1CBF"/>
    <w:rsid w:val="47856E68"/>
    <w:rsid w:val="47B32E1E"/>
    <w:rsid w:val="481D1014"/>
    <w:rsid w:val="49E65DC8"/>
    <w:rsid w:val="4AB81E2D"/>
    <w:rsid w:val="4B0F6064"/>
    <w:rsid w:val="4B4E0F05"/>
    <w:rsid w:val="4B88218F"/>
    <w:rsid w:val="4B8A69C6"/>
    <w:rsid w:val="4B8D016D"/>
    <w:rsid w:val="4BDE2D52"/>
    <w:rsid w:val="4BF06359"/>
    <w:rsid w:val="4C783049"/>
    <w:rsid w:val="4C8F04F0"/>
    <w:rsid w:val="4D16627C"/>
    <w:rsid w:val="4D8F2384"/>
    <w:rsid w:val="4DA32673"/>
    <w:rsid w:val="4DFD03DE"/>
    <w:rsid w:val="4E4A661C"/>
    <w:rsid w:val="4F3335B3"/>
    <w:rsid w:val="4F661EFF"/>
    <w:rsid w:val="4FBE5EF9"/>
    <w:rsid w:val="50711952"/>
    <w:rsid w:val="5073597A"/>
    <w:rsid w:val="5108691F"/>
    <w:rsid w:val="51246270"/>
    <w:rsid w:val="517064E1"/>
    <w:rsid w:val="52830339"/>
    <w:rsid w:val="52C15DCD"/>
    <w:rsid w:val="52C41422"/>
    <w:rsid w:val="52CE36FE"/>
    <w:rsid w:val="52DC1D2F"/>
    <w:rsid w:val="533C4DEE"/>
    <w:rsid w:val="5415400E"/>
    <w:rsid w:val="541571FA"/>
    <w:rsid w:val="542728AA"/>
    <w:rsid w:val="54B655D5"/>
    <w:rsid w:val="55741BBA"/>
    <w:rsid w:val="56570B99"/>
    <w:rsid w:val="567D3E0F"/>
    <w:rsid w:val="56805651"/>
    <w:rsid w:val="56BD62CF"/>
    <w:rsid w:val="57BC04D1"/>
    <w:rsid w:val="57E7453B"/>
    <w:rsid w:val="57F10B59"/>
    <w:rsid w:val="5815256F"/>
    <w:rsid w:val="589B4BEC"/>
    <w:rsid w:val="58D15FE0"/>
    <w:rsid w:val="59C972D4"/>
    <w:rsid w:val="59E83DF8"/>
    <w:rsid w:val="5B5441C8"/>
    <w:rsid w:val="5BA95187"/>
    <w:rsid w:val="5C174D5E"/>
    <w:rsid w:val="5C2B3971"/>
    <w:rsid w:val="5D6637D0"/>
    <w:rsid w:val="5DC93FAF"/>
    <w:rsid w:val="5DEE27DE"/>
    <w:rsid w:val="5E1C70CD"/>
    <w:rsid w:val="5E691FCC"/>
    <w:rsid w:val="5EFE6D9F"/>
    <w:rsid w:val="5FAF693F"/>
    <w:rsid w:val="5FBE62B2"/>
    <w:rsid w:val="5FD502BB"/>
    <w:rsid w:val="601F2081"/>
    <w:rsid w:val="60C97883"/>
    <w:rsid w:val="60FA1AB5"/>
    <w:rsid w:val="61110088"/>
    <w:rsid w:val="614038B3"/>
    <w:rsid w:val="617E720D"/>
    <w:rsid w:val="61B12B32"/>
    <w:rsid w:val="61BC46AA"/>
    <w:rsid w:val="626D0F16"/>
    <w:rsid w:val="635B4253"/>
    <w:rsid w:val="637A4D42"/>
    <w:rsid w:val="63D37E68"/>
    <w:rsid w:val="64642FE1"/>
    <w:rsid w:val="64C748FC"/>
    <w:rsid w:val="64D26D32"/>
    <w:rsid w:val="65781475"/>
    <w:rsid w:val="65832F2E"/>
    <w:rsid w:val="65C11A6D"/>
    <w:rsid w:val="66761886"/>
    <w:rsid w:val="668F7CDE"/>
    <w:rsid w:val="66E01D5E"/>
    <w:rsid w:val="674269EE"/>
    <w:rsid w:val="674340DD"/>
    <w:rsid w:val="6744735F"/>
    <w:rsid w:val="67C45273"/>
    <w:rsid w:val="681C5418"/>
    <w:rsid w:val="68787B8E"/>
    <w:rsid w:val="68C63D21"/>
    <w:rsid w:val="690E1F26"/>
    <w:rsid w:val="699F1274"/>
    <w:rsid w:val="6A573CDC"/>
    <w:rsid w:val="6A6C28E2"/>
    <w:rsid w:val="6B5B5013"/>
    <w:rsid w:val="6B6115F8"/>
    <w:rsid w:val="6C705C78"/>
    <w:rsid w:val="6D5B5494"/>
    <w:rsid w:val="6D5D62D4"/>
    <w:rsid w:val="6E063BA5"/>
    <w:rsid w:val="6E6F0B94"/>
    <w:rsid w:val="6E77779C"/>
    <w:rsid w:val="6E826490"/>
    <w:rsid w:val="6EE0436E"/>
    <w:rsid w:val="6F4262A6"/>
    <w:rsid w:val="6FD67BDF"/>
    <w:rsid w:val="7093183D"/>
    <w:rsid w:val="718B12B3"/>
    <w:rsid w:val="71A70D68"/>
    <w:rsid w:val="71E4036B"/>
    <w:rsid w:val="72046E51"/>
    <w:rsid w:val="721A60AE"/>
    <w:rsid w:val="72E51904"/>
    <w:rsid w:val="72F80747"/>
    <w:rsid w:val="73A5096F"/>
    <w:rsid w:val="747912AF"/>
    <w:rsid w:val="74967A06"/>
    <w:rsid w:val="759F2206"/>
    <w:rsid w:val="75DA5C61"/>
    <w:rsid w:val="762C5900"/>
    <w:rsid w:val="765E0AE1"/>
    <w:rsid w:val="76BD62B7"/>
    <w:rsid w:val="77A54221"/>
    <w:rsid w:val="77B5202F"/>
    <w:rsid w:val="78851991"/>
    <w:rsid w:val="788915C8"/>
    <w:rsid w:val="789113F3"/>
    <w:rsid w:val="79242A10"/>
    <w:rsid w:val="792A1545"/>
    <w:rsid w:val="794D249D"/>
    <w:rsid w:val="79EF29E8"/>
    <w:rsid w:val="7A2D2BCE"/>
    <w:rsid w:val="7A3F63BE"/>
    <w:rsid w:val="7A607FF6"/>
    <w:rsid w:val="7A6C7422"/>
    <w:rsid w:val="7A7A093E"/>
    <w:rsid w:val="7AE16146"/>
    <w:rsid w:val="7B4F6BE3"/>
    <w:rsid w:val="7B570E7B"/>
    <w:rsid w:val="7CA371B8"/>
    <w:rsid w:val="7CCD158B"/>
    <w:rsid w:val="7D7F3EF6"/>
    <w:rsid w:val="7EC96310"/>
    <w:rsid w:val="7ED07893"/>
    <w:rsid w:val="7EED7CBA"/>
    <w:rsid w:val="7F0959EB"/>
    <w:rsid w:val="7F573A8F"/>
    <w:rsid w:val="7F6856B3"/>
    <w:rsid w:val="7F7248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napToGrid w:val="0"/>
      <w:spacing w:before="0" w:beforeLines="0" w:beforeAutospacing="0" w:after="0" w:afterLines="0" w:afterAutospacing="0" w:line="240" w:lineRule="auto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0" w:beforeLines="0" w:beforeAutospacing="0" w:after="0" w:afterLines="0" w:afterAutospacing="0" w:line="360" w:lineRule="auto"/>
      <w:ind w:firstLine="640"/>
      <w:jc w:val="lef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link w:val="26"/>
    <w:unhideWhenUsed/>
    <w:qFormat/>
    <w:uiPriority w:val="9"/>
    <w:pPr>
      <w:keepNext/>
      <w:keepLines/>
      <w:spacing w:before="0" w:beforeLines="0" w:beforeAutospacing="0" w:after="0" w:afterLines="0" w:afterAutospacing="0" w:line="360" w:lineRule="auto"/>
      <w:jc w:val="left"/>
      <w:outlineLvl w:val="2"/>
    </w:pPr>
    <w:rPr>
      <w:rFonts w:eastAsia="楷体_GB2312"/>
      <w:sz w:val="32"/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 Indent"/>
    <w:basedOn w:val="1"/>
    <w:qFormat/>
    <w:uiPriority w:val="0"/>
    <w:pPr>
      <w:spacing w:line="600" w:lineRule="exact"/>
      <w:ind w:firstLine="640" w:firstLineChars="200"/>
    </w:pPr>
    <w:rPr>
      <w:rFonts w:ascii="Times New Roman" w:hAnsi="Times New Roman" w:eastAsia="仿宋_GB2312"/>
      <w:sz w:val="32"/>
      <w:szCs w:val="24"/>
    </w:rPr>
  </w:style>
  <w:style w:type="paragraph" w:styleId="7">
    <w:name w:val="Date"/>
    <w:basedOn w:val="1"/>
    <w:next w:val="1"/>
    <w:link w:val="24"/>
    <w:unhideWhenUsed/>
    <w:qFormat/>
    <w:uiPriority w:val="99"/>
    <w:pPr>
      <w:ind w:left="100" w:leftChars="2500"/>
    </w:p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1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5">
    <w:name w:val="page number"/>
    <w:basedOn w:val="14"/>
    <w:qFormat/>
    <w:uiPriority w:val="0"/>
  </w:style>
  <w:style w:type="character" w:styleId="16">
    <w:name w:val="Hyperlink"/>
    <w:basedOn w:val="14"/>
    <w:qFormat/>
    <w:uiPriority w:val="0"/>
    <w:rPr>
      <w:color w:val="000000"/>
      <w:u w:val="none"/>
    </w:rPr>
  </w:style>
  <w:style w:type="paragraph" w:customStyle="1" w:styleId="17">
    <w:name w:val="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u w:val="words" w:color="FFFFFF"/>
      <w:lang w:eastAsia="en-US"/>
    </w:rPr>
  </w:style>
  <w:style w:type="paragraph" w:customStyle="1" w:styleId="18">
    <w:name w:val="Char Char Char Char Char Char Char Char Char Char Char Char Char Char Char1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9">
    <w:name w:val="文号"/>
    <w:basedOn w:val="1"/>
    <w:link w:val="23"/>
    <w:qFormat/>
    <w:uiPriority w:val="0"/>
    <w:pPr>
      <w:spacing w:line="360" w:lineRule="auto"/>
      <w:jc w:val="center"/>
    </w:pPr>
    <w:rPr>
      <w:rFonts w:ascii="Times New Roman" w:hAnsi="Times New Roman" w:eastAsia="仿宋_GB2312"/>
      <w:kern w:val="0"/>
      <w:sz w:val="32"/>
    </w:rPr>
  </w:style>
  <w:style w:type="paragraph" w:customStyle="1" w:styleId="20">
    <w:name w:val=" Char Char Char Char Char Char Char Char Char Char Char Char Char Char Char1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21">
    <w:name w:val="正文标题"/>
    <w:basedOn w:val="1"/>
    <w:link w:val="25"/>
    <w:qFormat/>
    <w:uiPriority w:val="0"/>
    <w:pPr>
      <w:snapToGrid w:val="0"/>
      <w:spacing w:line="500" w:lineRule="atLeast"/>
      <w:jc w:val="center"/>
    </w:pPr>
    <w:rPr>
      <w:rFonts w:ascii="宋体" w:hAnsi="宋体" w:eastAsia="华文中宋"/>
      <w:b/>
      <w:sz w:val="32"/>
      <w:szCs w:val="44"/>
    </w:rPr>
  </w:style>
  <w:style w:type="paragraph" w:customStyle="1" w:styleId="22">
    <w:name w:val="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u w:val="words" w:color="FFFFFF"/>
      <w:lang w:eastAsia="en-US"/>
    </w:rPr>
  </w:style>
  <w:style w:type="character" w:customStyle="1" w:styleId="23">
    <w:name w:val="文号 Char"/>
    <w:basedOn w:val="14"/>
    <w:link w:val="19"/>
    <w:qFormat/>
    <w:uiPriority w:val="0"/>
    <w:rPr>
      <w:rFonts w:eastAsia="仿宋_GB2312"/>
      <w:sz w:val="32"/>
      <w:szCs w:val="22"/>
      <w:lang w:val="en-US" w:eastAsia="zh-CN" w:bidi="ar-SA"/>
    </w:rPr>
  </w:style>
  <w:style w:type="character" w:customStyle="1" w:styleId="24">
    <w:name w:val=" Char Char"/>
    <w:basedOn w:val="14"/>
    <w:link w:val="7"/>
    <w:semiHidden/>
    <w:qFormat/>
    <w:uiPriority w:val="99"/>
  </w:style>
  <w:style w:type="character" w:customStyle="1" w:styleId="25">
    <w:name w:val="正文标题 Char"/>
    <w:basedOn w:val="14"/>
    <w:link w:val="21"/>
    <w:qFormat/>
    <w:uiPriority w:val="0"/>
    <w:rPr>
      <w:rFonts w:ascii="宋体" w:hAnsi="宋体" w:eastAsia="华文中宋"/>
      <w:b/>
      <w:kern w:val="2"/>
      <w:sz w:val="32"/>
      <w:szCs w:val="44"/>
      <w:lang w:val="en-US" w:eastAsia="zh-CN" w:bidi="ar-SA"/>
    </w:rPr>
  </w:style>
  <w:style w:type="character" w:customStyle="1" w:styleId="26">
    <w:name w:val="标题 3 Char"/>
    <w:link w:val="4"/>
    <w:qFormat/>
    <w:uiPriority w:val="9"/>
    <w:rPr>
      <w:rFonts w:eastAsia="楷体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31%20%20&#24037;&#20855;&#31665;\&#27169;&#26495;\&#25991;&#20214;&#27169;&#26495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文件模板.wpt</Template>
  <Company>云南省安全生产监督管理局</Company>
  <Pages>4</Pages>
  <Words>1421</Words>
  <Characters>1481</Characters>
  <Lines>37</Lines>
  <Paragraphs>10</Paragraphs>
  <TotalTime>0</TotalTime>
  <ScaleCrop>false</ScaleCrop>
  <LinksUpToDate>false</LinksUpToDate>
  <CharactersWithSpaces>1509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2017-09-05T06:49:00Z</dcterms:created>
  <dc:creator>tyj</dc:creator>
  <cp:lastModifiedBy>张淑婷</cp:lastModifiedBy>
  <cp:lastPrinted>2018-07-31T07:08:00Z</cp:lastPrinted>
  <dcterms:modified xsi:type="dcterms:W3CDTF">2023-03-03T02:14:27Z</dcterms:modified>
  <dc:title>云南省安全生产委员会办公室关于征求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AEFC92379B7D41ECB0EA1B172FE83026</vt:lpwstr>
  </property>
</Properties>
</file>