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仿宋_GB2312" w:cs="Times New Roman"/>
          <w:bCs/>
          <w:sz w:val="44"/>
          <w:szCs w:val="44"/>
        </w:rPr>
      </w:pPr>
    </w:p>
    <w:p>
      <w:pPr>
        <w:jc w:val="center"/>
        <w:rPr>
          <w:rFonts w:ascii="Times New Roman" w:hAnsi="Times New Roman" w:eastAsia="仿宋_GB2312" w:cs="Times New Roman"/>
          <w:bCs/>
          <w:sz w:val="44"/>
          <w:szCs w:val="44"/>
        </w:rPr>
      </w:pPr>
    </w:p>
    <w:p>
      <w:pPr>
        <w:jc w:val="center"/>
        <w:rPr>
          <w:rFonts w:ascii="Times New Roman" w:hAnsi="Times New Roman" w:eastAsia="仿宋_GB2312" w:cs="Times New Roman"/>
          <w:bCs/>
          <w:sz w:val="44"/>
          <w:szCs w:val="44"/>
        </w:rPr>
      </w:pPr>
    </w:p>
    <w:p>
      <w:pPr>
        <w:jc w:val="center"/>
        <w:rPr>
          <w:rFonts w:ascii="方正小标宋简体" w:hAnsi="方正小标宋简体" w:eastAsia="方正小标宋简体" w:cs="方正小标宋简体"/>
          <w:bCs/>
          <w:sz w:val="44"/>
          <w:szCs w:val="44"/>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云南省工贸行业企业</w:t>
      </w:r>
      <w:r>
        <w:rPr>
          <w:rFonts w:hint="eastAsia" w:ascii="方正小标宋简体" w:hAnsi="方正小标宋简体" w:eastAsia="方正小标宋简体" w:cs="方正小标宋简体"/>
          <w:sz w:val="44"/>
          <w:szCs w:val="44"/>
        </w:rPr>
        <w:t>安全风险</w:t>
      </w:r>
      <w:r>
        <w:rPr>
          <w:rFonts w:hint="eastAsia" w:ascii="方正小标宋简体" w:hAnsi="方正小标宋简体" w:eastAsia="方正小标宋简体" w:cs="方正小标宋简体"/>
          <w:sz w:val="44"/>
          <w:szCs w:val="44"/>
          <w:lang w:eastAsia="zh-CN"/>
        </w:rPr>
        <w:t>源</w:t>
      </w:r>
      <w:r>
        <w:rPr>
          <w:rFonts w:hint="eastAsia" w:ascii="方正小标宋简体" w:hAnsi="方正小标宋简体" w:eastAsia="方正小标宋简体" w:cs="方正小标宋简体"/>
          <w:sz w:val="44"/>
          <w:szCs w:val="44"/>
        </w:rPr>
        <w:t>点定性定量判别参考标准指南</w:t>
      </w:r>
    </w:p>
    <w:p>
      <w:pPr>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sz w:val="44"/>
          <w:szCs w:val="44"/>
        </w:rPr>
        <w:t>（试行）</w:t>
      </w: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rPr>
          <w:rFonts w:ascii="Times New Roman" w:hAnsi="Times New Roman" w:eastAsia="仿宋_GB2312" w:cs="Times New Roman"/>
        </w:rPr>
      </w:pPr>
    </w:p>
    <w:p>
      <w:pPr>
        <w:jc w:val="center"/>
        <w:rPr>
          <w:rFonts w:ascii="Times New Roman" w:hAnsi="Times New Roman" w:eastAsia="仿宋_GB2312" w:cs="Times New Roman"/>
          <w:sz w:val="32"/>
          <w:szCs w:val="32"/>
        </w:rPr>
      </w:pPr>
    </w:p>
    <w:p>
      <w:pPr>
        <w:jc w:val="center"/>
        <w:rPr>
          <w:rFonts w:ascii="Times New Roman" w:hAnsi="Times New Roman" w:eastAsia="仿宋_GB2312" w:cs="Times New Roman"/>
          <w:sz w:val="32"/>
          <w:szCs w:val="32"/>
        </w:rPr>
      </w:pPr>
    </w:p>
    <w:p>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云南省应急管理厅</w:t>
      </w:r>
    </w:p>
    <w:p>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2022年1月</w:t>
      </w:r>
    </w:p>
    <w:p>
      <w:pPr>
        <w:jc w:val="center"/>
        <w:rPr>
          <w:rFonts w:ascii="Times New Roman" w:hAnsi="Times New Roman" w:eastAsia="仿宋_GB2312" w:cs="Times New Roman"/>
          <w:sz w:val="32"/>
          <w:szCs w:val="32"/>
        </w:rPr>
      </w:pPr>
    </w:p>
    <w:sdt>
      <w:sdtPr>
        <w:rPr>
          <w:rFonts w:ascii="Times New Roman" w:hAnsi="Times New Roman" w:eastAsia="仿宋_GB2312" w:cs="Times New Roman"/>
          <w:b w:val="0"/>
          <w:bCs w:val="0"/>
          <w:color w:val="auto"/>
          <w:kern w:val="2"/>
          <w:sz w:val="21"/>
          <w:szCs w:val="22"/>
          <w:lang w:val="zh-CN"/>
        </w:rPr>
        <w:id w:val="-1029792171"/>
      </w:sdtPr>
      <w:sdtEndPr>
        <w:rPr>
          <w:rFonts w:ascii="Times New Roman" w:hAnsi="Times New Roman" w:eastAsia="仿宋_GB2312" w:cs="Times New Roman"/>
          <w:b w:val="0"/>
          <w:bCs w:val="0"/>
          <w:color w:val="auto"/>
          <w:kern w:val="2"/>
          <w:sz w:val="21"/>
          <w:szCs w:val="22"/>
          <w:lang w:val="zh-CN"/>
        </w:rPr>
      </w:sdtEndPr>
      <w:sdtContent>
        <w:p>
          <w:pPr>
            <w:pStyle w:val="25"/>
            <w:jc w:val="center"/>
            <w:rPr>
              <w:rFonts w:ascii="Times New Roman" w:hAnsi="Times New Roman" w:eastAsia="仿宋_GB2312" w:cs="Times New Roman"/>
              <w:b w:val="0"/>
              <w:bCs w:val="0"/>
              <w:color w:val="auto"/>
              <w:kern w:val="2"/>
              <w:sz w:val="21"/>
              <w:szCs w:val="22"/>
              <w:lang w:val="zh-CN"/>
            </w:rPr>
          </w:pPr>
          <w:r>
            <w:rPr>
              <w:rFonts w:ascii="Times New Roman" w:hAnsi="Times New Roman" w:eastAsia="仿宋_GB2312" w:cs="Times New Roman"/>
              <w:color w:val="auto"/>
              <w:lang w:val="zh-CN"/>
            </w:rPr>
            <w:t>目  录</w:t>
          </w:r>
        </w:p>
        <w:p>
          <w:pPr>
            <w:pStyle w:val="15"/>
            <w:tabs>
              <w:tab w:val="right" w:leader="dot" w:pos="8296"/>
            </w:tabs>
          </w:pPr>
          <w:r>
            <w:rPr>
              <w:rFonts w:ascii="Times New Roman" w:hAnsi="Times New Roman" w:eastAsia="仿宋_GB2312" w:cs="Times New Roman"/>
            </w:rPr>
            <w:fldChar w:fldCharType="begin"/>
          </w:r>
          <w:r>
            <w:rPr>
              <w:rFonts w:ascii="Times New Roman" w:hAnsi="Times New Roman" w:eastAsia="仿宋_GB2312" w:cs="Times New Roman"/>
            </w:rPr>
            <w:instrText xml:space="preserve"> TOC \o "1-3" \h \z \u </w:instrText>
          </w:r>
          <w:r>
            <w:rPr>
              <w:rFonts w:ascii="Times New Roman" w:hAnsi="Times New Roman" w:eastAsia="仿宋_GB2312" w:cs="Times New Roman"/>
            </w:rPr>
            <w:fldChar w:fldCharType="separate"/>
          </w:r>
          <w:r>
            <w:fldChar w:fldCharType="begin"/>
          </w:r>
          <w:r>
            <w:instrText xml:space="preserve"> HYPERLINK \l "_Toc92909932" </w:instrText>
          </w:r>
          <w:r>
            <w:fldChar w:fldCharType="separate"/>
          </w:r>
          <w:r>
            <w:rPr>
              <w:rStyle w:val="22"/>
              <w:rFonts w:hint="eastAsia" w:ascii="Times New Roman" w:hAnsi="Times New Roman" w:eastAsia="仿宋_GB2312" w:cs="Times New Roman"/>
              <w:color w:val="auto"/>
            </w:rPr>
            <w:t>前</w:t>
          </w:r>
          <w:r>
            <w:rPr>
              <w:rStyle w:val="22"/>
              <w:rFonts w:ascii="Times New Roman" w:hAnsi="Times New Roman" w:eastAsia="仿宋_GB2312" w:cs="Times New Roman"/>
              <w:color w:val="auto"/>
            </w:rPr>
            <w:t xml:space="preserve"> </w:t>
          </w:r>
          <w:r>
            <w:rPr>
              <w:rStyle w:val="22"/>
              <w:rFonts w:hint="eastAsia" w:ascii="Times New Roman" w:hAnsi="Times New Roman" w:eastAsia="仿宋_GB2312" w:cs="Times New Roman"/>
              <w:color w:val="auto"/>
            </w:rPr>
            <w:t>言</w:t>
          </w:r>
          <w:r>
            <w:tab/>
          </w:r>
          <w:r>
            <w:fldChar w:fldCharType="begin"/>
          </w:r>
          <w:r>
            <w:instrText xml:space="preserve"> PAGEREF _Toc92909932 \h </w:instrText>
          </w:r>
          <w:r>
            <w:fldChar w:fldCharType="separate"/>
          </w:r>
          <w:r>
            <w:t>1</w:t>
          </w:r>
          <w:r>
            <w:fldChar w:fldCharType="end"/>
          </w:r>
          <w:r>
            <w:fldChar w:fldCharType="end"/>
          </w:r>
        </w:p>
        <w:p>
          <w:pPr>
            <w:pStyle w:val="16"/>
            <w:tabs>
              <w:tab w:val="left" w:pos="1470"/>
              <w:tab w:val="right" w:leader="dot" w:pos="8296"/>
            </w:tabs>
          </w:pPr>
          <w:r>
            <w:fldChar w:fldCharType="begin"/>
          </w:r>
          <w:r>
            <w:instrText xml:space="preserve"> HYPERLINK \l "_Toc92909933" </w:instrText>
          </w:r>
          <w:r>
            <w:fldChar w:fldCharType="separate"/>
          </w:r>
          <w:r>
            <w:rPr>
              <w:rStyle w:val="22"/>
              <w:rFonts w:hint="eastAsia" w:ascii="Times New Roman" w:hAnsi="Times New Roman" w:eastAsia="仿宋_GB2312"/>
              <w:color w:val="auto"/>
            </w:rPr>
            <w:t>第一章</w:t>
          </w:r>
          <w:r>
            <w:tab/>
          </w:r>
          <w:r>
            <w:rPr>
              <w:rStyle w:val="22"/>
              <w:rFonts w:hint="eastAsia" w:ascii="Times New Roman" w:hAnsi="Times New Roman" w:eastAsia="仿宋_GB2312"/>
              <w:color w:val="auto"/>
            </w:rPr>
            <w:t>术语和定义</w:t>
          </w:r>
          <w:r>
            <w:tab/>
          </w:r>
          <w:r>
            <w:fldChar w:fldCharType="begin"/>
          </w:r>
          <w:r>
            <w:instrText xml:space="preserve"> PAGEREF _Toc92909933 \h </w:instrText>
          </w:r>
          <w:r>
            <w:fldChar w:fldCharType="separate"/>
          </w:r>
          <w:r>
            <w:t>3</w:t>
          </w:r>
          <w:r>
            <w:fldChar w:fldCharType="end"/>
          </w:r>
          <w:r>
            <w:fldChar w:fldCharType="end"/>
          </w:r>
        </w:p>
        <w:p>
          <w:pPr>
            <w:pStyle w:val="9"/>
            <w:tabs>
              <w:tab w:val="left" w:pos="1470"/>
              <w:tab w:val="right" w:leader="dot" w:pos="8296"/>
            </w:tabs>
          </w:pPr>
          <w:r>
            <w:fldChar w:fldCharType="begin"/>
          </w:r>
          <w:r>
            <w:instrText xml:space="preserve"> HYPERLINK \l "_Toc92909934" </w:instrText>
          </w:r>
          <w:r>
            <w:fldChar w:fldCharType="separate"/>
          </w:r>
          <w:r>
            <w:rPr>
              <w:rStyle w:val="22"/>
              <w:rFonts w:ascii="Times New Roman" w:hAnsi="Times New Roman" w:eastAsia="仿宋_GB2312"/>
              <w:color w:val="auto"/>
            </w:rPr>
            <w:t>1.1</w:t>
          </w:r>
          <w:r>
            <w:tab/>
          </w:r>
          <w:r>
            <w:rPr>
              <w:rStyle w:val="22"/>
              <w:rFonts w:hint="eastAsia" w:ascii="Times New Roman" w:hAnsi="Times New Roman" w:eastAsia="仿宋_GB2312"/>
              <w:color w:val="auto"/>
            </w:rPr>
            <w:t>风险</w:t>
          </w:r>
          <w:r>
            <w:tab/>
          </w:r>
          <w:r>
            <w:fldChar w:fldCharType="begin"/>
          </w:r>
          <w:r>
            <w:instrText xml:space="preserve"> PAGEREF _Toc92909934 \h </w:instrText>
          </w:r>
          <w:r>
            <w:fldChar w:fldCharType="separate"/>
          </w:r>
          <w:r>
            <w:t>3</w:t>
          </w:r>
          <w:r>
            <w:fldChar w:fldCharType="end"/>
          </w:r>
          <w:r>
            <w:fldChar w:fldCharType="end"/>
          </w:r>
        </w:p>
        <w:p>
          <w:pPr>
            <w:pStyle w:val="9"/>
            <w:tabs>
              <w:tab w:val="left" w:pos="1470"/>
              <w:tab w:val="right" w:leader="dot" w:pos="8296"/>
            </w:tabs>
          </w:pPr>
          <w:r>
            <w:fldChar w:fldCharType="begin"/>
          </w:r>
          <w:r>
            <w:instrText xml:space="preserve"> HYPERLINK \l "_Toc92909935" </w:instrText>
          </w:r>
          <w:r>
            <w:fldChar w:fldCharType="separate"/>
          </w:r>
          <w:r>
            <w:rPr>
              <w:rStyle w:val="22"/>
              <w:rFonts w:ascii="Times New Roman" w:hAnsi="Times New Roman" w:eastAsia="仿宋_GB2312"/>
              <w:color w:val="auto"/>
            </w:rPr>
            <w:t>1.2</w:t>
          </w:r>
          <w:r>
            <w:tab/>
          </w:r>
          <w:r>
            <w:rPr>
              <w:rStyle w:val="22"/>
              <w:rFonts w:hint="eastAsia" w:ascii="Times New Roman" w:hAnsi="Times New Roman" w:eastAsia="仿宋_GB2312"/>
              <w:color w:val="auto"/>
            </w:rPr>
            <w:t>风险点</w:t>
          </w:r>
          <w:r>
            <w:tab/>
          </w:r>
          <w:r>
            <w:rPr>
              <w:rFonts w:hint="eastAsia"/>
              <w:lang w:val="en-US" w:eastAsia="zh-CN"/>
            </w:rPr>
            <w:t>4</w:t>
          </w:r>
          <w:r>
            <w:fldChar w:fldCharType="end"/>
          </w:r>
        </w:p>
        <w:p>
          <w:pPr>
            <w:pStyle w:val="9"/>
            <w:tabs>
              <w:tab w:val="left" w:pos="1470"/>
              <w:tab w:val="right" w:leader="dot" w:pos="8296"/>
            </w:tabs>
          </w:pPr>
          <w:r>
            <w:fldChar w:fldCharType="begin"/>
          </w:r>
          <w:r>
            <w:instrText xml:space="preserve"> HYPERLINK \l "_Toc92909936" </w:instrText>
          </w:r>
          <w:r>
            <w:fldChar w:fldCharType="separate"/>
          </w:r>
          <w:r>
            <w:rPr>
              <w:rStyle w:val="22"/>
              <w:rFonts w:ascii="Times New Roman" w:hAnsi="Times New Roman" w:eastAsia="仿宋_GB2312"/>
              <w:color w:val="auto"/>
            </w:rPr>
            <w:t>1.3</w:t>
          </w:r>
          <w:r>
            <w:tab/>
          </w:r>
          <w:r>
            <w:rPr>
              <w:rStyle w:val="22"/>
              <w:rFonts w:hint="eastAsia" w:ascii="Times New Roman" w:hAnsi="Times New Roman" w:eastAsia="仿宋_GB2312"/>
              <w:color w:val="auto"/>
            </w:rPr>
            <w:t>危险源</w:t>
          </w:r>
          <w:r>
            <w:tab/>
          </w:r>
          <w:r>
            <w:fldChar w:fldCharType="begin"/>
          </w:r>
          <w:r>
            <w:instrText xml:space="preserve"> PAGEREF _Toc92909936 \h </w:instrText>
          </w:r>
          <w:r>
            <w:fldChar w:fldCharType="separate"/>
          </w:r>
          <w:r>
            <w:t>5</w:t>
          </w:r>
          <w:r>
            <w:fldChar w:fldCharType="end"/>
          </w:r>
          <w:r>
            <w:fldChar w:fldCharType="end"/>
          </w:r>
        </w:p>
        <w:p>
          <w:pPr>
            <w:pStyle w:val="9"/>
            <w:tabs>
              <w:tab w:val="left" w:pos="1470"/>
              <w:tab w:val="right" w:leader="dot" w:pos="8296"/>
            </w:tabs>
          </w:pPr>
          <w:r>
            <w:fldChar w:fldCharType="begin"/>
          </w:r>
          <w:r>
            <w:instrText xml:space="preserve"> HYPERLINK \l "_Toc92909937" </w:instrText>
          </w:r>
          <w:r>
            <w:fldChar w:fldCharType="separate"/>
          </w:r>
          <w:r>
            <w:rPr>
              <w:rStyle w:val="22"/>
              <w:rFonts w:ascii="Times New Roman" w:hAnsi="Times New Roman" w:eastAsia="仿宋_GB2312"/>
              <w:color w:val="auto"/>
            </w:rPr>
            <w:t>1.4</w:t>
          </w:r>
          <w:r>
            <w:tab/>
          </w:r>
          <w:r>
            <w:rPr>
              <w:rStyle w:val="22"/>
              <w:rFonts w:hint="eastAsia" w:ascii="Times New Roman" w:hAnsi="Times New Roman" w:eastAsia="仿宋_GB2312"/>
              <w:color w:val="auto"/>
            </w:rPr>
            <w:t>危险源辨识</w:t>
          </w:r>
          <w:r>
            <w:tab/>
          </w:r>
          <w:r>
            <w:fldChar w:fldCharType="begin"/>
          </w:r>
          <w:r>
            <w:instrText xml:space="preserve"> PAGEREF _Toc92909937 \h </w:instrText>
          </w:r>
          <w:r>
            <w:fldChar w:fldCharType="separate"/>
          </w:r>
          <w:r>
            <w:t>5</w:t>
          </w:r>
          <w:r>
            <w:fldChar w:fldCharType="end"/>
          </w:r>
          <w:r>
            <w:fldChar w:fldCharType="end"/>
          </w:r>
        </w:p>
        <w:p>
          <w:pPr>
            <w:pStyle w:val="9"/>
            <w:tabs>
              <w:tab w:val="left" w:pos="1470"/>
              <w:tab w:val="right" w:leader="dot" w:pos="8296"/>
            </w:tabs>
          </w:pPr>
          <w:r>
            <w:fldChar w:fldCharType="begin"/>
          </w:r>
          <w:r>
            <w:instrText xml:space="preserve"> HYPERLINK \l "_Toc92909938" </w:instrText>
          </w:r>
          <w:r>
            <w:fldChar w:fldCharType="separate"/>
          </w:r>
          <w:r>
            <w:rPr>
              <w:rStyle w:val="22"/>
              <w:rFonts w:ascii="Times New Roman" w:hAnsi="Times New Roman" w:eastAsia="仿宋_GB2312"/>
              <w:color w:val="auto"/>
            </w:rPr>
            <w:t>1.5</w:t>
          </w:r>
          <w:r>
            <w:tab/>
          </w:r>
          <w:r>
            <w:rPr>
              <w:rStyle w:val="22"/>
              <w:rFonts w:hint="eastAsia" w:ascii="Times New Roman" w:hAnsi="Times New Roman" w:eastAsia="仿宋_GB2312"/>
              <w:color w:val="auto"/>
            </w:rPr>
            <w:t>危险和有害因素</w:t>
          </w:r>
          <w:r>
            <w:tab/>
          </w:r>
          <w:r>
            <w:fldChar w:fldCharType="begin"/>
          </w:r>
          <w:r>
            <w:instrText xml:space="preserve"> PAGEREF _Toc92909938 \h </w:instrText>
          </w:r>
          <w:r>
            <w:fldChar w:fldCharType="separate"/>
          </w:r>
          <w:r>
            <w:t>5</w:t>
          </w:r>
          <w:r>
            <w:fldChar w:fldCharType="end"/>
          </w:r>
          <w:r>
            <w:fldChar w:fldCharType="end"/>
          </w:r>
        </w:p>
        <w:p>
          <w:pPr>
            <w:pStyle w:val="9"/>
            <w:tabs>
              <w:tab w:val="right" w:leader="dot" w:pos="8296"/>
            </w:tabs>
          </w:pPr>
          <w:r>
            <w:fldChar w:fldCharType="begin"/>
          </w:r>
          <w:r>
            <w:instrText xml:space="preserve"> HYPERLINK \l "_Toc92909939" </w:instrText>
          </w:r>
          <w:r>
            <w:fldChar w:fldCharType="separate"/>
          </w:r>
          <w:r>
            <w:rPr>
              <w:rStyle w:val="22"/>
              <w:rFonts w:ascii="Times New Roman" w:hAnsi="Times New Roman" w:eastAsia="仿宋_GB2312"/>
              <w:color w:val="auto"/>
            </w:rPr>
            <w:t xml:space="preserve">1.6  </w:t>
          </w:r>
          <w:r>
            <w:rPr>
              <w:rStyle w:val="22"/>
              <w:rFonts w:hint="eastAsia" w:ascii="Times New Roman" w:hAnsi="Times New Roman" w:eastAsia="仿宋_GB2312"/>
              <w:color w:val="auto"/>
            </w:rPr>
            <w:t>风险评价</w:t>
          </w:r>
          <w:r>
            <w:tab/>
          </w:r>
          <w:r>
            <w:fldChar w:fldCharType="begin"/>
          </w:r>
          <w:r>
            <w:instrText xml:space="preserve"> PAGEREF _Toc92909939 \h </w:instrText>
          </w:r>
          <w:r>
            <w:fldChar w:fldCharType="separate"/>
          </w:r>
          <w:r>
            <w:t>5</w:t>
          </w:r>
          <w:r>
            <w:fldChar w:fldCharType="end"/>
          </w:r>
          <w:r>
            <w:fldChar w:fldCharType="end"/>
          </w:r>
        </w:p>
        <w:p>
          <w:pPr>
            <w:pStyle w:val="9"/>
            <w:tabs>
              <w:tab w:val="right" w:leader="dot" w:pos="8296"/>
            </w:tabs>
          </w:pPr>
          <w:r>
            <w:fldChar w:fldCharType="begin"/>
          </w:r>
          <w:r>
            <w:instrText xml:space="preserve"> HYPERLINK \l "_Toc92909940" </w:instrText>
          </w:r>
          <w:r>
            <w:fldChar w:fldCharType="separate"/>
          </w:r>
          <w:r>
            <w:rPr>
              <w:rStyle w:val="22"/>
              <w:rFonts w:ascii="Times New Roman" w:hAnsi="Times New Roman" w:eastAsia="仿宋_GB2312"/>
              <w:color w:val="auto"/>
            </w:rPr>
            <w:t xml:space="preserve">1.7  </w:t>
          </w:r>
          <w:r>
            <w:rPr>
              <w:rStyle w:val="22"/>
              <w:rFonts w:hint="eastAsia" w:ascii="Times New Roman" w:hAnsi="Times New Roman" w:eastAsia="仿宋_GB2312"/>
              <w:color w:val="auto"/>
            </w:rPr>
            <w:t>风险分级</w:t>
          </w:r>
          <w:r>
            <w:tab/>
          </w:r>
          <w:r>
            <w:fldChar w:fldCharType="begin"/>
          </w:r>
          <w:r>
            <w:instrText xml:space="preserve"> PAGEREF _Toc92909940 \h </w:instrText>
          </w:r>
          <w:r>
            <w:fldChar w:fldCharType="separate"/>
          </w:r>
          <w:r>
            <w:t>6</w:t>
          </w:r>
          <w:r>
            <w:fldChar w:fldCharType="end"/>
          </w:r>
          <w:r>
            <w:fldChar w:fldCharType="end"/>
          </w:r>
        </w:p>
        <w:p>
          <w:pPr>
            <w:pStyle w:val="9"/>
            <w:tabs>
              <w:tab w:val="right" w:leader="dot" w:pos="8296"/>
            </w:tabs>
          </w:pPr>
          <w:r>
            <w:fldChar w:fldCharType="begin"/>
          </w:r>
          <w:r>
            <w:instrText xml:space="preserve"> HYPERLINK \l "_Toc92909941" </w:instrText>
          </w:r>
          <w:r>
            <w:fldChar w:fldCharType="separate"/>
          </w:r>
          <w:r>
            <w:rPr>
              <w:rStyle w:val="22"/>
              <w:rFonts w:ascii="Times New Roman" w:hAnsi="Times New Roman" w:eastAsia="仿宋_GB2312"/>
              <w:color w:val="auto"/>
            </w:rPr>
            <w:t xml:space="preserve">1.8  </w:t>
          </w:r>
          <w:r>
            <w:rPr>
              <w:rStyle w:val="22"/>
              <w:rFonts w:hint="eastAsia" w:ascii="Times New Roman" w:hAnsi="Times New Roman" w:eastAsia="仿宋_GB2312"/>
              <w:color w:val="auto"/>
            </w:rPr>
            <w:t>风险分级管控</w:t>
          </w:r>
          <w:r>
            <w:tab/>
          </w:r>
          <w:r>
            <w:fldChar w:fldCharType="begin"/>
          </w:r>
          <w:r>
            <w:instrText xml:space="preserve"> PAGEREF _Toc92909941 \h </w:instrText>
          </w:r>
          <w:r>
            <w:fldChar w:fldCharType="separate"/>
          </w:r>
          <w:r>
            <w:t>7</w:t>
          </w:r>
          <w:r>
            <w:fldChar w:fldCharType="end"/>
          </w:r>
          <w:r>
            <w:fldChar w:fldCharType="end"/>
          </w:r>
        </w:p>
        <w:p>
          <w:pPr>
            <w:pStyle w:val="9"/>
            <w:tabs>
              <w:tab w:val="right" w:leader="dot" w:pos="8296"/>
            </w:tabs>
          </w:pPr>
          <w:r>
            <w:fldChar w:fldCharType="begin"/>
          </w:r>
          <w:r>
            <w:instrText xml:space="preserve"> HYPERLINK \l "_Toc92909942" </w:instrText>
          </w:r>
          <w:r>
            <w:fldChar w:fldCharType="separate"/>
          </w:r>
          <w:r>
            <w:rPr>
              <w:rStyle w:val="22"/>
              <w:rFonts w:ascii="Times New Roman" w:hAnsi="Times New Roman" w:eastAsia="仿宋_GB2312"/>
              <w:color w:val="auto"/>
            </w:rPr>
            <w:t xml:space="preserve">1.9  </w:t>
          </w:r>
          <w:r>
            <w:rPr>
              <w:rStyle w:val="22"/>
              <w:rFonts w:hint="eastAsia" w:ascii="Times New Roman" w:hAnsi="Times New Roman" w:eastAsia="仿宋_GB2312"/>
              <w:color w:val="auto"/>
            </w:rPr>
            <w:t>风险信息</w:t>
          </w:r>
          <w:r>
            <w:tab/>
          </w:r>
          <w:r>
            <w:fldChar w:fldCharType="begin"/>
          </w:r>
          <w:r>
            <w:instrText xml:space="preserve"> PAGEREF _Toc92909942 \h </w:instrText>
          </w:r>
          <w:r>
            <w:fldChar w:fldCharType="separate"/>
          </w:r>
          <w:r>
            <w:t>8</w:t>
          </w:r>
          <w:r>
            <w:fldChar w:fldCharType="end"/>
          </w:r>
          <w:r>
            <w:fldChar w:fldCharType="end"/>
          </w:r>
        </w:p>
        <w:p>
          <w:pPr>
            <w:pStyle w:val="9"/>
            <w:tabs>
              <w:tab w:val="right" w:leader="dot" w:pos="8296"/>
            </w:tabs>
          </w:pPr>
          <w:r>
            <w:fldChar w:fldCharType="begin"/>
          </w:r>
          <w:r>
            <w:instrText xml:space="preserve"> HYPERLINK \l "_Toc92909943" </w:instrText>
          </w:r>
          <w:r>
            <w:fldChar w:fldCharType="separate"/>
          </w:r>
          <w:r>
            <w:rPr>
              <w:rStyle w:val="22"/>
              <w:rFonts w:ascii="Times New Roman" w:hAnsi="Times New Roman" w:eastAsia="仿宋_GB2312"/>
              <w:color w:val="auto"/>
            </w:rPr>
            <w:t xml:space="preserve">1.10  </w:t>
          </w:r>
          <w:r>
            <w:rPr>
              <w:rStyle w:val="22"/>
              <w:rFonts w:hint="eastAsia" w:ascii="Times New Roman" w:hAnsi="Times New Roman" w:eastAsia="仿宋_GB2312"/>
              <w:color w:val="auto"/>
            </w:rPr>
            <w:t>风险控制措施</w:t>
          </w:r>
          <w:r>
            <w:tab/>
          </w:r>
          <w:r>
            <w:fldChar w:fldCharType="begin"/>
          </w:r>
          <w:r>
            <w:instrText xml:space="preserve"> PAGEREF _Toc92909943 \h </w:instrText>
          </w:r>
          <w:r>
            <w:fldChar w:fldCharType="separate"/>
          </w:r>
          <w:r>
            <w:t>8</w:t>
          </w:r>
          <w:r>
            <w:fldChar w:fldCharType="end"/>
          </w:r>
          <w:r>
            <w:fldChar w:fldCharType="end"/>
          </w:r>
        </w:p>
        <w:p>
          <w:pPr>
            <w:pStyle w:val="9"/>
            <w:tabs>
              <w:tab w:val="right" w:leader="dot" w:pos="8296"/>
            </w:tabs>
          </w:pPr>
          <w:r>
            <w:fldChar w:fldCharType="begin"/>
          </w:r>
          <w:r>
            <w:instrText xml:space="preserve"> HYPERLINK \l "_Toc92909944" </w:instrText>
          </w:r>
          <w:r>
            <w:fldChar w:fldCharType="separate"/>
          </w:r>
          <w:r>
            <w:rPr>
              <w:rStyle w:val="22"/>
              <w:rFonts w:ascii="Times New Roman" w:hAnsi="Times New Roman" w:eastAsia="仿宋_GB2312"/>
              <w:color w:val="auto"/>
            </w:rPr>
            <w:t xml:space="preserve">1.11  </w:t>
          </w:r>
          <w:r>
            <w:rPr>
              <w:rStyle w:val="22"/>
              <w:rFonts w:hint="eastAsia" w:ascii="Times New Roman" w:hAnsi="Times New Roman" w:eastAsia="仿宋_GB2312"/>
              <w:color w:val="auto"/>
            </w:rPr>
            <w:t>事故隐患</w:t>
          </w:r>
          <w:r>
            <w:tab/>
          </w:r>
          <w:r>
            <w:fldChar w:fldCharType="begin"/>
          </w:r>
          <w:r>
            <w:instrText xml:space="preserve"> PAGEREF _Toc92909944 \h </w:instrText>
          </w:r>
          <w:r>
            <w:fldChar w:fldCharType="separate"/>
          </w:r>
          <w:r>
            <w:t>9</w:t>
          </w:r>
          <w:r>
            <w:fldChar w:fldCharType="end"/>
          </w:r>
          <w:r>
            <w:fldChar w:fldCharType="end"/>
          </w:r>
        </w:p>
        <w:p>
          <w:pPr>
            <w:pStyle w:val="9"/>
            <w:tabs>
              <w:tab w:val="right" w:leader="dot" w:pos="8296"/>
            </w:tabs>
          </w:pPr>
          <w:r>
            <w:fldChar w:fldCharType="begin"/>
          </w:r>
          <w:r>
            <w:instrText xml:space="preserve"> HYPERLINK \l "_Toc92909945" </w:instrText>
          </w:r>
          <w:r>
            <w:fldChar w:fldCharType="separate"/>
          </w:r>
          <w:r>
            <w:rPr>
              <w:rStyle w:val="22"/>
              <w:rFonts w:ascii="Times New Roman" w:hAnsi="Times New Roman" w:eastAsia="仿宋_GB2312"/>
              <w:color w:val="auto"/>
            </w:rPr>
            <w:t xml:space="preserve">1.12  </w:t>
          </w:r>
          <w:r>
            <w:rPr>
              <w:rStyle w:val="22"/>
              <w:rFonts w:hint="eastAsia" w:ascii="Times New Roman" w:hAnsi="Times New Roman" w:eastAsia="仿宋_GB2312"/>
              <w:color w:val="auto"/>
            </w:rPr>
            <w:t>隐患排查</w:t>
          </w:r>
          <w:r>
            <w:tab/>
          </w:r>
          <w:r>
            <w:fldChar w:fldCharType="begin"/>
          </w:r>
          <w:r>
            <w:instrText xml:space="preserve"> PAGEREF _Toc92909945 \h </w:instrText>
          </w:r>
          <w:r>
            <w:fldChar w:fldCharType="separate"/>
          </w:r>
          <w:r>
            <w:t>9</w:t>
          </w:r>
          <w:r>
            <w:fldChar w:fldCharType="end"/>
          </w:r>
          <w:r>
            <w:fldChar w:fldCharType="end"/>
          </w:r>
        </w:p>
        <w:p>
          <w:pPr>
            <w:pStyle w:val="9"/>
            <w:tabs>
              <w:tab w:val="right" w:leader="dot" w:pos="8296"/>
            </w:tabs>
          </w:pPr>
          <w:r>
            <w:fldChar w:fldCharType="begin"/>
          </w:r>
          <w:r>
            <w:instrText xml:space="preserve"> HYPERLINK \l "_Toc92909946" </w:instrText>
          </w:r>
          <w:r>
            <w:fldChar w:fldCharType="separate"/>
          </w:r>
          <w:r>
            <w:rPr>
              <w:rStyle w:val="22"/>
              <w:rFonts w:ascii="Times New Roman" w:hAnsi="Times New Roman" w:eastAsia="仿宋_GB2312"/>
              <w:color w:val="auto"/>
            </w:rPr>
            <w:t xml:space="preserve">1.13  </w:t>
          </w:r>
          <w:r>
            <w:rPr>
              <w:rStyle w:val="22"/>
              <w:rFonts w:hint="eastAsia" w:ascii="Times New Roman" w:hAnsi="Times New Roman" w:eastAsia="仿宋_GB2312"/>
              <w:color w:val="auto"/>
            </w:rPr>
            <w:t>隐患治理</w:t>
          </w:r>
          <w:r>
            <w:tab/>
          </w:r>
          <w:r>
            <w:fldChar w:fldCharType="begin"/>
          </w:r>
          <w:r>
            <w:instrText xml:space="preserve"> PAGEREF _Toc92909946 \h </w:instrText>
          </w:r>
          <w:r>
            <w:fldChar w:fldCharType="separate"/>
          </w:r>
          <w:r>
            <w:t>9</w:t>
          </w:r>
          <w:r>
            <w:fldChar w:fldCharType="end"/>
          </w:r>
          <w:r>
            <w:fldChar w:fldCharType="end"/>
          </w:r>
        </w:p>
        <w:p>
          <w:pPr>
            <w:pStyle w:val="16"/>
            <w:tabs>
              <w:tab w:val="left" w:pos="1470"/>
              <w:tab w:val="right" w:leader="dot" w:pos="8296"/>
            </w:tabs>
          </w:pPr>
          <w:r>
            <w:fldChar w:fldCharType="begin"/>
          </w:r>
          <w:r>
            <w:instrText xml:space="preserve"> HYPERLINK \l "_Toc92909947" </w:instrText>
          </w:r>
          <w:r>
            <w:fldChar w:fldCharType="separate"/>
          </w:r>
          <w:r>
            <w:rPr>
              <w:rStyle w:val="22"/>
              <w:rFonts w:hint="eastAsia" w:ascii="Times New Roman" w:hAnsi="Times New Roman" w:eastAsia="仿宋_GB2312"/>
              <w:color w:val="auto"/>
            </w:rPr>
            <w:t>第二章</w:t>
          </w:r>
          <w:r>
            <w:tab/>
          </w:r>
          <w:r>
            <w:rPr>
              <w:rStyle w:val="22"/>
              <w:rFonts w:hint="eastAsia" w:ascii="Times New Roman" w:hAnsi="Times New Roman" w:eastAsia="仿宋_GB2312"/>
              <w:color w:val="auto"/>
            </w:rPr>
            <w:t>安全风险评价方法简介</w:t>
          </w:r>
          <w:r>
            <w:tab/>
          </w:r>
          <w:r>
            <w:fldChar w:fldCharType="begin"/>
          </w:r>
          <w:r>
            <w:instrText xml:space="preserve"> PAGEREF _Toc92909947 \h </w:instrText>
          </w:r>
          <w:r>
            <w:fldChar w:fldCharType="separate"/>
          </w:r>
          <w:r>
            <w:t>11</w:t>
          </w:r>
          <w:r>
            <w:fldChar w:fldCharType="end"/>
          </w:r>
          <w:r>
            <w:fldChar w:fldCharType="end"/>
          </w:r>
        </w:p>
        <w:p>
          <w:pPr>
            <w:pStyle w:val="9"/>
            <w:tabs>
              <w:tab w:val="right" w:leader="dot" w:pos="8296"/>
            </w:tabs>
          </w:pPr>
          <w:r>
            <w:fldChar w:fldCharType="begin"/>
          </w:r>
          <w:r>
            <w:instrText xml:space="preserve"> HYPERLINK \l "_Toc92909948" </w:instrText>
          </w:r>
          <w:r>
            <w:fldChar w:fldCharType="separate"/>
          </w:r>
          <w:r>
            <w:rPr>
              <w:rStyle w:val="22"/>
              <w:rFonts w:ascii="Times New Roman" w:hAnsi="Times New Roman" w:eastAsia="仿宋_GB2312"/>
              <w:color w:val="auto"/>
            </w:rPr>
            <w:t>2.1</w:t>
          </w:r>
          <w:r>
            <w:rPr>
              <w:rStyle w:val="22"/>
              <w:rFonts w:hint="eastAsia" w:ascii="Times New Roman" w:hAnsi="Times New Roman" w:eastAsia="仿宋_GB2312"/>
              <w:color w:val="auto"/>
            </w:rPr>
            <w:t>安全风险评价方法</w:t>
          </w:r>
          <w:r>
            <w:tab/>
          </w:r>
          <w:r>
            <w:fldChar w:fldCharType="begin"/>
          </w:r>
          <w:r>
            <w:instrText xml:space="preserve"> PAGEREF _Toc92909948 \h </w:instrText>
          </w:r>
          <w:r>
            <w:fldChar w:fldCharType="separate"/>
          </w:r>
          <w:r>
            <w:t>11</w:t>
          </w:r>
          <w:r>
            <w:fldChar w:fldCharType="end"/>
          </w:r>
          <w:r>
            <w:fldChar w:fldCharType="end"/>
          </w:r>
        </w:p>
        <w:p>
          <w:pPr>
            <w:pStyle w:val="9"/>
            <w:tabs>
              <w:tab w:val="right" w:leader="dot" w:pos="8296"/>
            </w:tabs>
          </w:pPr>
          <w:r>
            <w:fldChar w:fldCharType="begin"/>
          </w:r>
          <w:r>
            <w:instrText xml:space="preserve"> HYPERLINK \l "_Toc92909949" </w:instrText>
          </w:r>
          <w:r>
            <w:fldChar w:fldCharType="separate"/>
          </w:r>
          <w:r>
            <w:rPr>
              <w:rStyle w:val="22"/>
              <w:rFonts w:ascii="Times New Roman" w:hAnsi="Times New Roman" w:eastAsia="仿宋_GB2312"/>
              <w:color w:val="auto"/>
            </w:rPr>
            <w:t xml:space="preserve">2.2  </w:t>
          </w:r>
          <w:r>
            <w:rPr>
              <w:rStyle w:val="22"/>
              <w:rFonts w:hint="eastAsia" w:ascii="Times New Roman" w:hAnsi="Times New Roman" w:eastAsia="仿宋_GB2312"/>
              <w:color w:val="auto"/>
            </w:rPr>
            <w:t>风险评价准则</w:t>
          </w:r>
          <w:r>
            <w:tab/>
          </w:r>
          <w:r>
            <w:fldChar w:fldCharType="begin"/>
          </w:r>
          <w:r>
            <w:instrText xml:space="preserve"> PAGEREF _Toc92909949 \h </w:instrText>
          </w:r>
          <w:r>
            <w:fldChar w:fldCharType="separate"/>
          </w:r>
          <w:r>
            <w:t>22</w:t>
          </w:r>
          <w:r>
            <w:fldChar w:fldCharType="end"/>
          </w:r>
          <w:r>
            <w:fldChar w:fldCharType="end"/>
          </w:r>
        </w:p>
        <w:p>
          <w:pPr>
            <w:pStyle w:val="16"/>
            <w:tabs>
              <w:tab w:val="left" w:pos="1470"/>
              <w:tab w:val="right" w:leader="dot" w:pos="8296"/>
            </w:tabs>
          </w:pPr>
          <w:r>
            <w:fldChar w:fldCharType="begin"/>
          </w:r>
          <w:r>
            <w:instrText xml:space="preserve"> HYPERLINK \l "_Toc92909950" </w:instrText>
          </w:r>
          <w:r>
            <w:fldChar w:fldCharType="separate"/>
          </w:r>
          <w:r>
            <w:rPr>
              <w:rStyle w:val="22"/>
              <w:rFonts w:hint="eastAsia" w:ascii="Times New Roman" w:hAnsi="Times New Roman" w:eastAsia="仿宋_GB2312" w:cs="Times New Roman"/>
              <w:b/>
              <w:bCs/>
              <w:color w:val="auto"/>
            </w:rPr>
            <w:t>第三章</w:t>
          </w:r>
          <w:r>
            <w:tab/>
          </w:r>
          <w:r>
            <w:rPr>
              <w:rStyle w:val="22"/>
              <w:rFonts w:hint="eastAsia" w:ascii="Times New Roman" w:hAnsi="Times New Roman" w:eastAsia="仿宋_GB2312" w:cs="Times New Roman"/>
              <w:b/>
              <w:bCs/>
              <w:color w:val="auto"/>
            </w:rPr>
            <w:t>专项类和通用类安全风险点判别参考标准</w:t>
          </w:r>
          <w:r>
            <w:tab/>
          </w:r>
          <w:r>
            <w:fldChar w:fldCharType="begin"/>
          </w:r>
          <w:r>
            <w:instrText xml:space="preserve"> PAGEREF _Toc92909950 \h </w:instrText>
          </w:r>
          <w:r>
            <w:fldChar w:fldCharType="separate"/>
          </w:r>
          <w:r>
            <w:t>24</w:t>
          </w:r>
          <w:r>
            <w:fldChar w:fldCharType="end"/>
          </w:r>
          <w:r>
            <w:fldChar w:fldCharType="end"/>
          </w:r>
        </w:p>
        <w:p>
          <w:pPr>
            <w:pStyle w:val="16"/>
            <w:tabs>
              <w:tab w:val="right" w:leader="dot" w:pos="8296"/>
            </w:tabs>
          </w:pPr>
          <w:r>
            <w:fldChar w:fldCharType="begin"/>
          </w:r>
          <w:r>
            <w:instrText xml:space="preserve"> HYPERLINK \l "_Toc92909951" </w:instrText>
          </w:r>
          <w:r>
            <w:fldChar w:fldCharType="separate"/>
          </w:r>
          <w:r>
            <w:rPr>
              <w:rStyle w:val="22"/>
              <w:rFonts w:ascii="Times New Roman" w:hAnsi="Times New Roman" w:eastAsia="仿宋_GB2312" w:cs="Times New Roman"/>
              <w:b/>
              <w:bCs/>
              <w:color w:val="auto"/>
            </w:rPr>
            <w:t>3.1</w:t>
          </w:r>
          <w:r>
            <w:rPr>
              <w:rStyle w:val="22"/>
              <w:rFonts w:hint="eastAsia" w:ascii="Times New Roman" w:hAnsi="Times New Roman" w:eastAsia="仿宋_GB2312" w:cs="Times New Roman"/>
              <w:b/>
              <w:bCs/>
              <w:color w:val="auto"/>
            </w:rPr>
            <w:t>专项类</w:t>
          </w:r>
          <w:r>
            <w:tab/>
          </w:r>
          <w:r>
            <w:fldChar w:fldCharType="begin"/>
          </w:r>
          <w:r>
            <w:instrText xml:space="preserve"> PAGEREF _Toc92909951 \h </w:instrText>
          </w:r>
          <w:r>
            <w:fldChar w:fldCharType="separate"/>
          </w:r>
          <w:r>
            <w:t>24</w:t>
          </w:r>
          <w:r>
            <w:fldChar w:fldCharType="end"/>
          </w:r>
          <w:r>
            <w:fldChar w:fldCharType="end"/>
          </w:r>
        </w:p>
        <w:p>
          <w:pPr>
            <w:pStyle w:val="9"/>
            <w:tabs>
              <w:tab w:val="right" w:leader="dot" w:pos="8296"/>
            </w:tabs>
          </w:pPr>
          <w:r>
            <w:fldChar w:fldCharType="begin"/>
          </w:r>
          <w:r>
            <w:instrText xml:space="preserve"> HYPERLINK \l "_Toc92909952" </w:instrText>
          </w:r>
          <w:r>
            <w:fldChar w:fldCharType="separate"/>
          </w:r>
          <w:r>
            <w:rPr>
              <w:rStyle w:val="22"/>
              <w:rFonts w:ascii="Times New Roman" w:hAnsi="Times New Roman" w:eastAsia="仿宋_GB2312" w:cs="Times New Roman"/>
              <w:b/>
              <w:bCs/>
              <w:color w:val="auto"/>
            </w:rPr>
            <w:t>3.1.1</w:t>
          </w:r>
          <w:r>
            <w:rPr>
              <w:rStyle w:val="22"/>
              <w:rFonts w:hint="eastAsia" w:ascii="Times New Roman" w:hAnsi="Times New Roman" w:eastAsia="仿宋_GB2312" w:cs="Times New Roman"/>
              <w:b/>
              <w:bCs/>
              <w:color w:val="auto"/>
            </w:rPr>
            <w:t>有限空间</w:t>
          </w:r>
          <w:r>
            <w:tab/>
          </w:r>
          <w:r>
            <w:fldChar w:fldCharType="begin"/>
          </w:r>
          <w:r>
            <w:instrText xml:space="preserve"> PAGEREF _Toc92909952 \h </w:instrText>
          </w:r>
          <w:r>
            <w:fldChar w:fldCharType="separate"/>
          </w:r>
          <w:r>
            <w:t>24</w:t>
          </w:r>
          <w:r>
            <w:fldChar w:fldCharType="end"/>
          </w:r>
          <w:r>
            <w:fldChar w:fldCharType="end"/>
          </w:r>
        </w:p>
        <w:p>
          <w:pPr>
            <w:pStyle w:val="9"/>
            <w:tabs>
              <w:tab w:val="right" w:leader="dot" w:pos="8296"/>
            </w:tabs>
          </w:pPr>
          <w:r>
            <w:fldChar w:fldCharType="begin"/>
          </w:r>
          <w:r>
            <w:instrText xml:space="preserve"> HYPERLINK \l "_Toc92909953" </w:instrText>
          </w:r>
          <w:r>
            <w:fldChar w:fldCharType="separate"/>
          </w:r>
          <w:r>
            <w:rPr>
              <w:rStyle w:val="22"/>
              <w:rFonts w:ascii="Times New Roman" w:hAnsi="Times New Roman" w:eastAsia="仿宋_GB2312" w:cs="Times New Roman"/>
              <w:b/>
              <w:bCs/>
              <w:color w:val="auto"/>
            </w:rPr>
            <w:t>3.1.2</w:t>
          </w:r>
          <w:r>
            <w:rPr>
              <w:rStyle w:val="22"/>
              <w:rFonts w:hint="eastAsia" w:ascii="Times New Roman" w:hAnsi="Times New Roman" w:eastAsia="仿宋_GB2312" w:cs="Times New Roman"/>
              <w:b/>
              <w:bCs/>
              <w:color w:val="auto"/>
            </w:rPr>
            <w:t>粉尘涉爆</w:t>
          </w:r>
          <w:r>
            <w:tab/>
          </w:r>
          <w:r>
            <w:fldChar w:fldCharType="begin"/>
          </w:r>
          <w:r>
            <w:instrText xml:space="preserve"> PAGEREF _Toc92909953 \h </w:instrText>
          </w:r>
          <w:r>
            <w:fldChar w:fldCharType="separate"/>
          </w:r>
          <w:r>
            <w:t>25</w:t>
          </w:r>
          <w:r>
            <w:fldChar w:fldCharType="end"/>
          </w:r>
          <w:r>
            <w:fldChar w:fldCharType="end"/>
          </w:r>
        </w:p>
        <w:p>
          <w:pPr>
            <w:pStyle w:val="9"/>
            <w:tabs>
              <w:tab w:val="right" w:leader="dot" w:pos="8296"/>
            </w:tabs>
          </w:pPr>
          <w:r>
            <w:fldChar w:fldCharType="begin"/>
          </w:r>
          <w:r>
            <w:instrText xml:space="preserve"> HYPERLINK \l "_Toc92909954" </w:instrText>
          </w:r>
          <w:r>
            <w:fldChar w:fldCharType="separate"/>
          </w:r>
          <w:r>
            <w:rPr>
              <w:rStyle w:val="22"/>
              <w:rFonts w:ascii="Times New Roman" w:hAnsi="Times New Roman" w:eastAsia="仿宋_GB2312" w:cs="Times New Roman"/>
              <w:b/>
              <w:bCs/>
              <w:color w:val="auto"/>
            </w:rPr>
            <w:t>3.1.3</w:t>
          </w:r>
          <w:r>
            <w:rPr>
              <w:rStyle w:val="22"/>
              <w:rFonts w:hint="eastAsia" w:ascii="Times New Roman" w:hAnsi="Times New Roman" w:eastAsia="仿宋_GB2312" w:cs="Times New Roman"/>
              <w:b/>
              <w:bCs/>
              <w:color w:val="auto"/>
            </w:rPr>
            <w:t>涉氨制冷</w:t>
          </w:r>
          <w:r>
            <w:tab/>
          </w:r>
          <w:r>
            <w:fldChar w:fldCharType="begin"/>
          </w:r>
          <w:r>
            <w:instrText xml:space="preserve"> PAGEREF _Toc92909954 \h </w:instrText>
          </w:r>
          <w:r>
            <w:fldChar w:fldCharType="separate"/>
          </w:r>
          <w:r>
            <w:t>26</w:t>
          </w:r>
          <w:r>
            <w:fldChar w:fldCharType="end"/>
          </w:r>
          <w:r>
            <w:fldChar w:fldCharType="end"/>
          </w:r>
        </w:p>
        <w:p>
          <w:pPr>
            <w:pStyle w:val="9"/>
            <w:tabs>
              <w:tab w:val="right" w:leader="dot" w:pos="8296"/>
            </w:tabs>
          </w:pPr>
          <w:r>
            <w:fldChar w:fldCharType="begin"/>
          </w:r>
          <w:r>
            <w:instrText xml:space="preserve"> HYPERLINK \l "_Toc92909955" </w:instrText>
          </w:r>
          <w:r>
            <w:fldChar w:fldCharType="separate"/>
          </w:r>
          <w:r>
            <w:rPr>
              <w:rStyle w:val="22"/>
              <w:rFonts w:ascii="Times New Roman" w:hAnsi="Times New Roman" w:eastAsia="仿宋_GB2312" w:cs="Times New Roman"/>
              <w:b/>
              <w:bCs/>
              <w:color w:val="auto"/>
            </w:rPr>
            <w:t>3.1.4</w:t>
          </w:r>
          <w:r>
            <w:rPr>
              <w:rStyle w:val="22"/>
              <w:rFonts w:hint="eastAsia" w:ascii="Times New Roman" w:hAnsi="Times New Roman" w:eastAsia="仿宋_GB2312" w:cs="Times New Roman"/>
              <w:b/>
              <w:bCs/>
              <w:color w:val="auto"/>
            </w:rPr>
            <w:t>铝加工（深井铸造）</w:t>
          </w:r>
          <w:r>
            <w:tab/>
          </w:r>
          <w:r>
            <w:fldChar w:fldCharType="begin"/>
          </w:r>
          <w:r>
            <w:instrText xml:space="preserve"> PAGEREF _Toc92909955 \h </w:instrText>
          </w:r>
          <w:r>
            <w:fldChar w:fldCharType="separate"/>
          </w:r>
          <w:r>
            <w:t>27</w:t>
          </w:r>
          <w:r>
            <w:fldChar w:fldCharType="end"/>
          </w:r>
          <w:r>
            <w:fldChar w:fldCharType="end"/>
          </w:r>
        </w:p>
        <w:p>
          <w:pPr>
            <w:pStyle w:val="16"/>
            <w:tabs>
              <w:tab w:val="right" w:leader="dot" w:pos="8296"/>
            </w:tabs>
          </w:pPr>
          <w:r>
            <w:fldChar w:fldCharType="begin"/>
          </w:r>
          <w:r>
            <w:instrText xml:space="preserve"> HYPERLINK \l "_Toc92909956" </w:instrText>
          </w:r>
          <w:r>
            <w:fldChar w:fldCharType="separate"/>
          </w:r>
          <w:r>
            <w:rPr>
              <w:rStyle w:val="22"/>
              <w:rFonts w:ascii="Times New Roman" w:hAnsi="Times New Roman" w:eastAsia="仿宋_GB2312" w:cs="Times New Roman"/>
              <w:b/>
              <w:bCs/>
              <w:color w:val="auto"/>
            </w:rPr>
            <w:t>3.2.</w:t>
          </w:r>
          <w:r>
            <w:rPr>
              <w:rStyle w:val="22"/>
              <w:rFonts w:hint="eastAsia" w:ascii="Times New Roman" w:hAnsi="Times New Roman" w:eastAsia="仿宋_GB2312" w:cs="Times New Roman"/>
              <w:b/>
              <w:bCs/>
              <w:color w:val="auto"/>
            </w:rPr>
            <w:t>通用类</w:t>
          </w:r>
          <w:r>
            <w:tab/>
          </w:r>
          <w:r>
            <w:fldChar w:fldCharType="begin"/>
          </w:r>
          <w:r>
            <w:instrText xml:space="preserve"> PAGEREF _Toc92909956 \h </w:instrText>
          </w:r>
          <w:r>
            <w:fldChar w:fldCharType="separate"/>
          </w:r>
          <w:r>
            <w:t>28</w:t>
          </w:r>
          <w:r>
            <w:fldChar w:fldCharType="end"/>
          </w:r>
          <w:r>
            <w:fldChar w:fldCharType="end"/>
          </w:r>
        </w:p>
        <w:p>
          <w:pPr>
            <w:pStyle w:val="9"/>
            <w:tabs>
              <w:tab w:val="right" w:leader="dot" w:pos="8296"/>
            </w:tabs>
          </w:pPr>
          <w:r>
            <w:fldChar w:fldCharType="begin"/>
          </w:r>
          <w:r>
            <w:instrText xml:space="preserve"> HYPERLINK \l "_Toc92909957" </w:instrText>
          </w:r>
          <w:r>
            <w:fldChar w:fldCharType="separate"/>
          </w:r>
          <w:r>
            <w:rPr>
              <w:rStyle w:val="22"/>
              <w:rFonts w:ascii="Times New Roman" w:hAnsi="Times New Roman" w:eastAsia="仿宋_GB2312" w:cs="Times New Roman"/>
              <w:b/>
              <w:bCs/>
              <w:color w:val="auto"/>
            </w:rPr>
            <w:t>3.2.1</w:t>
          </w:r>
          <w:r>
            <w:rPr>
              <w:rStyle w:val="22"/>
              <w:rFonts w:hint="eastAsia" w:ascii="Times New Roman" w:hAnsi="Times New Roman" w:eastAsia="仿宋_GB2312" w:cs="Times New Roman"/>
              <w:b/>
              <w:bCs/>
              <w:color w:val="auto"/>
            </w:rPr>
            <w:t>特种设备</w:t>
          </w:r>
          <w:r>
            <w:tab/>
          </w:r>
          <w:r>
            <w:fldChar w:fldCharType="begin"/>
          </w:r>
          <w:r>
            <w:instrText xml:space="preserve"> PAGEREF _Toc92909957 \h </w:instrText>
          </w:r>
          <w:r>
            <w:fldChar w:fldCharType="separate"/>
          </w:r>
          <w:r>
            <w:t>28</w:t>
          </w:r>
          <w:r>
            <w:fldChar w:fldCharType="end"/>
          </w:r>
          <w:r>
            <w:fldChar w:fldCharType="end"/>
          </w:r>
        </w:p>
        <w:p>
          <w:pPr>
            <w:pStyle w:val="9"/>
            <w:tabs>
              <w:tab w:val="right" w:leader="dot" w:pos="8296"/>
            </w:tabs>
          </w:pPr>
          <w:r>
            <w:fldChar w:fldCharType="begin"/>
          </w:r>
          <w:r>
            <w:instrText xml:space="preserve"> HYPERLINK \l "_Toc92909958" </w:instrText>
          </w:r>
          <w:r>
            <w:fldChar w:fldCharType="separate"/>
          </w:r>
          <w:r>
            <w:rPr>
              <w:rStyle w:val="22"/>
              <w:rFonts w:ascii="Times New Roman" w:hAnsi="Times New Roman" w:eastAsia="仿宋_GB2312" w:cs="Times New Roman"/>
              <w:b/>
              <w:bCs/>
              <w:color w:val="auto"/>
            </w:rPr>
            <w:t>3.2.2</w:t>
          </w:r>
          <w:r>
            <w:rPr>
              <w:rStyle w:val="22"/>
              <w:rFonts w:hint="eastAsia" w:ascii="Times New Roman" w:hAnsi="Times New Roman" w:eastAsia="仿宋_GB2312" w:cs="Times New Roman"/>
              <w:b/>
              <w:bCs/>
              <w:color w:val="auto"/>
            </w:rPr>
            <w:t>煤气设施</w:t>
          </w:r>
          <w:r>
            <w:tab/>
          </w:r>
          <w:r>
            <w:fldChar w:fldCharType="begin"/>
          </w:r>
          <w:r>
            <w:instrText xml:space="preserve"> PAGEREF _Toc92909958 \h </w:instrText>
          </w:r>
          <w:r>
            <w:fldChar w:fldCharType="separate"/>
          </w:r>
          <w:r>
            <w:t>29</w:t>
          </w:r>
          <w:r>
            <w:fldChar w:fldCharType="end"/>
          </w:r>
          <w:r>
            <w:fldChar w:fldCharType="end"/>
          </w:r>
        </w:p>
        <w:p>
          <w:pPr>
            <w:pStyle w:val="9"/>
            <w:tabs>
              <w:tab w:val="right" w:leader="dot" w:pos="8296"/>
            </w:tabs>
          </w:pPr>
          <w:r>
            <w:fldChar w:fldCharType="begin"/>
          </w:r>
          <w:r>
            <w:instrText xml:space="preserve"> HYPERLINK \l "_Toc92909959" </w:instrText>
          </w:r>
          <w:r>
            <w:fldChar w:fldCharType="separate"/>
          </w:r>
          <w:r>
            <w:rPr>
              <w:rStyle w:val="22"/>
              <w:rFonts w:ascii="Times New Roman" w:hAnsi="Times New Roman" w:eastAsia="仿宋_GB2312" w:cs="Times New Roman"/>
              <w:b/>
              <w:bCs/>
              <w:color w:val="auto"/>
            </w:rPr>
            <w:t>3.2.3</w:t>
          </w:r>
          <w:r>
            <w:rPr>
              <w:rStyle w:val="22"/>
              <w:rFonts w:hint="eastAsia" w:ascii="Times New Roman" w:hAnsi="Times New Roman" w:eastAsia="仿宋_GB2312" w:cs="Times New Roman"/>
              <w:b/>
              <w:bCs/>
              <w:color w:val="auto"/>
            </w:rPr>
            <w:t>危险品仓库及公辅系统</w:t>
          </w:r>
          <w:r>
            <w:tab/>
          </w:r>
          <w:r>
            <w:fldChar w:fldCharType="begin"/>
          </w:r>
          <w:r>
            <w:instrText xml:space="preserve"> PAGEREF _Toc92909959 \h </w:instrText>
          </w:r>
          <w:r>
            <w:fldChar w:fldCharType="separate"/>
          </w:r>
          <w:r>
            <w:t>30</w:t>
          </w:r>
          <w:r>
            <w:fldChar w:fldCharType="end"/>
          </w:r>
          <w:r>
            <w:fldChar w:fldCharType="end"/>
          </w:r>
        </w:p>
        <w:p>
          <w:pPr>
            <w:pStyle w:val="16"/>
            <w:tabs>
              <w:tab w:val="left" w:pos="1470"/>
              <w:tab w:val="right" w:leader="dot" w:pos="8296"/>
            </w:tabs>
          </w:pPr>
          <w:r>
            <w:fldChar w:fldCharType="begin"/>
          </w:r>
          <w:r>
            <w:instrText xml:space="preserve"> HYPERLINK \l "_Toc92909960" </w:instrText>
          </w:r>
          <w:r>
            <w:fldChar w:fldCharType="separate"/>
          </w:r>
          <w:r>
            <w:rPr>
              <w:rStyle w:val="22"/>
              <w:rFonts w:hint="eastAsia" w:ascii="Times New Roman" w:hAnsi="Times New Roman" w:eastAsia="仿宋_GB2312"/>
              <w:color w:val="auto"/>
            </w:rPr>
            <w:t>第四章</w:t>
          </w:r>
          <w:r>
            <w:tab/>
          </w:r>
          <w:r>
            <w:rPr>
              <w:rStyle w:val="22"/>
              <w:rFonts w:hint="eastAsia" w:ascii="Times New Roman" w:hAnsi="Times New Roman" w:eastAsia="仿宋_GB2312"/>
              <w:color w:val="auto"/>
            </w:rPr>
            <w:t>行业类安全风险点判别参考标准</w:t>
          </w:r>
          <w:r>
            <w:tab/>
          </w:r>
          <w:r>
            <w:fldChar w:fldCharType="begin"/>
          </w:r>
          <w:r>
            <w:instrText xml:space="preserve"> PAGEREF _Toc92909960 \h </w:instrText>
          </w:r>
          <w:r>
            <w:fldChar w:fldCharType="separate"/>
          </w:r>
          <w:r>
            <w:t>31</w:t>
          </w:r>
          <w:r>
            <w:fldChar w:fldCharType="end"/>
          </w:r>
          <w:r>
            <w:fldChar w:fldCharType="end"/>
          </w:r>
        </w:p>
        <w:p>
          <w:pPr>
            <w:pStyle w:val="9"/>
            <w:tabs>
              <w:tab w:val="right" w:leader="dot" w:pos="8296"/>
            </w:tabs>
          </w:pPr>
          <w:r>
            <w:fldChar w:fldCharType="begin"/>
          </w:r>
          <w:r>
            <w:instrText xml:space="preserve"> HYPERLINK \l "_Toc92909961" </w:instrText>
          </w:r>
          <w:r>
            <w:fldChar w:fldCharType="separate"/>
          </w:r>
          <w:r>
            <w:rPr>
              <w:rStyle w:val="22"/>
              <w:rFonts w:ascii="Times New Roman" w:hAnsi="Times New Roman" w:eastAsia="仿宋_GB2312"/>
              <w:color w:val="auto"/>
            </w:rPr>
            <w:t>4.1</w:t>
          </w:r>
          <w:r>
            <w:rPr>
              <w:rStyle w:val="22"/>
              <w:rFonts w:hint="eastAsia" w:ascii="Times New Roman" w:hAnsi="Times New Roman" w:eastAsia="仿宋_GB2312"/>
              <w:color w:val="auto"/>
            </w:rPr>
            <w:t>冶金行业</w:t>
          </w:r>
          <w:r>
            <w:tab/>
          </w:r>
          <w:r>
            <w:fldChar w:fldCharType="begin"/>
          </w:r>
          <w:r>
            <w:instrText xml:space="preserve"> PAGEREF _Toc92909961 \h </w:instrText>
          </w:r>
          <w:r>
            <w:fldChar w:fldCharType="separate"/>
          </w:r>
          <w:r>
            <w:t>31</w:t>
          </w:r>
          <w:r>
            <w:fldChar w:fldCharType="end"/>
          </w:r>
          <w:r>
            <w:fldChar w:fldCharType="end"/>
          </w:r>
        </w:p>
        <w:p>
          <w:pPr>
            <w:pStyle w:val="9"/>
            <w:tabs>
              <w:tab w:val="right" w:leader="dot" w:pos="8296"/>
            </w:tabs>
          </w:pPr>
          <w:r>
            <w:fldChar w:fldCharType="begin"/>
          </w:r>
          <w:r>
            <w:instrText xml:space="preserve"> HYPERLINK \l "_Toc92909962" </w:instrText>
          </w:r>
          <w:r>
            <w:fldChar w:fldCharType="separate"/>
          </w:r>
          <w:r>
            <w:rPr>
              <w:rStyle w:val="22"/>
              <w:rFonts w:ascii="Times New Roman" w:hAnsi="Times New Roman" w:eastAsia="仿宋_GB2312"/>
              <w:color w:val="auto"/>
            </w:rPr>
            <w:t>4.2</w:t>
          </w:r>
          <w:r>
            <w:rPr>
              <w:rStyle w:val="22"/>
              <w:rFonts w:hint="eastAsia" w:ascii="Times New Roman" w:hAnsi="Times New Roman" w:eastAsia="仿宋_GB2312"/>
              <w:color w:val="auto"/>
            </w:rPr>
            <w:t>有色行业</w:t>
          </w:r>
          <w:r>
            <w:tab/>
          </w:r>
          <w:r>
            <w:fldChar w:fldCharType="begin"/>
          </w:r>
          <w:r>
            <w:instrText xml:space="preserve"> PAGEREF _Toc92909962 \h </w:instrText>
          </w:r>
          <w:r>
            <w:fldChar w:fldCharType="separate"/>
          </w:r>
          <w:r>
            <w:t>75</w:t>
          </w:r>
          <w:r>
            <w:fldChar w:fldCharType="end"/>
          </w:r>
          <w:r>
            <w:fldChar w:fldCharType="end"/>
          </w:r>
        </w:p>
        <w:p>
          <w:pPr>
            <w:pStyle w:val="9"/>
            <w:tabs>
              <w:tab w:val="right" w:leader="dot" w:pos="8296"/>
            </w:tabs>
          </w:pPr>
          <w:r>
            <w:fldChar w:fldCharType="begin"/>
          </w:r>
          <w:r>
            <w:instrText xml:space="preserve"> HYPERLINK \l "_Toc92909963" </w:instrText>
          </w:r>
          <w:r>
            <w:fldChar w:fldCharType="separate"/>
          </w:r>
          <w:r>
            <w:rPr>
              <w:rStyle w:val="22"/>
              <w:rFonts w:ascii="Times New Roman" w:hAnsi="Times New Roman" w:eastAsia="仿宋_GB2312"/>
              <w:color w:val="auto"/>
            </w:rPr>
            <w:t>4.3</w:t>
          </w:r>
          <w:r>
            <w:rPr>
              <w:rStyle w:val="22"/>
              <w:rFonts w:hint="eastAsia" w:ascii="Times New Roman" w:hAnsi="Times New Roman" w:eastAsia="仿宋_GB2312"/>
              <w:color w:val="auto"/>
            </w:rPr>
            <w:t>建材行业</w:t>
          </w:r>
          <w:r>
            <w:tab/>
          </w:r>
          <w:r>
            <w:fldChar w:fldCharType="begin"/>
          </w:r>
          <w:r>
            <w:instrText xml:space="preserve"> PAGEREF _Toc92909963 \h </w:instrText>
          </w:r>
          <w:r>
            <w:fldChar w:fldCharType="separate"/>
          </w:r>
          <w:r>
            <w:t>136</w:t>
          </w:r>
          <w:r>
            <w:fldChar w:fldCharType="end"/>
          </w:r>
          <w:r>
            <w:fldChar w:fldCharType="end"/>
          </w:r>
        </w:p>
        <w:p>
          <w:pPr>
            <w:pStyle w:val="9"/>
            <w:tabs>
              <w:tab w:val="right" w:leader="dot" w:pos="8296"/>
            </w:tabs>
          </w:pPr>
          <w:r>
            <w:fldChar w:fldCharType="begin"/>
          </w:r>
          <w:r>
            <w:instrText xml:space="preserve"> HYPERLINK \l "_Toc92909964" </w:instrText>
          </w:r>
          <w:r>
            <w:fldChar w:fldCharType="separate"/>
          </w:r>
          <w:r>
            <w:rPr>
              <w:rStyle w:val="22"/>
              <w:rFonts w:ascii="Times New Roman" w:hAnsi="Times New Roman" w:eastAsia="仿宋_GB2312"/>
              <w:color w:val="auto"/>
            </w:rPr>
            <w:t>4.4</w:t>
          </w:r>
          <w:r>
            <w:rPr>
              <w:rStyle w:val="22"/>
              <w:rFonts w:hint="eastAsia" w:ascii="Times New Roman" w:hAnsi="Times New Roman" w:eastAsia="仿宋_GB2312"/>
              <w:color w:val="auto"/>
            </w:rPr>
            <w:t>机械行业</w:t>
          </w:r>
          <w:r>
            <w:tab/>
          </w:r>
          <w:r>
            <w:fldChar w:fldCharType="begin"/>
          </w:r>
          <w:r>
            <w:instrText xml:space="preserve"> PAGEREF _Toc92909964 \h </w:instrText>
          </w:r>
          <w:r>
            <w:fldChar w:fldCharType="separate"/>
          </w:r>
          <w:r>
            <w:t>152</w:t>
          </w:r>
          <w:r>
            <w:fldChar w:fldCharType="end"/>
          </w:r>
          <w:r>
            <w:fldChar w:fldCharType="end"/>
          </w:r>
        </w:p>
        <w:p>
          <w:pPr>
            <w:pStyle w:val="9"/>
            <w:tabs>
              <w:tab w:val="right" w:leader="dot" w:pos="8296"/>
            </w:tabs>
          </w:pPr>
          <w:r>
            <w:fldChar w:fldCharType="begin"/>
          </w:r>
          <w:r>
            <w:instrText xml:space="preserve"> HYPERLINK \l "_Toc92909965" </w:instrText>
          </w:r>
          <w:r>
            <w:fldChar w:fldCharType="separate"/>
          </w:r>
          <w:r>
            <w:rPr>
              <w:rStyle w:val="22"/>
              <w:rFonts w:ascii="Times New Roman" w:hAnsi="Times New Roman" w:eastAsia="仿宋_GB2312"/>
              <w:color w:val="auto"/>
            </w:rPr>
            <w:t>4.5</w:t>
          </w:r>
          <w:r>
            <w:rPr>
              <w:rStyle w:val="22"/>
              <w:rFonts w:hint="eastAsia" w:ascii="Times New Roman" w:hAnsi="Times New Roman" w:eastAsia="仿宋_GB2312"/>
              <w:color w:val="auto"/>
            </w:rPr>
            <w:t>轻工行业</w:t>
          </w:r>
          <w:r>
            <w:tab/>
          </w:r>
          <w:r>
            <w:fldChar w:fldCharType="begin"/>
          </w:r>
          <w:r>
            <w:instrText xml:space="preserve"> PAGEREF _Toc92909965 \h </w:instrText>
          </w:r>
          <w:r>
            <w:fldChar w:fldCharType="separate"/>
          </w:r>
          <w:r>
            <w:t>165</w:t>
          </w:r>
          <w:r>
            <w:fldChar w:fldCharType="end"/>
          </w:r>
          <w:r>
            <w:fldChar w:fldCharType="end"/>
          </w:r>
        </w:p>
        <w:p>
          <w:pPr>
            <w:pStyle w:val="9"/>
            <w:tabs>
              <w:tab w:val="right" w:leader="dot" w:pos="8296"/>
            </w:tabs>
          </w:pPr>
          <w:r>
            <w:fldChar w:fldCharType="begin"/>
          </w:r>
          <w:r>
            <w:instrText xml:space="preserve"> HYPERLINK \l "_Toc92909966" </w:instrText>
          </w:r>
          <w:r>
            <w:fldChar w:fldCharType="separate"/>
          </w:r>
          <w:r>
            <w:rPr>
              <w:rStyle w:val="22"/>
              <w:rFonts w:ascii="Times New Roman" w:hAnsi="Times New Roman" w:eastAsia="仿宋_GB2312"/>
              <w:color w:val="auto"/>
            </w:rPr>
            <w:t>4.6</w:t>
          </w:r>
          <w:r>
            <w:rPr>
              <w:rStyle w:val="22"/>
              <w:rFonts w:hint="eastAsia" w:ascii="Times New Roman" w:hAnsi="Times New Roman" w:eastAsia="仿宋_GB2312"/>
              <w:color w:val="auto"/>
            </w:rPr>
            <w:t>纺织行业</w:t>
          </w:r>
          <w:r>
            <w:tab/>
          </w:r>
          <w:r>
            <w:fldChar w:fldCharType="begin"/>
          </w:r>
          <w:r>
            <w:instrText xml:space="preserve"> PAGEREF _Toc92909966 \h </w:instrText>
          </w:r>
          <w:r>
            <w:fldChar w:fldCharType="separate"/>
          </w:r>
          <w:r>
            <w:t>255</w:t>
          </w:r>
          <w:r>
            <w:fldChar w:fldCharType="end"/>
          </w:r>
          <w:r>
            <w:fldChar w:fldCharType="end"/>
          </w:r>
        </w:p>
        <w:p>
          <w:pPr>
            <w:pStyle w:val="9"/>
            <w:tabs>
              <w:tab w:val="right" w:leader="dot" w:pos="8296"/>
            </w:tabs>
          </w:pPr>
          <w:r>
            <w:fldChar w:fldCharType="begin"/>
          </w:r>
          <w:r>
            <w:instrText xml:space="preserve"> HYPERLINK \l "_Toc92909967" </w:instrText>
          </w:r>
          <w:r>
            <w:fldChar w:fldCharType="separate"/>
          </w:r>
          <w:r>
            <w:rPr>
              <w:rStyle w:val="22"/>
              <w:rFonts w:ascii="Times New Roman" w:hAnsi="Times New Roman" w:eastAsia="仿宋_GB2312"/>
              <w:color w:val="auto"/>
            </w:rPr>
            <w:t>4.7</w:t>
          </w:r>
          <w:r>
            <w:rPr>
              <w:rStyle w:val="22"/>
              <w:rFonts w:hint="eastAsia" w:ascii="Times New Roman" w:hAnsi="Times New Roman" w:eastAsia="仿宋_GB2312"/>
              <w:color w:val="auto"/>
            </w:rPr>
            <w:t>烟草行业</w:t>
          </w:r>
          <w:r>
            <w:tab/>
          </w:r>
          <w:r>
            <w:fldChar w:fldCharType="begin"/>
          </w:r>
          <w:r>
            <w:instrText xml:space="preserve"> PAGEREF _Toc92909967 \h </w:instrText>
          </w:r>
          <w:r>
            <w:fldChar w:fldCharType="separate"/>
          </w:r>
          <w:r>
            <w:t>260</w:t>
          </w:r>
          <w:r>
            <w:fldChar w:fldCharType="end"/>
          </w:r>
          <w:r>
            <w:fldChar w:fldCharType="end"/>
          </w:r>
        </w:p>
        <w:p>
          <w:pPr>
            <w:pStyle w:val="9"/>
            <w:tabs>
              <w:tab w:val="right" w:leader="dot" w:pos="8296"/>
            </w:tabs>
          </w:pPr>
          <w:r>
            <w:fldChar w:fldCharType="begin"/>
          </w:r>
          <w:r>
            <w:instrText xml:space="preserve"> HYPERLINK \l "_Toc92909968" </w:instrText>
          </w:r>
          <w:r>
            <w:fldChar w:fldCharType="separate"/>
          </w:r>
          <w:r>
            <w:rPr>
              <w:rStyle w:val="22"/>
              <w:rFonts w:ascii="Times New Roman" w:hAnsi="Times New Roman" w:eastAsia="仿宋_GB2312"/>
              <w:color w:val="auto"/>
            </w:rPr>
            <w:t>4.8</w:t>
          </w:r>
          <w:r>
            <w:rPr>
              <w:rStyle w:val="22"/>
              <w:rFonts w:hint="eastAsia" w:ascii="Times New Roman" w:hAnsi="Times New Roman" w:eastAsia="仿宋_GB2312"/>
              <w:color w:val="auto"/>
            </w:rPr>
            <w:t>商贸行业</w:t>
          </w:r>
          <w:r>
            <w:tab/>
          </w:r>
          <w:r>
            <w:fldChar w:fldCharType="begin"/>
          </w:r>
          <w:r>
            <w:instrText xml:space="preserve"> PAGEREF _Toc92909968 \h </w:instrText>
          </w:r>
          <w:r>
            <w:fldChar w:fldCharType="separate"/>
          </w:r>
          <w:r>
            <w:t>270</w:t>
          </w:r>
          <w:r>
            <w:fldChar w:fldCharType="end"/>
          </w:r>
          <w:r>
            <w:fldChar w:fldCharType="end"/>
          </w:r>
        </w:p>
        <w:p>
          <w:pPr>
            <w:rPr>
              <w:rFonts w:ascii="Times New Roman" w:hAnsi="Times New Roman" w:eastAsia="仿宋_GB2312" w:cs="Times New Roman"/>
            </w:rPr>
          </w:pPr>
          <w:r>
            <w:rPr>
              <w:rFonts w:ascii="Times New Roman" w:hAnsi="Times New Roman" w:eastAsia="仿宋_GB2312" w:cs="Times New Roman"/>
              <w:b/>
              <w:bCs/>
              <w:lang w:val="zh-CN"/>
            </w:rPr>
            <w:fldChar w:fldCharType="end"/>
          </w:r>
        </w:p>
      </w:sdtContent>
    </w:sdt>
    <w:p>
      <w:pPr>
        <w:widowControl/>
        <w:jc w:val="left"/>
        <w:rPr>
          <w:rFonts w:ascii="Times New Roman" w:hAnsi="Times New Roman" w:eastAsia="仿宋_GB2312" w:cs="Times New Roman"/>
        </w:rPr>
        <w:sectPr>
          <w:footerReference r:id="rId4" w:type="first"/>
          <w:footerReference r:id="rId3" w:type="default"/>
          <w:pgSz w:w="11906" w:h="16838"/>
          <w:pgMar w:top="1440" w:right="1800" w:bottom="1440" w:left="1800" w:header="851" w:footer="992" w:gutter="0"/>
          <w:cols w:space="425" w:num="1"/>
          <w:docGrid w:type="lines" w:linePitch="312" w:charSpace="0"/>
        </w:sectPr>
      </w:pPr>
      <w:r>
        <w:rPr>
          <w:rFonts w:ascii="Times New Roman" w:hAnsi="Times New Roman" w:eastAsia="仿宋_GB2312" w:cs="Times New Roman"/>
        </w:rPr>
        <w:br w:type="page"/>
      </w:r>
    </w:p>
    <w:p>
      <w:pPr>
        <w:pStyle w:val="2"/>
        <w:spacing w:before="0" w:after="0"/>
        <w:jc w:val="center"/>
        <w:rPr>
          <w:rFonts w:ascii="Times New Roman" w:hAnsi="Times New Roman" w:eastAsia="仿宋_GB2312" w:cs="Times New Roman"/>
        </w:rPr>
      </w:pPr>
      <w:bookmarkStart w:id="0" w:name="_Toc92909932"/>
      <w:r>
        <w:rPr>
          <w:rFonts w:ascii="Times New Roman" w:hAnsi="Times New Roman" w:eastAsia="仿宋_GB2312" w:cs="Times New Roman"/>
        </w:rPr>
        <w:t>前 言</w:t>
      </w:r>
      <w:bookmarkEnd w:id="0"/>
    </w:p>
    <w:p>
      <w:pPr>
        <w:rPr>
          <w:rFonts w:ascii="Times New Roman" w:hAnsi="Times New Roman" w:eastAsia="仿宋_GB2312" w:cs="Times New Roman"/>
        </w:rPr>
      </w:pPr>
    </w:p>
    <w:p>
      <w:pPr>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为</w:t>
      </w:r>
      <w:r>
        <w:rPr>
          <w:rFonts w:hint="eastAsia" w:ascii="Times New Roman" w:hAnsi="Times New Roman" w:eastAsia="仿宋_GB2312" w:cs="Times New Roman"/>
          <w:sz w:val="32"/>
          <w:szCs w:val="32"/>
        </w:rPr>
        <w:t>进一步推</w:t>
      </w:r>
      <w:r>
        <w:rPr>
          <w:rFonts w:ascii="Times New Roman" w:hAnsi="Times New Roman" w:eastAsia="仿宋_GB2312" w:cs="Times New Roman"/>
          <w:sz w:val="32"/>
          <w:szCs w:val="32"/>
        </w:rPr>
        <w:t>进云南省工贸行业企业安全风险分级管控与隐患排查治理双重预防机制建设，云南省应急管理厅组织专家对重点工贸行业的重点</w:t>
      </w:r>
      <w:r>
        <w:rPr>
          <w:rFonts w:ascii="Times New Roman" w:hAnsi="Times New Roman" w:eastAsia="仿宋_GB2312" w:cs="Times New Roman"/>
          <w:bCs/>
          <w:sz w:val="32"/>
          <w:szCs w:val="32"/>
        </w:rPr>
        <w:t>安全风险点</w:t>
      </w:r>
      <w:r>
        <w:rPr>
          <w:rFonts w:ascii="Times New Roman" w:hAnsi="Times New Roman" w:eastAsia="仿宋_GB2312" w:cs="Times New Roman"/>
          <w:sz w:val="32"/>
          <w:szCs w:val="32"/>
        </w:rPr>
        <w:t>进行了梳理，拟定了</w:t>
      </w:r>
      <w:r>
        <w:rPr>
          <w:rFonts w:hint="eastAsia" w:ascii="Times New Roman" w:hAnsi="Times New Roman" w:eastAsia="仿宋_GB2312" w:cs="Times New Roman"/>
          <w:sz w:val="32"/>
          <w:szCs w:val="32"/>
        </w:rPr>
        <w:t>《云南省工贸行业企业安全风险</w:t>
      </w:r>
      <w:r>
        <w:rPr>
          <w:rFonts w:hint="eastAsia" w:ascii="Times New Roman" w:hAnsi="Times New Roman" w:eastAsia="仿宋_GB2312" w:cs="Times New Roman"/>
          <w:sz w:val="32"/>
          <w:szCs w:val="32"/>
          <w:lang w:eastAsia="zh-CN"/>
        </w:rPr>
        <w:t>源</w:t>
      </w:r>
      <w:r>
        <w:rPr>
          <w:rFonts w:hint="eastAsia" w:ascii="Times New Roman" w:hAnsi="Times New Roman" w:eastAsia="仿宋_GB2312" w:cs="Times New Roman"/>
          <w:sz w:val="32"/>
          <w:szCs w:val="32"/>
        </w:rPr>
        <w:t>点定性定量判别参考标准指南（试行）》（以下简称《指南》）</w:t>
      </w:r>
      <w:r>
        <w:rPr>
          <w:rFonts w:ascii="Times New Roman" w:hAnsi="Times New Roman" w:eastAsia="仿宋_GB2312" w:cs="Times New Roman"/>
          <w:sz w:val="32"/>
          <w:szCs w:val="32"/>
        </w:rPr>
        <w:t>。</w:t>
      </w:r>
    </w:p>
    <w:p>
      <w:pPr>
        <w:ind w:firstLine="627" w:firstLineChars="196"/>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鉴于同一行业各企业间生产工艺和设备可能存在差异的客观因素，本《指南》</w:t>
      </w:r>
      <w:r>
        <w:rPr>
          <w:rFonts w:ascii="Times New Roman" w:hAnsi="Times New Roman" w:eastAsia="仿宋_GB2312" w:cs="Times New Roman"/>
          <w:sz w:val="32"/>
          <w:szCs w:val="32"/>
        </w:rPr>
        <w:t>只列举了各行业部分典型的一、二、三级</w:t>
      </w:r>
      <w:r>
        <w:rPr>
          <w:rFonts w:ascii="Times New Roman" w:hAnsi="Times New Roman" w:eastAsia="仿宋_GB2312" w:cs="Times New Roman"/>
          <w:bCs/>
          <w:sz w:val="32"/>
          <w:szCs w:val="32"/>
        </w:rPr>
        <w:t>安全风险点</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并没有囊括所有的企业和企业所有的安全风险点，企业在开展安全风险分级管控工作中，须结合企业生产工艺、装备的实际，在《指南》的基础上进行安全风险点的调整、补充和完善。</w:t>
      </w:r>
    </w:p>
    <w:p>
      <w:pPr>
        <w:pStyle w:val="26"/>
        <w:numPr>
          <w:ilvl w:val="0"/>
          <w:numId w:val="1"/>
        </w:numPr>
        <w:ind w:left="0" w:firstLine="627" w:firstLineChars="196"/>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指南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中安全风险点分为专项类、通用类和行业类。行业类的一、二级安全风险点采用作业条件风险程度评价法（MES法）进行定量评价并进行分级。而专项类、通用类和行业类三级风险点采用专家评议法进行直接判定。</w:t>
      </w:r>
    </w:p>
    <w:p>
      <w:pPr>
        <w:pStyle w:val="26"/>
        <w:numPr>
          <w:ilvl w:val="0"/>
          <w:numId w:val="1"/>
        </w:numPr>
        <w:ind w:left="0" w:firstLine="627" w:firstLineChars="196"/>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指南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在定量风险评价过程中，未</w:t>
      </w:r>
      <w:r>
        <w:rPr>
          <w:rFonts w:ascii="Times New Roman" w:hAnsi="Times New Roman" w:eastAsia="仿宋_GB2312" w:cs="Times New Roman"/>
          <w:b/>
          <w:sz w:val="32"/>
          <w:szCs w:val="32"/>
        </w:rPr>
        <w:t>考虑企业已采取的安全风险控制措施，或假定所有安全风险控制措施均失效，</w:t>
      </w:r>
      <w:r>
        <w:rPr>
          <w:rFonts w:ascii="Times New Roman" w:hAnsi="Times New Roman" w:eastAsia="仿宋_GB2312" w:cs="Times New Roman"/>
          <w:sz w:val="32"/>
          <w:szCs w:val="32"/>
        </w:rPr>
        <w:t>以此为前提进行固有风险评价并确定固有安全风险等级。企业</w:t>
      </w:r>
      <w:r>
        <w:rPr>
          <w:rFonts w:hint="eastAsia" w:ascii="Times New Roman" w:hAnsi="Times New Roman" w:eastAsia="仿宋_GB2312" w:cs="Times New Roman"/>
          <w:sz w:val="32"/>
          <w:szCs w:val="32"/>
        </w:rPr>
        <w:t>须</w:t>
      </w:r>
      <w:r>
        <w:rPr>
          <w:rFonts w:ascii="Times New Roman" w:hAnsi="Times New Roman" w:eastAsia="仿宋_GB2312" w:cs="Times New Roman"/>
          <w:sz w:val="32"/>
          <w:szCs w:val="32"/>
        </w:rPr>
        <w:t>以各风险点固有安全风险等级绘制四色安全风险空间分布图。</w:t>
      </w:r>
    </w:p>
    <w:p>
      <w:pPr>
        <w:pStyle w:val="26"/>
        <w:numPr>
          <w:ilvl w:val="0"/>
          <w:numId w:val="1"/>
        </w:numPr>
        <w:ind w:left="0" w:firstLine="627" w:firstLineChars="196"/>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指南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中已有的一、二、三级安全风险点，原则上不得遗漏和降低风险等级，参考标准中未列入的，企业通过自主识别并经过固有安全风险评价进行增补。</w:t>
      </w:r>
    </w:p>
    <w:p>
      <w:pPr>
        <w:pStyle w:val="26"/>
        <w:numPr>
          <w:ilvl w:val="0"/>
          <w:numId w:val="1"/>
        </w:numPr>
        <w:ind w:left="0" w:firstLine="630" w:firstLineChars="196"/>
        <w:rPr>
          <w:rFonts w:ascii="Times New Roman" w:hAnsi="Times New Roman" w:eastAsia="仿宋_GB2312" w:cs="Times New Roman"/>
          <w:sz w:val="32"/>
          <w:szCs w:val="32"/>
        </w:rPr>
      </w:pPr>
      <w:r>
        <w:rPr>
          <w:rFonts w:ascii="Times New Roman" w:hAnsi="Times New Roman" w:eastAsia="仿宋_GB2312" w:cs="Times New Roman"/>
          <w:b/>
          <w:bCs/>
          <w:sz w:val="32"/>
          <w:szCs w:val="32"/>
        </w:rPr>
        <w:t>本</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指南</w:t>
      </w:r>
      <w:r>
        <w:rPr>
          <w:rFonts w:hint="eastAsia" w:ascii="Times New Roman" w:hAnsi="Times New Roman" w:eastAsia="仿宋_GB2312" w:cs="Times New Roman"/>
          <w:b/>
          <w:bCs/>
          <w:sz w:val="32"/>
          <w:szCs w:val="32"/>
        </w:rPr>
        <w:t>》</w:t>
      </w:r>
      <w:r>
        <w:rPr>
          <w:rFonts w:ascii="Times New Roman" w:hAnsi="Times New Roman" w:eastAsia="仿宋_GB2312" w:cs="Times New Roman"/>
          <w:b/>
          <w:bCs/>
          <w:sz w:val="32"/>
          <w:szCs w:val="32"/>
        </w:rPr>
        <w:t>定量评价中</w:t>
      </w:r>
      <w:r>
        <w:rPr>
          <w:rFonts w:hint="eastAsia" w:ascii="Times New Roman" w:hAnsi="Times New Roman" w:eastAsia="仿宋_GB2312" w:cs="Times New Roman"/>
          <w:b/>
          <w:bCs/>
          <w:sz w:val="32"/>
          <w:szCs w:val="32"/>
        </w:rPr>
        <w:t>只</w:t>
      </w:r>
      <w:r>
        <w:rPr>
          <w:rFonts w:ascii="Times New Roman" w:hAnsi="Times New Roman" w:eastAsia="仿宋_GB2312" w:cs="Times New Roman"/>
          <w:b/>
          <w:bCs/>
          <w:sz w:val="32"/>
          <w:szCs w:val="32"/>
        </w:rPr>
        <w:t>列出各风险点</w:t>
      </w:r>
      <w:r>
        <w:rPr>
          <w:rFonts w:hint="eastAsia" w:ascii="Times New Roman" w:hAnsi="Times New Roman" w:eastAsia="仿宋_GB2312" w:cs="Times New Roman"/>
          <w:b/>
          <w:bCs/>
          <w:sz w:val="32"/>
          <w:szCs w:val="32"/>
        </w:rPr>
        <w:t>主要</w:t>
      </w:r>
      <w:r>
        <w:rPr>
          <w:rFonts w:ascii="Times New Roman" w:hAnsi="Times New Roman" w:eastAsia="仿宋_GB2312" w:cs="Times New Roman"/>
          <w:b/>
          <w:bCs/>
          <w:sz w:val="32"/>
          <w:szCs w:val="32"/>
        </w:rPr>
        <w:t>风险控制措施，企业在</w:t>
      </w:r>
      <w:r>
        <w:rPr>
          <w:rFonts w:hint="eastAsia" w:ascii="Times New Roman" w:hAnsi="Times New Roman" w:eastAsia="仿宋_GB2312" w:cs="Times New Roman"/>
          <w:b/>
          <w:bCs/>
          <w:sz w:val="32"/>
          <w:szCs w:val="32"/>
        </w:rPr>
        <w:t>进行风险</w:t>
      </w:r>
      <w:r>
        <w:rPr>
          <w:rFonts w:ascii="Times New Roman" w:hAnsi="Times New Roman" w:eastAsia="仿宋_GB2312" w:cs="Times New Roman"/>
          <w:b/>
          <w:bCs/>
          <w:sz w:val="32"/>
          <w:szCs w:val="32"/>
        </w:rPr>
        <w:t>评价时应根据企业现状从工程技术措施、</w:t>
      </w:r>
      <w:r>
        <w:rPr>
          <w:rFonts w:hint="eastAsia" w:ascii="Times New Roman" w:hAnsi="Times New Roman" w:eastAsia="仿宋_GB2312" w:cs="Times New Roman"/>
          <w:b/>
          <w:bCs/>
          <w:sz w:val="32"/>
          <w:szCs w:val="32"/>
        </w:rPr>
        <w:t>安全</w:t>
      </w:r>
      <w:r>
        <w:rPr>
          <w:rFonts w:ascii="Times New Roman" w:hAnsi="Times New Roman" w:eastAsia="仿宋_GB2312" w:cs="Times New Roman"/>
          <w:b/>
          <w:bCs/>
          <w:sz w:val="32"/>
          <w:szCs w:val="32"/>
        </w:rPr>
        <w:t>管理措施、教育培训措施、个体防护措施、应急处置措施五个方面补充完善和细化</w:t>
      </w:r>
      <w:r>
        <w:rPr>
          <w:rFonts w:hint="eastAsia" w:ascii="Times New Roman" w:hAnsi="Times New Roman" w:eastAsia="仿宋_GB2312" w:cs="Times New Roman"/>
          <w:b/>
          <w:bCs/>
          <w:sz w:val="32"/>
          <w:szCs w:val="32"/>
        </w:rPr>
        <w:t>风险</w:t>
      </w:r>
      <w:r>
        <w:rPr>
          <w:rFonts w:ascii="Times New Roman" w:hAnsi="Times New Roman" w:eastAsia="仿宋_GB2312" w:cs="Times New Roman"/>
          <w:b/>
          <w:bCs/>
          <w:sz w:val="32"/>
          <w:szCs w:val="32"/>
        </w:rPr>
        <w:t>控制措施。</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指南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编写过程中，得到了云南省各级应急管理部门、各相关生产经营单位、云南安全科学技术研究院和众多专家的大力支持和帮助，在此一并表示衷心感谢。</w:t>
      </w:r>
      <w:r>
        <w:rPr>
          <w:rFonts w:ascii="Times New Roman" w:hAnsi="Times New Roman" w:eastAsia="仿宋_GB2312" w:cs="Times New Roman"/>
          <w:sz w:val="32"/>
          <w:szCs w:val="32"/>
        </w:rPr>
        <w:br w:type="page"/>
      </w:r>
    </w:p>
    <w:p>
      <w:pPr>
        <w:pStyle w:val="3"/>
        <w:numPr>
          <w:ilvl w:val="0"/>
          <w:numId w:val="2"/>
        </w:numPr>
        <w:spacing w:before="0" w:after="0"/>
        <w:jc w:val="center"/>
        <w:rPr>
          <w:rFonts w:ascii="Times New Roman" w:hAnsi="Times New Roman" w:eastAsia="仿宋_GB2312"/>
          <w:sz w:val="36"/>
          <w:szCs w:val="36"/>
        </w:rPr>
      </w:pPr>
      <w:bookmarkStart w:id="1" w:name="_Toc92909933"/>
      <w:r>
        <w:rPr>
          <w:rFonts w:ascii="Times New Roman" w:hAnsi="Times New Roman" w:eastAsia="仿宋_GB2312"/>
          <w:sz w:val="36"/>
          <w:szCs w:val="36"/>
        </w:rPr>
        <w:t>术语和定义</w:t>
      </w:r>
      <w:bookmarkEnd w:id="1"/>
    </w:p>
    <w:p>
      <w:pPr>
        <w:rPr>
          <w:rFonts w:ascii="Times New Roman" w:hAnsi="Times New Roman" w:eastAsia="仿宋_GB2312" w:cs="Times New Roman"/>
        </w:rPr>
      </w:pPr>
    </w:p>
    <w:p>
      <w:pPr>
        <w:pStyle w:val="30"/>
        <w:ind w:firstLine="640"/>
        <w:rPr>
          <w:rFonts w:ascii="Times New Roman" w:eastAsia="仿宋_GB2312"/>
          <w:sz w:val="28"/>
          <w:szCs w:val="28"/>
        </w:rPr>
      </w:pPr>
      <w:r>
        <w:rPr>
          <w:rFonts w:ascii="Times New Roman" w:eastAsia="仿宋_GB2312"/>
          <w:sz w:val="32"/>
          <w:szCs w:val="32"/>
        </w:rPr>
        <w:t>下列术语和定义仅适用于本</w:t>
      </w:r>
      <w:r>
        <w:rPr>
          <w:rFonts w:hint="eastAsia" w:ascii="Times New Roman" w:eastAsia="仿宋_GB2312"/>
          <w:sz w:val="32"/>
          <w:szCs w:val="32"/>
        </w:rPr>
        <w:t>《</w:t>
      </w:r>
      <w:r>
        <w:rPr>
          <w:rFonts w:ascii="Times New Roman" w:eastAsia="仿宋_GB2312"/>
          <w:sz w:val="32"/>
          <w:szCs w:val="32"/>
        </w:rPr>
        <w:t>指南</w:t>
      </w:r>
      <w:r>
        <w:rPr>
          <w:rFonts w:hint="eastAsia" w:ascii="Times New Roman" w:eastAsia="仿宋_GB2312"/>
          <w:sz w:val="32"/>
          <w:szCs w:val="32"/>
        </w:rPr>
        <w:t>》</w:t>
      </w:r>
      <w:r>
        <w:rPr>
          <w:rFonts w:ascii="Times New Roman" w:eastAsia="仿宋_GB2312"/>
          <w:sz w:val="28"/>
          <w:szCs w:val="28"/>
        </w:rPr>
        <w:t>。</w:t>
      </w:r>
    </w:p>
    <w:p>
      <w:pPr>
        <w:pStyle w:val="4"/>
        <w:numPr>
          <w:ilvl w:val="1"/>
          <w:numId w:val="3"/>
        </w:numPr>
        <w:spacing w:before="120" w:after="120"/>
        <w:rPr>
          <w:rFonts w:ascii="Times New Roman" w:hAnsi="Times New Roman" w:eastAsia="仿宋_GB2312"/>
        </w:rPr>
      </w:pPr>
      <w:bookmarkStart w:id="2" w:name="_Toc18025"/>
      <w:r>
        <w:rPr>
          <w:rFonts w:ascii="Times New Roman" w:hAnsi="Times New Roman" w:eastAsia="仿宋_GB2312"/>
        </w:rPr>
        <w:t xml:space="preserve"> </w:t>
      </w:r>
      <w:bookmarkStart w:id="3" w:name="_Toc92909934"/>
      <w:r>
        <w:rPr>
          <w:rFonts w:ascii="Times New Roman" w:hAnsi="Times New Roman" w:eastAsia="仿宋_GB2312"/>
        </w:rPr>
        <w:t>风险</w:t>
      </w:r>
      <w:bookmarkEnd w:id="3"/>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是指某一特定危险发生的可能性与其造成后果的严重程度的结合。</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例如：高温熔融金属有发生灼烫和其他爆炸的风险；煤气区域作业有发生中毒和火灾、其他爆炸的风险等。</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风险的大小由风险度来确定，风险度R由风险发生的概率L与事故后果S的乘积来表示：</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风险度R=风险发生的概率L×后果S</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风险是客观存在的，采取的措施齐全有效，则发生事故的频率就低，事故的后果也较轻，相应的事故风险值也就较低，这样的风险是可以接受的，也就是安全的；反之则是危险的。</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风险分为</w:t>
      </w:r>
      <w:r>
        <w:rPr>
          <w:rFonts w:ascii="Times New Roman" w:hAnsi="Times New Roman" w:eastAsia="仿宋_GB2312" w:cs="Times New Roman"/>
          <w:b/>
          <w:sz w:val="32"/>
          <w:szCs w:val="32"/>
        </w:rPr>
        <w:t>固有风险</w:t>
      </w:r>
      <w:r>
        <w:rPr>
          <w:rFonts w:ascii="Times New Roman" w:hAnsi="Times New Roman" w:eastAsia="仿宋_GB2312" w:cs="Times New Roman"/>
          <w:sz w:val="32"/>
          <w:szCs w:val="32"/>
        </w:rPr>
        <w:t>和</w:t>
      </w:r>
      <w:r>
        <w:rPr>
          <w:rFonts w:ascii="Times New Roman" w:hAnsi="Times New Roman" w:eastAsia="仿宋_GB2312" w:cs="Times New Roman"/>
          <w:b/>
          <w:sz w:val="32"/>
          <w:szCs w:val="32"/>
        </w:rPr>
        <w:t>现实风险</w:t>
      </w:r>
      <w:r>
        <w:rPr>
          <w:rFonts w:ascii="Times New Roman" w:hAnsi="Times New Roman" w:eastAsia="仿宋_GB2312" w:cs="Times New Roman"/>
          <w:sz w:val="32"/>
          <w:szCs w:val="32"/>
        </w:rPr>
        <w:t>：</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（1）固有风险</w:t>
      </w:r>
      <w:r>
        <w:rPr>
          <w:rFonts w:ascii="Times New Roman" w:hAnsi="Times New Roman" w:eastAsia="仿宋_GB2312" w:cs="Times New Roman"/>
          <w:sz w:val="32"/>
          <w:szCs w:val="32"/>
        </w:rPr>
        <w:t>—固有风险也称为原始风险或裸风险，是指对安全风险点不考虑安全措施的消减作用的风险（即假定未采取确定的风险管控措施或管控措施全部失效的风险）；</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（2）现实风险</w:t>
      </w:r>
      <w:r>
        <w:rPr>
          <w:rFonts w:ascii="Times New Roman" w:hAnsi="Times New Roman" w:eastAsia="仿宋_GB2312" w:cs="Times New Roman"/>
          <w:sz w:val="32"/>
          <w:szCs w:val="32"/>
        </w:rPr>
        <w:t>—现实风险也称为剩余风险或残余风险，是指对安全风险点采取安全风险管控措施以后仍存在的风险（即考虑了安全措施消减作用的风险）。现实风险一般小于等于固有风险。</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指南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以固有风险确定风险点</w:t>
      </w:r>
      <w:r>
        <w:rPr>
          <w:rFonts w:hint="eastAsia" w:ascii="Times New Roman" w:hAnsi="Times New Roman" w:eastAsia="仿宋_GB2312" w:cs="Times New Roman"/>
          <w:sz w:val="32"/>
          <w:szCs w:val="32"/>
        </w:rPr>
        <w:t>安全</w:t>
      </w:r>
      <w:r>
        <w:rPr>
          <w:rFonts w:ascii="Times New Roman" w:hAnsi="Times New Roman" w:eastAsia="仿宋_GB2312" w:cs="Times New Roman"/>
          <w:sz w:val="32"/>
          <w:szCs w:val="32"/>
        </w:rPr>
        <w:t>风险等级，以固有风险评价结果绘制四色安全风险空间分布图；以现实风险的可接受程度判定风险点安全风险管控措施的有效性。</w:t>
      </w:r>
    </w:p>
    <w:p>
      <w:pPr>
        <w:pStyle w:val="4"/>
        <w:numPr>
          <w:ilvl w:val="1"/>
          <w:numId w:val="3"/>
        </w:numPr>
        <w:spacing w:before="120" w:after="120"/>
        <w:rPr>
          <w:rFonts w:ascii="Times New Roman" w:hAnsi="Times New Roman" w:eastAsia="仿宋_GB2312"/>
        </w:rPr>
      </w:pPr>
      <w:bookmarkStart w:id="4" w:name="_Toc6881"/>
      <w:r>
        <w:rPr>
          <w:rFonts w:ascii="Times New Roman" w:hAnsi="Times New Roman" w:eastAsia="仿宋_GB2312"/>
        </w:rPr>
        <w:t xml:space="preserve"> </w:t>
      </w:r>
      <w:bookmarkStart w:id="5" w:name="_Toc453688595"/>
      <w:bookmarkStart w:id="6" w:name="_Toc23060"/>
      <w:r>
        <w:rPr>
          <w:rFonts w:ascii="Times New Roman" w:hAnsi="Times New Roman" w:eastAsia="仿宋_GB2312"/>
        </w:rPr>
        <w:t>风险点</w:t>
      </w:r>
      <w:bookmarkEnd w:id="4"/>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风险点是指</w:t>
      </w:r>
      <w:bookmarkStart w:id="7" w:name="OLE_LINK31"/>
      <w:r>
        <w:rPr>
          <w:rFonts w:ascii="Times New Roman" w:hAnsi="Times New Roman" w:eastAsia="仿宋_GB2312" w:cs="Times New Roman"/>
          <w:sz w:val="32"/>
          <w:szCs w:val="32"/>
        </w:rPr>
        <w:t>存在</w:t>
      </w:r>
      <w:r>
        <w:rPr>
          <w:rFonts w:hint="eastAsia" w:ascii="Times New Roman" w:hAnsi="Times New Roman" w:eastAsia="仿宋_GB2312" w:cs="Times New Roman"/>
          <w:sz w:val="32"/>
          <w:szCs w:val="32"/>
        </w:rPr>
        <w:t>安全</w:t>
      </w:r>
      <w:r>
        <w:rPr>
          <w:rFonts w:ascii="Times New Roman" w:hAnsi="Times New Roman" w:eastAsia="仿宋_GB2312" w:cs="Times New Roman"/>
          <w:sz w:val="32"/>
          <w:szCs w:val="32"/>
        </w:rPr>
        <w:t>风险的</w:t>
      </w:r>
      <w:bookmarkEnd w:id="7"/>
      <w:bookmarkStart w:id="8" w:name="OLE_LINK30"/>
      <w:bookmarkStart w:id="9" w:name="OLE_LINK29"/>
      <w:r>
        <w:rPr>
          <w:rFonts w:ascii="Times New Roman" w:hAnsi="Times New Roman" w:eastAsia="仿宋_GB2312" w:cs="Times New Roman"/>
          <w:sz w:val="32"/>
          <w:szCs w:val="32"/>
        </w:rPr>
        <w:t>部位、</w:t>
      </w:r>
      <w:r>
        <w:rPr>
          <w:rFonts w:hint="eastAsia" w:ascii="Times New Roman" w:hAnsi="Times New Roman" w:eastAsia="仿宋_GB2312" w:cs="Times New Roman"/>
          <w:sz w:val="32"/>
          <w:szCs w:val="32"/>
        </w:rPr>
        <w:t>设备、</w:t>
      </w:r>
      <w:r>
        <w:rPr>
          <w:rFonts w:ascii="Times New Roman" w:hAnsi="Times New Roman" w:eastAsia="仿宋_GB2312" w:cs="Times New Roman"/>
          <w:sz w:val="32"/>
          <w:szCs w:val="32"/>
        </w:rPr>
        <w:t>设施、场所</w:t>
      </w:r>
      <w:r>
        <w:rPr>
          <w:rFonts w:hint="eastAsia" w:ascii="Times New Roman" w:hAnsi="Times New Roman" w:eastAsia="仿宋_GB2312" w:cs="Times New Roman"/>
          <w:sz w:val="32"/>
          <w:szCs w:val="32"/>
        </w:rPr>
        <w:t>或者</w:t>
      </w:r>
      <w:r>
        <w:rPr>
          <w:rFonts w:ascii="Times New Roman" w:hAnsi="Times New Roman" w:eastAsia="仿宋_GB2312" w:cs="Times New Roman"/>
          <w:sz w:val="32"/>
          <w:szCs w:val="32"/>
        </w:rPr>
        <w:t>区域</w:t>
      </w:r>
      <w:bookmarkEnd w:id="8"/>
      <w:bookmarkEnd w:id="9"/>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不包括作业活动。</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例如，危险化学品罐区、液氨站、煤气站、木材仓库、</w:t>
      </w:r>
      <w:r>
        <w:rPr>
          <w:rFonts w:hint="eastAsia" w:ascii="Times New Roman" w:hAnsi="Times New Roman" w:eastAsia="仿宋_GB2312" w:cs="Times New Roman"/>
          <w:sz w:val="32"/>
          <w:szCs w:val="32"/>
        </w:rPr>
        <w:t>高炉等</w:t>
      </w:r>
      <w:r>
        <w:rPr>
          <w:rFonts w:ascii="Times New Roman" w:hAnsi="Times New Roman" w:eastAsia="仿宋_GB2312" w:cs="Times New Roman"/>
          <w:sz w:val="32"/>
          <w:szCs w:val="32"/>
        </w:rPr>
        <w:t>是风险点。</w:t>
      </w:r>
      <w:bookmarkEnd w:id="5"/>
      <w:bookmarkEnd w:id="6"/>
      <w:bookmarkStart w:id="10" w:name="_Toc453688596"/>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指南</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所确定的风险点企业可以进行整合和拆分，但不得有遗漏。（如氨</w:t>
      </w:r>
      <w:r>
        <w:rPr>
          <w:rFonts w:hint="eastAsia" w:ascii="Times New Roman" w:hAnsi="Times New Roman" w:eastAsia="仿宋_GB2312" w:cs="Times New Roman"/>
          <w:sz w:val="32"/>
          <w:szCs w:val="32"/>
        </w:rPr>
        <w:t>制冷机房</w:t>
      </w:r>
      <w:r>
        <w:rPr>
          <w:rFonts w:ascii="Times New Roman" w:hAnsi="Times New Roman" w:eastAsia="仿宋_GB2312" w:cs="Times New Roman"/>
          <w:sz w:val="32"/>
          <w:szCs w:val="32"/>
        </w:rPr>
        <w:t>有氨压机、中间冷却器、油分离器、集油器、贮氨器、排液桶、低压循环储液桶、调节站等设备，既可以每一</w:t>
      </w:r>
      <w:r>
        <w:rPr>
          <w:rFonts w:hint="eastAsia" w:ascii="Times New Roman" w:hAnsi="Times New Roman" w:eastAsia="仿宋_GB2312" w:cs="Times New Roman"/>
          <w:sz w:val="32"/>
          <w:szCs w:val="32"/>
        </w:rPr>
        <w:t>类</w:t>
      </w:r>
      <w:r>
        <w:rPr>
          <w:rFonts w:ascii="Times New Roman" w:hAnsi="Times New Roman" w:eastAsia="仿宋_GB2312" w:cs="Times New Roman"/>
          <w:sz w:val="32"/>
          <w:szCs w:val="32"/>
        </w:rPr>
        <w:t>设备作为一个风险点，也可</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将它们的组合---氨</w:t>
      </w:r>
      <w:r>
        <w:rPr>
          <w:rFonts w:hint="eastAsia" w:ascii="Times New Roman" w:hAnsi="Times New Roman" w:eastAsia="仿宋_GB2312" w:cs="Times New Roman"/>
          <w:sz w:val="32"/>
          <w:szCs w:val="32"/>
        </w:rPr>
        <w:t>制冷机房</w:t>
      </w:r>
      <w:r>
        <w:rPr>
          <w:rFonts w:ascii="Times New Roman" w:hAnsi="Times New Roman" w:eastAsia="仿宋_GB2312" w:cs="Times New Roman"/>
          <w:sz w:val="32"/>
          <w:szCs w:val="32"/>
        </w:rPr>
        <w:t>作为一个风险点）</w:t>
      </w:r>
    </w:p>
    <w:bookmarkEnd w:id="10"/>
    <w:p>
      <w:pPr>
        <w:pStyle w:val="30"/>
        <w:ind w:firstLine="560"/>
        <w:rPr>
          <w:rFonts w:ascii="Times New Roman" w:eastAsia="仿宋_GB2312"/>
          <w:sz w:val="28"/>
          <w:szCs w:val="28"/>
        </w:rPr>
      </w:pPr>
      <w:r>
        <w:rPr>
          <w:rFonts w:ascii="Times New Roman" w:eastAsia="仿宋_GB2312"/>
          <w:sz w:val="28"/>
          <w:szCs w:val="28"/>
        </w:rPr>
        <w:t>注1：在本</w:t>
      </w:r>
      <w:r>
        <w:rPr>
          <w:rFonts w:hint="eastAsia" w:ascii="Times New Roman" w:eastAsia="仿宋_GB2312"/>
          <w:sz w:val="28"/>
          <w:szCs w:val="28"/>
        </w:rPr>
        <w:t>《</w:t>
      </w:r>
      <w:r>
        <w:rPr>
          <w:rFonts w:ascii="Times New Roman" w:eastAsia="仿宋_GB2312"/>
          <w:sz w:val="28"/>
          <w:szCs w:val="28"/>
        </w:rPr>
        <w:t>指南</w:t>
      </w:r>
      <w:r>
        <w:rPr>
          <w:rFonts w:hint="eastAsia" w:ascii="Times New Roman" w:eastAsia="仿宋_GB2312"/>
          <w:sz w:val="28"/>
          <w:szCs w:val="28"/>
        </w:rPr>
        <w:t>》</w:t>
      </w:r>
      <w:r>
        <w:rPr>
          <w:rFonts w:ascii="Times New Roman" w:eastAsia="仿宋_GB2312"/>
          <w:sz w:val="28"/>
          <w:szCs w:val="28"/>
        </w:rPr>
        <w:t>中，在考虑风险点时，不考虑作业活动和管理措施。</w:t>
      </w:r>
    </w:p>
    <w:p>
      <w:pPr>
        <w:ind w:firstLine="560" w:firstLineChars="200"/>
        <w:rPr>
          <w:rFonts w:ascii="Times New Roman" w:hAnsi="Times New Roman" w:eastAsia="仿宋_GB2312" w:cs="Times New Roman"/>
          <w:sz w:val="32"/>
          <w:szCs w:val="32"/>
        </w:rPr>
      </w:pPr>
      <w:r>
        <w:rPr>
          <w:rFonts w:ascii="Times New Roman" w:hAnsi="Times New Roman" w:eastAsia="仿宋_GB2312" w:cs="Times New Roman"/>
          <w:sz w:val="28"/>
          <w:szCs w:val="28"/>
        </w:rPr>
        <w:t>注2：查</w:t>
      </w:r>
      <w:r>
        <w:rPr>
          <w:rFonts w:hint="eastAsia" w:ascii="Times New Roman" w:hAnsi="Times New Roman" w:eastAsia="仿宋_GB2312" w:cs="Times New Roman"/>
          <w:sz w:val="28"/>
          <w:szCs w:val="28"/>
        </w:rPr>
        <w:t>找</w:t>
      </w:r>
      <w:r>
        <w:rPr>
          <w:rFonts w:ascii="Times New Roman" w:hAnsi="Times New Roman" w:eastAsia="仿宋_GB2312" w:cs="Times New Roman"/>
          <w:sz w:val="28"/>
          <w:szCs w:val="28"/>
        </w:rPr>
        <w:t>风险点的目的是确定企业实施风险管理的</w:t>
      </w:r>
      <w:r>
        <w:rPr>
          <w:rFonts w:hint="eastAsia" w:ascii="Times New Roman" w:hAnsi="Times New Roman" w:eastAsia="仿宋_GB2312" w:cs="Times New Roman"/>
          <w:sz w:val="28"/>
          <w:szCs w:val="28"/>
        </w:rPr>
        <w:t>对象</w:t>
      </w:r>
      <w:r>
        <w:rPr>
          <w:rFonts w:ascii="Times New Roman" w:hAnsi="Times New Roman" w:eastAsia="仿宋_GB2312" w:cs="Times New Roman"/>
          <w:sz w:val="28"/>
          <w:szCs w:val="28"/>
        </w:rPr>
        <w:t>和核心，也是</w:t>
      </w:r>
      <w:r>
        <w:rPr>
          <w:rFonts w:hint="eastAsia" w:ascii="Times New Roman" w:hAnsi="Times New Roman" w:eastAsia="仿宋_GB2312" w:cs="Times New Roman"/>
          <w:sz w:val="28"/>
          <w:szCs w:val="28"/>
        </w:rPr>
        <w:t>安全</w:t>
      </w:r>
      <w:r>
        <w:rPr>
          <w:rFonts w:ascii="Times New Roman" w:hAnsi="Times New Roman" w:eastAsia="仿宋_GB2312" w:cs="Times New Roman"/>
          <w:sz w:val="28"/>
          <w:szCs w:val="28"/>
        </w:rPr>
        <w:t>风险管控的起点和落脚点，所有的双重预防机制活动都是针对各风险点展开的。</w:t>
      </w:r>
    </w:p>
    <w:p>
      <w:pPr>
        <w:pStyle w:val="4"/>
        <w:numPr>
          <w:ilvl w:val="1"/>
          <w:numId w:val="3"/>
        </w:numPr>
        <w:spacing w:before="120" w:after="120"/>
        <w:rPr>
          <w:rFonts w:ascii="Times New Roman" w:hAnsi="Times New Roman" w:eastAsia="仿宋_GB2312"/>
        </w:rPr>
      </w:pPr>
      <w:r>
        <w:rPr>
          <w:rFonts w:ascii="Times New Roman" w:hAnsi="Times New Roman" w:eastAsia="仿宋_GB2312"/>
        </w:rPr>
        <w:t xml:space="preserve"> </w:t>
      </w:r>
      <w:bookmarkStart w:id="11" w:name="_Toc92909936"/>
      <w:r>
        <w:rPr>
          <w:rFonts w:ascii="Times New Roman" w:hAnsi="Times New Roman" w:eastAsia="仿宋_GB2312"/>
        </w:rPr>
        <w:t>危险源</w:t>
      </w:r>
      <w:bookmarkEnd w:id="2"/>
      <w:bookmarkEnd w:id="11"/>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是指一个风险点（或系统）中具有潜在能量和物质释放危险的、可造成人员伤害、在一定的触发因素作用下可转化为事故的部位、区域、场所、空间、岗位、设备及其位置，以及人员的作业活动或行为。</w:t>
      </w:r>
    </w:p>
    <w:p>
      <w:pPr>
        <w:pStyle w:val="30"/>
        <w:ind w:firstLine="560"/>
        <w:rPr>
          <w:rFonts w:ascii="Times New Roman" w:eastAsia="仿宋_GB2312"/>
          <w:sz w:val="28"/>
          <w:szCs w:val="28"/>
        </w:rPr>
      </w:pPr>
      <w:r>
        <w:rPr>
          <w:rFonts w:ascii="Times New Roman" w:eastAsia="仿宋_GB2312"/>
          <w:b/>
          <w:sz w:val="28"/>
          <w:szCs w:val="28"/>
        </w:rPr>
        <w:t>注：</w:t>
      </w:r>
      <w:bookmarkStart w:id="12" w:name="_Toc453688591"/>
      <w:r>
        <w:rPr>
          <w:rFonts w:hint="eastAsia" w:ascii="Times New Roman" w:eastAsia="仿宋_GB2312"/>
          <w:sz w:val="28"/>
          <w:szCs w:val="28"/>
        </w:rPr>
        <w:t>危险源的定义与风险点有些类似，但区别在于</w:t>
      </w:r>
      <w:bookmarkEnd w:id="12"/>
    </w:p>
    <w:p>
      <w:pPr>
        <w:pStyle w:val="30"/>
        <w:ind w:firstLine="560"/>
        <w:rPr>
          <w:rFonts w:ascii="Times New Roman" w:eastAsia="仿宋_GB2312"/>
          <w:sz w:val="28"/>
          <w:szCs w:val="28"/>
        </w:rPr>
      </w:pPr>
      <w:r>
        <w:rPr>
          <w:rFonts w:hint="eastAsia" w:ascii="Times New Roman" w:eastAsia="仿宋_GB2312"/>
          <w:sz w:val="28"/>
          <w:szCs w:val="28"/>
        </w:rPr>
        <w:t>1.一个风险点由若干个危险源组成。</w:t>
      </w:r>
    </w:p>
    <w:p>
      <w:pPr>
        <w:pStyle w:val="30"/>
        <w:ind w:firstLine="560"/>
        <w:rPr>
          <w:rFonts w:ascii="Times New Roman" w:eastAsia="仿宋_GB2312"/>
          <w:sz w:val="28"/>
          <w:szCs w:val="28"/>
        </w:rPr>
      </w:pPr>
      <w:r>
        <w:rPr>
          <w:rFonts w:hint="eastAsia" w:ascii="Times New Roman" w:eastAsia="仿宋_GB2312"/>
          <w:sz w:val="28"/>
          <w:szCs w:val="28"/>
        </w:rPr>
        <w:t>2.风险点不包括作业活动，危险源包括作业活动或行为。</w:t>
      </w:r>
    </w:p>
    <w:p>
      <w:pPr>
        <w:pStyle w:val="4"/>
        <w:numPr>
          <w:ilvl w:val="1"/>
          <w:numId w:val="3"/>
        </w:numPr>
        <w:spacing w:before="120" w:after="120"/>
        <w:rPr>
          <w:rFonts w:ascii="Times New Roman" w:hAnsi="Times New Roman" w:eastAsia="仿宋_GB2312"/>
        </w:rPr>
      </w:pPr>
      <w:bookmarkStart w:id="13" w:name="_Toc9771"/>
      <w:bookmarkStart w:id="14" w:name="_Toc92909937"/>
      <w:r>
        <w:rPr>
          <w:rFonts w:ascii="Times New Roman" w:hAnsi="Times New Roman" w:eastAsia="仿宋_GB2312"/>
        </w:rPr>
        <w:t>危险源辨识</w:t>
      </w:r>
      <w:bookmarkEnd w:id="13"/>
      <w:bookmarkEnd w:id="14"/>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危险源辨识是识别危险源的存在并确定其特性的过程。</w:t>
      </w:r>
    </w:p>
    <w:p>
      <w:pPr>
        <w:pStyle w:val="4"/>
        <w:numPr>
          <w:ilvl w:val="1"/>
          <w:numId w:val="3"/>
        </w:numPr>
        <w:spacing w:before="120" w:after="120"/>
        <w:rPr>
          <w:rFonts w:ascii="Times New Roman" w:hAnsi="Times New Roman" w:eastAsia="仿宋_GB2312"/>
        </w:rPr>
      </w:pPr>
      <w:bookmarkStart w:id="15" w:name="_Toc15184"/>
      <w:r>
        <w:rPr>
          <w:rFonts w:ascii="Times New Roman" w:hAnsi="Times New Roman" w:eastAsia="仿宋_GB2312"/>
        </w:rPr>
        <w:t xml:space="preserve"> </w:t>
      </w:r>
      <w:bookmarkStart w:id="16" w:name="_Toc92909938"/>
      <w:r>
        <w:rPr>
          <w:rFonts w:ascii="Times New Roman" w:hAnsi="Times New Roman" w:eastAsia="仿宋_GB2312"/>
        </w:rPr>
        <w:t>危险和有害因素</w:t>
      </w:r>
      <w:bookmarkEnd w:id="15"/>
      <w:bookmarkEnd w:id="16"/>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是指可对人造成伤亡、影响人的身体健康甚至导致疾病的因素。危险和有害因素分为四大类：</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人的因素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物的因素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环境因素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和</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管理因素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。即包括了：人的不安全行为、物的不安全状态、环境不良因素和管理缺陷。</w:t>
      </w:r>
    </w:p>
    <w:p>
      <w:pPr>
        <w:ind w:firstLine="640" w:firstLineChars="200"/>
        <w:rPr>
          <w:rFonts w:ascii="Times New Roman" w:hAnsi="Times New Roman" w:eastAsia="仿宋_GB2312" w:cs="Times New Roman"/>
          <w:sz w:val="28"/>
          <w:szCs w:val="28"/>
        </w:rPr>
      </w:pPr>
      <w:r>
        <w:rPr>
          <w:rFonts w:ascii="Times New Roman" w:hAnsi="Times New Roman" w:eastAsia="仿宋_GB2312" w:cs="Times New Roman"/>
          <w:sz w:val="32"/>
          <w:szCs w:val="32"/>
        </w:rPr>
        <w:t>危险和有害因素是引发事故的原因，包括直接原因和间接原因。人的不安全行为、物的不安全状态、环境不良因素属于事故的直接原因，管理缺陷属于事故的间接原因。</w:t>
      </w:r>
    </w:p>
    <w:p>
      <w:pPr>
        <w:pStyle w:val="4"/>
        <w:spacing w:before="120" w:after="120"/>
        <w:rPr>
          <w:rFonts w:ascii="Times New Roman" w:hAnsi="Times New Roman" w:eastAsia="仿宋_GB2312"/>
        </w:rPr>
      </w:pPr>
      <w:bookmarkStart w:id="17" w:name="_Toc26784"/>
      <w:bookmarkStart w:id="18" w:name="_Toc92909939"/>
      <w:r>
        <w:rPr>
          <w:rFonts w:ascii="Times New Roman" w:hAnsi="Times New Roman" w:eastAsia="仿宋_GB2312"/>
        </w:rPr>
        <w:t>1.6  风险评价</w:t>
      </w:r>
      <w:bookmarkEnd w:id="17"/>
      <w:bookmarkEnd w:id="18"/>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风险评价是对</w:t>
      </w:r>
      <w:r>
        <w:rPr>
          <w:rFonts w:ascii="Times New Roman" w:hAnsi="Times New Roman" w:eastAsia="仿宋_GB2312" w:cs="Times New Roman"/>
          <w:b/>
          <w:sz w:val="32"/>
          <w:szCs w:val="32"/>
        </w:rPr>
        <w:t>各风险点（的危险源）</w:t>
      </w:r>
      <w:r>
        <w:rPr>
          <w:rFonts w:ascii="Times New Roman" w:hAnsi="Times New Roman" w:eastAsia="仿宋_GB2312" w:cs="Times New Roman"/>
          <w:sz w:val="32"/>
          <w:szCs w:val="32"/>
        </w:rPr>
        <w:t>导致的风险通过风险评价方法进行评估，对风险是否可接受予以确定的过程。</w:t>
      </w:r>
    </w:p>
    <w:p>
      <w:pPr>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风险评价包括固有风险评价和现实风险评价。在固有风险评价时不考虑风险管控措施。评价时</w:t>
      </w:r>
      <w:r>
        <w:rPr>
          <w:rFonts w:hint="eastAsia" w:ascii="Times New Roman" w:hAnsi="Times New Roman" w:eastAsia="仿宋_GB2312" w:cs="Times New Roman"/>
          <w:b/>
          <w:sz w:val="32"/>
          <w:szCs w:val="32"/>
        </w:rPr>
        <w:t>既</w:t>
      </w:r>
      <w:r>
        <w:rPr>
          <w:rFonts w:ascii="Times New Roman" w:hAnsi="Times New Roman" w:eastAsia="仿宋_GB2312" w:cs="Times New Roman"/>
          <w:b/>
          <w:sz w:val="32"/>
          <w:szCs w:val="32"/>
        </w:rPr>
        <w:t>可以针对风险点的</w:t>
      </w:r>
      <w:r>
        <w:rPr>
          <w:rFonts w:hint="eastAsia" w:ascii="Times New Roman" w:hAnsi="Times New Roman" w:eastAsia="仿宋_GB2312" w:cs="Times New Roman"/>
          <w:b/>
          <w:sz w:val="32"/>
          <w:szCs w:val="32"/>
        </w:rPr>
        <w:t>各</w:t>
      </w:r>
      <w:r>
        <w:rPr>
          <w:rFonts w:ascii="Times New Roman" w:hAnsi="Times New Roman" w:eastAsia="仿宋_GB2312" w:cs="Times New Roman"/>
          <w:b/>
          <w:sz w:val="32"/>
          <w:szCs w:val="32"/>
        </w:rPr>
        <w:t>危险源进行风险评价，也可以对风险点</w:t>
      </w:r>
      <w:r>
        <w:rPr>
          <w:rFonts w:hint="eastAsia" w:ascii="Times New Roman" w:hAnsi="Times New Roman" w:eastAsia="仿宋_GB2312" w:cs="Times New Roman"/>
          <w:b/>
          <w:sz w:val="32"/>
          <w:szCs w:val="32"/>
        </w:rPr>
        <w:t>直接</w:t>
      </w:r>
      <w:r>
        <w:rPr>
          <w:rFonts w:ascii="Times New Roman" w:hAnsi="Times New Roman" w:eastAsia="仿宋_GB2312" w:cs="Times New Roman"/>
          <w:b/>
          <w:sz w:val="32"/>
          <w:szCs w:val="32"/>
        </w:rPr>
        <w:t>进行风险评价。</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常用的风险评价方法有：作业条件危险性分析法（LEC法）、作业危害分析法（JHA法）、安全检查表法（SCL法）、风险程度分析方法（MES法）、危险与可操作性分析方法（HAZOP法）、事故树方法(FTA法) 、道化学法(DOW法)等。</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企业在对各风险点的风险评价过程中，可以采用</w:t>
      </w:r>
      <w:r>
        <w:rPr>
          <w:rFonts w:ascii="Times New Roman" w:hAnsi="Times New Roman" w:eastAsia="仿宋_GB2312" w:cs="Times New Roman"/>
          <w:sz w:val="32"/>
          <w:szCs w:val="32"/>
        </w:rPr>
        <w:t>作业危害分析法（JHA法）</w:t>
      </w:r>
      <w:r>
        <w:rPr>
          <w:rFonts w:ascii="Times New Roman" w:eastAsia="仿宋_GB2312"/>
          <w:sz w:val="32"/>
          <w:szCs w:val="32"/>
        </w:rPr>
        <w:t>分析作业过程中存在</w:t>
      </w:r>
      <w:r>
        <w:rPr>
          <w:rFonts w:hint="eastAsia" w:ascii="Times New Roman" w:eastAsia="仿宋_GB2312"/>
          <w:sz w:val="32"/>
          <w:szCs w:val="32"/>
        </w:rPr>
        <w:t>的</w:t>
      </w:r>
      <w:r>
        <w:rPr>
          <w:rFonts w:ascii="Times New Roman" w:eastAsia="仿宋_GB2312"/>
          <w:sz w:val="32"/>
          <w:szCs w:val="32"/>
        </w:rPr>
        <w:t>危害</w:t>
      </w:r>
      <w:r>
        <w:rPr>
          <w:rFonts w:hint="eastAsia" w:ascii="Times New Roman" w:eastAsia="仿宋_GB2312"/>
          <w:sz w:val="32"/>
          <w:szCs w:val="32"/>
        </w:rPr>
        <w:t>并对作业安全风险进行评价和分级。</w:t>
      </w:r>
    </w:p>
    <w:p>
      <w:pPr>
        <w:pStyle w:val="4"/>
        <w:spacing w:before="120" w:after="120"/>
        <w:rPr>
          <w:rFonts w:ascii="Times New Roman" w:hAnsi="Times New Roman" w:eastAsia="仿宋_GB2312"/>
        </w:rPr>
      </w:pPr>
      <w:bookmarkStart w:id="19" w:name="_Toc22685"/>
      <w:bookmarkStart w:id="20" w:name="_Toc92909940"/>
      <w:r>
        <w:rPr>
          <w:rFonts w:ascii="Times New Roman" w:hAnsi="Times New Roman" w:eastAsia="仿宋_GB2312"/>
        </w:rPr>
        <w:t>1.7  风险分级</w:t>
      </w:r>
      <w:bookmarkEnd w:id="19"/>
      <w:bookmarkEnd w:id="20"/>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风险分级是指通过采用科学、合理方法对危险源（或风险点）存在的风险进行定量或定性评价，根据评价结果得出的风险值对照分级判定标准划分等级，进而实现分级管</w:t>
      </w:r>
      <w:r>
        <w:rPr>
          <w:rFonts w:hint="eastAsia" w:ascii="Times New Roman" w:hAnsi="Times New Roman" w:eastAsia="仿宋_GB2312" w:cs="Times New Roman"/>
          <w:sz w:val="32"/>
          <w:szCs w:val="32"/>
        </w:rPr>
        <w:t>控</w:t>
      </w:r>
      <w:r>
        <w:rPr>
          <w:rFonts w:ascii="Times New Roman" w:hAnsi="Times New Roman" w:eastAsia="仿宋_GB2312" w:cs="Times New Roman"/>
          <w:sz w:val="32"/>
          <w:szCs w:val="32"/>
        </w:rPr>
        <w:t>。</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（注：一个风险点可能存在多个危险源，每个危险源的风险等级可能不同，对风险点的风险分级应按照该风险点所包含</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所有危险源最大风险级别进行定级。）</w:t>
      </w:r>
    </w:p>
    <w:p>
      <w:pPr>
        <w:pStyle w:val="4"/>
        <w:spacing w:before="120" w:after="120"/>
        <w:rPr>
          <w:rFonts w:ascii="Times New Roman" w:hAnsi="Times New Roman" w:eastAsia="仿宋_GB2312"/>
        </w:rPr>
      </w:pPr>
      <w:bookmarkStart w:id="21" w:name="_Toc27179"/>
      <w:bookmarkStart w:id="22" w:name="_Toc92909941"/>
      <w:r>
        <w:rPr>
          <w:rFonts w:ascii="Times New Roman" w:hAnsi="Times New Roman" w:eastAsia="仿宋_GB2312"/>
        </w:rPr>
        <w:t>1.8  风险分级管控</w:t>
      </w:r>
      <w:bookmarkEnd w:id="21"/>
      <w:bookmarkEnd w:id="22"/>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风险分级管控是指根据各风险点风险评价的结果，按照风险不同等级、所需管控资源、管控能力、管控措施复杂及难易程度等因素而确定不同管控层级的风险管控方式。</w:t>
      </w:r>
      <w:r>
        <w:rPr>
          <w:rFonts w:hint="eastAsia" w:ascii="Times New Roman" w:hAnsi="Times New Roman" w:eastAsia="仿宋_GB2312" w:cs="Times New Roman"/>
          <w:sz w:val="32"/>
          <w:szCs w:val="32"/>
        </w:rPr>
        <w:t>如公司级，应管控全公司一级安全风险点；分厂级应管控该分厂一、二级安全风险点；工段级应管控该工段一、二、三级安全风险点；班组级应管控该班组一、二、三、四级安全风险点。各级应针对管控对象和范围，确定风险点管控责任人、隐患排查标准、隐患排查频次，建立各风险点的隐患排查和整改台帐。公司级每个季度、分厂级每个月、工段级每个周、班组级每个班应对各自负责的风险点开展不少于1次的隐患排查。</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根据有关文件及标准，</w:t>
      </w:r>
      <w:r>
        <w:rPr>
          <w:rFonts w:hint="eastAsia" w:ascii="Times New Roman" w:hAnsi="Times New Roman" w:eastAsia="仿宋_GB2312" w:cs="Times New Roman"/>
          <w:sz w:val="32"/>
          <w:szCs w:val="32"/>
        </w:rPr>
        <w:t>安全</w:t>
      </w:r>
      <w:r>
        <w:rPr>
          <w:rFonts w:ascii="Times New Roman" w:hAnsi="Times New Roman" w:eastAsia="仿宋_GB2312" w:cs="Times New Roman"/>
          <w:sz w:val="32"/>
          <w:szCs w:val="32"/>
        </w:rPr>
        <w:t>风险定为“红、橙、黄、蓝”四级（红色</w:t>
      </w:r>
      <w:r>
        <w:rPr>
          <w:rFonts w:hint="eastAsia" w:ascii="Times New Roman" w:hAnsi="Times New Roman" w:eastAsia="仿宋_GB2312" w:cs="Times New Roman"/>
          <w:sz w:val="32"/>
          <w:szCs w:val="32"/>
        </w:rPr>
        <w:t>级</w:t>
      </w:r>
      <w:r>
        <w:rPr>
          <w:rFonts w:ascii="Times New Roman" w:hAnsi="Times New Roman" w:eastAsia="仿宋_GB2312" w:cs="Times New Roman"/>
          <w:sz w:val="32"/>
          <w:szCs w:val="32"/>
        </w:rPr>
        <w:t>最高）。鉴于当前企业普遍采用的风险评价方法多采用5级划分的原则，依据可能导致后果的严重程度，并考虑管控方便，依次用红色、橙色、黄色和蓝色（IV、V级风险）表示。</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其中：</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红色级风险（一级风险）：重大风险。</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橙色级风险（二级风险）：较大风险</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黄色级风险（三级风险）：一般风险</w:t>
      </w:r>
    </w:p>
    <w:p>
      <w:pPr>
        <w:ind w:firstLine="640" w:firstLineChars="200"/>
        <w:rPr>
          <w:rFonts w:ascii="Times New Roman" w:hAnsi="Times New Roman" w:eastAsia="仿宋_GB2312" w:cs="Times New Roman"/>
          <w:b/>
          <w:sz w:val="32"/>
          <w:szCs w:val="32"/>
        </w:rPr>
      </w:pPr>
      <w:r>
        <w:rPr>
          <w:rFonts w:ascii="Times New Roman" w:hAnsi="Times New Roman" w:eastAsia="仿宋_GB2312" w:cs="Times New Roman"/>
          <w:sz w:val="32"/>
          <w:szCs w:val="32"/>
        </w:rPr>
        <w:t>蓝色级风险（四级风险）：低风险</w:t>
      </w:r>
    </w:p>
    <w:p>
      <w:pPr>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企业固有风险不论是</w:t>
      </w:r>
      <w:r>
        <w:rPr>
          <w:rFonts w:hint="eastAsia" w:ascii="Times New Roman" w:hAnsi="Times New Roman" w:eastAsia="仿宋_GB2312" w:cs="Times New Roman"/>
          <w:b/>
          <w:sz w:val="32"/>
          <w:szCs w:val="32"/>
        </w:rPr>
        <w:t>一级、二级或是三级</w:t>
      </w:r>
      <w:r>
        <w:rPr>
          <w:rFonts w:ascii="Times New Roman" w:hAnsi="Times New Roman" w:eastAsia="仿宋_GB2312" w:cs="Times New Roman"/>
          <w:b/>
          <w:sz w:val="32"/>
          <w:szCs w:val="32"/>
        </w:rPr>
        <w:t>，实施风管控措施后，其现实风险</w:t>
      </w:r>
      <w:r>
        <w:rPr>
          <w:rFonts w:hint="eastAsia" w:ascii="Times New Roman" w:hAnsi="Times New Roman" w:eastAsia="仿宋_GB2312" w:cs="Times New Roman"/>
          <w:b/>
          <w:sz w:val="32"/>
          <w:szCs w:val="32"/>
        </w:rPr>
        <w:t>降为</w:t>
      </w:r>
      <w:r>
        <w:rPr>
          <w:rFonts w:ascii="Times New Roman" w:hAnsi="Times New Roman" w:eastAsia="仿宋_GB2312" w:cs="Times New Roman"/>
          <w:b/>
          <w:sz w:val="32"/>
          <w:szCs w:val="32"/>
        </w:rPr>
        <w:t>低风险</w:t>
      </w:r>
      <w:r>
        <w:rPr>
          <w:rFonts w:hint="eastAsia" w:ascii="Times New Roman" w:hAnsi="Times New Roman" w:eastAsia="仿宋_GB2312" w:cs="Times New Roman"/>
          <w:b/>
          <w:sz w:val="32"/>
          <w:szCs w:val="32"/>
        </w:rPr>
        <w:t>（四级）时</w:t>
      </w:r>
      <w:r>
        <w:rPr>
          <w:rFonts w:ascii="Times New Roman" w:hAnsi="Times New Roman" w:eastAsia="仿宋_GB2312" w:cs="Times New Roman"/>
          <w:b/>
          <w:sz w:val="32"/>
          <w:szCs w:val="32"/>
        </w:rPr>
        <w:t>可以接受。但企业现实风险如果为重大风险</w:t>
      </w:r>
      <w:r>
        <w:rPr>
          <w:rFonts w:hint="eastAsia" w:ascii="Times New Roman" w:hAnsi="Times New Roman" w:eastAsia="仿宋_GB2312" w:cs="Times New Roman"/>
          <w:b/>
          <w:sz w:val="32"/>
          <w:szCs w:val="32"/>
        </w:rPr>
        <w:t>（一级）、</w:t>
      </w:r>
      <w:r>
        <w:rPr>
          <w:rFonts w:ascii="Times New Roman" w:hAnsi="Times New Roman" w:eastAsia="仿宋_GB2312" w:cs="Times New Roman"/>
          <w:b/>
          <w:sz w:val="32"/>
          <w:szCs w:val="32"/>
        </w:rPr>
        <w:t>较大风险</w:t>
      </w:r>
      <w:r>
        <w:rPr>
          <w:rFonts w:hint="eastAsia" w:ascii="Times New Roman" w:hAnsi="Times New Roman" w:eastAsia="仿宋_GB2312" w:cs="Times New Roman"/>
          <w:b/>
          <w:sz w:val="32"/>
          <w:szCs w:val="32"/>
        </w:rPr>
        <w:t>（二级）</w:t>
      </w:r>
      <w:r>
        <w:rPr>
          <w:rFonts w:ascii="Times New Roman" w:hAnsi="Times New Roman" w:eastAsia="仿宋_GB2312" w:cs="Times New Roman"/>
          <w:b/>
          <w:sz w:val="32"/>
          <w:szCs w:val="32"/>
        </w:rPr>
        <w:t>或</w:t>
      </w:r>
      <w:r>
        <w:rPr>
          <w:rFonts w:hint="eastAsia" w:ascii="Times New Roman" w:hAnsi="Times New Roman" w:eastAsia="仿宋_GB2312" w:cs="Times New Roman"/>
          <w:b/>
          <w:sz w:val="32"/>
          <w:szCs w:val="32"/>
        </w:rPr>
        <w:t>一般风险（三级）</w:t>
      </w:r>
      <w:r>
        <w:rPr>
          <w:rFonts w:ascii="Times New Roman" w:hAnsi="Times New Roman" w:eastAsia="仿宋_GB2312" w:cs="Times New Roman"/>
          <w:b/>
          <w:sz w:val="32"/>
          <w:szCs w:val="32"/>
        </w:rPr>
        <w:t>，说明</w:t>
      </w:r>
      <w:r>
        <w:rPr>
          <w:rFonts w:hint="eastAsia" w:ascii="Times New Roman" w:hAnsi="Times New Roman" w:eastAsia="仿宋_GB2312" w:cs="Times New Roman"/>
          <w:b/>
          <w:sz w:val="32"/>
          <w:szCs w:val="32"/>
        </w:rPr>
        <w:t>该</w:t>
      </w:r>
      <w:r>
        <w:rPr>
          <w:rFonts w:ascii="Times New Roman" w:hAnsi="Times New Roman" w:eastAsia="仿宋_GB2312" w:cs="Times New Roman"/>
          <w:b/>
          <w:sz w:val="32"/>
          <w:szCs w:val="32"/>
        </w:rPr>
        <w:t>风险点的管控措施是不足的或是失效的，必须立即采取管控措施消除或减弱其风险程度。</w:t>
      </w:r>
    </w:p>
    <w:p>
      <w:pPr>
        <w:pStyle w:val="4"/>
        <w:spacing w:before="120" w:after="120"/>
        <w:rPr>
          <w:rFonts w:ascii="Times New Roman" w:hAnsi="Times New Roman" w:eastAsia="仿宋_GB2312"/>
        </w:rPr>
      </w:pPr>
      <w:bookmarkStart w:id="23" w:name="_Toc2406"/>
      <w:bookmarkStart w:id="24" w:name="_Toc92909942"/>
      <w:r>
        <w:rPr>
          <w:rFonts w:ascii="Times New Roman" w:hAnsi="Times New Roman" w:eastAsia="仿宋_GB2312"/>
        </w:rPr>
        <w:t>1.9  风险信息</w:t>
      </w:r>
      <w:bookmarkEnd w:id="23"/>
      <w:bookmarkEnd w:id="24"/>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风险信息是指包括风险点名称、所在位置、</w:t>
      </w:r>
      <w:r>
        <w:rPr>
          <w:rFonts w:hint="eastAsia" w:ascii="Times New Roman" w:hAnsi="Times New Roman" w:eastAsia="仿宋_GB2312" w:cs="Times New Roman"/>
          <w:sz w:val="32"/>
          <w:szCs w:val="32"/>
        </w:rPr>
        <w:t>危险和有害因素、风险（事故）</w:t>
      </w:r>
      <w:r>
        <w:rPr>
          <w:rFonts w:ascii="Times New Roman" w:hAnsi="Times New Roman" w:eastAsia="仿宋_GB2312" w:cs="Times New Roman"/>
          <w:sz w:val="32"/>
          <w:szCs w:val="32"/>
        </w:rPr>
        <w:t>类型、固有风险等级、管控措施、</w:t>
      </w:r>
      <w:r>
        <w:rPr>
          <w:rFonts w:hint="eastAsia" w:ascii="Times New Roman" w:hAnsi="Times New Roman" w:eastAsia="仿宋_GB2312" w:cs="Times New Roman"/>
          <w:sz w:val="32"/>
          <w:szCs w:val="32"/>
        </w:rPr>
        <w:t>应急处置措施、</w:t>
      </w:r>
      <w:r>
        <w:rPr>
          <w:rFonts w:ascii="Times New Roman" w:hAnsi="Times New Roman" w:eastAsia="仿宋_GB2312" w:cs="Times New Roman"/>
          <w:sz w:val="32"/>
          <w:szCs w:val="32"/>
        </w:rPr>
        <w:t>责任单位、责任人等一系列信息的综合。</w:t>
      </w:r>
    </w:p>
    <w:p>
      <w:pPr>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企业应</w:t>
      </w:r>
      <w:r>
        <w:rPr>
          <w:rFonts w:ascii="Times New Roman" w:hAnsi="Times New Roman" w:eastAsia="仿宋_GB2312" w:cs="Times New Roman"/>
          <w:sz w:val="32"/>
          <w:szCs w:val="32"/>
        </w:rPr>
        <w:t>在1级、2级安全风险点</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醒目位置设置岗位安全风险告知卡</w:t>
      </w:r>
      <w:r>
        <w:rPr>
          <w:rFonts w:hint="eastAsia" w:ascii="Times New Roman" w:hAnsi="Times New Roman" w:eastAsia="仿宋_GB2312" w:cs="Times New Roman"/>
          <w:sz w:val="32"/>
          <w:szCs w:val="32"/>
        </w:rPr>
        <w:t>（牌）</w:t>
      </w:r>
      <w:r>
        <w:rPr>
          <w:rFonts w:ascii="Times New Roman" w:hAnsi="Times New Roman" w:eastAsia="仿宋_GB2312" w:cs="Times New Roman"/>
          <w:sz w:val="32"/>
          <w:szCs w:val="32"/>
        </w:rPr>
        <w:t>，标明</w:t>
      </w:r>
      <w:r>
        <w:rPr>
          <w:rFonts w:hint="eastAsia" w:ascii="Times New Roman" w:hAnsi="Times New Roman" w:eastAsia="仿宋_GB2312" w:cs="Times New Roman"/>
          <w:sz w:val="32"/>
          <w:szCs w:val="32"/>
        </w:rPr>
        <w:t>风险点名称、</w:t>
      </w:r>
      <w:r>
        <w:rPr>
          <w:rFonts w:ascii="Times New Roman" w:hAnsi="Times New Roman" w:eastAsia="仿宋_GB2312" w:cs="Times New Roman"/>
          <w:sz w:val="32"/>
          <w:szCs w:val="32"/>
        </w:rPr>
        <w:t>事故类型、管控措施、应急措施</w:t>
      </w:r>
      <w:r>
        <w:rPr>
          <w:rFonts w:hint="eastAsia" w:ascii="Times New Roman" w:hAnsi="Times New Roman" w:eastAsia="仿宋_GB2312" w:cs="Times New Roman"/>
          <w:sz w:val="32"/>
          <w:szCs w:val="32"/>
        </w:rPr>
        <w:t>、责任人</w:t>
      </w:r>
      <w:r>
        <w:rPr>
          <w:rFonts w:ascii="Times New Roman" w:hAnsi="Times New Roman" w:eastAsia="仿宋_GB2312" w:cs="Times New Roman"/>
          <w:sz w:val="32"/>
          <w:szCs w:val="32"/>
        </w:rPr>
        <w:t>及报告电话等内容。</w:t>
      </w:r>
    </w:p>
    <w:p>
      <w:pPr>
        <w:pStyle w:val="4"/>
        <w:spacing w:before="120" w:after="120"/>
        <w:rPr>
          <w:rFonts w:ascii="Times New Roman" w:hAnsi="Times New Roman" w:eastAsia="仿宋_GB2312"/>
        </w:rPr>
      </w:pPr>
      <w:bookmarkStart w:id="25" w:name="_Toc14790"/>
      <w:bookmarkStart w:id="26" w:name="_Toc92909943"/>
      <w:r>
        <w:rPr>
          <w:rFonts w:ascii="Times New Roman" w:hAnsi="Times New Roman" w:eastAsia="仿宋_GB2312"/>
        </w:rPr>
        <w:t>1.1</w:t>
      </w:r>
      <w:r>
        <w:rPr>
          <w:rFonts w:hint="eastAsia" w:ascii="Times New Roman" w:hAnsi="Times New Roman" w:eastAsia="仿宋_GB2312"/>
        </w:rPr>
        <w:t>0</w:t>
      </w:r>
      <w:r>
        <w:rPr>
          <w:rFonts w:ascii="Times New Roman" w:hAnsi="Times New Roman" w:eastAsia="仿宋_GB2312"/>
        </w:rPr>
        <w:t xml:space="preserve">  </w:t>
      </w:r>
      <w:bookmarkEnd w:id="25"/>
      <w:r>
        <w:rPr>
          <w:rFonts w:ascii="Times New Roman" w:hAnsi="Times New Roman" w:eastAsia="仿宋_GB2312"/>
        </w:rPr>
        <w:t>风险控制措施</w:t>
      </w:r>
      <w:bookmarkEnd w:id="26"/>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风险控制措施是指为将风险降低至可接受程度，企业针对风险而采取的相应控制措施。</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风险控制措施包括：工程技术措施、安全管理措施、培训教育措施、个体防护措施、应急处置措施。</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企业在选择风险控制措施时应考虑：</w:t>
      </w:r>
    </w:p>
    <w:p>
      <w:pPr>
        <w:pStyle w:val="26"/>
        <w:numPr>
          <w:ilvl w:val="0"/>
          <w:numId w:val="4"/>
        </w:numPr>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可行性；</w:t>
      </w:r>
    </w:p>
    <w:p>
      <w:pPr>
        <w:pStyle w:val="26"/>
        <w:numPr>
          <w:ilvl w:val="0"/>
          <w:numId w:val="4"/>
        </w:numPr>
        <w:ind w:firstLineChars="0"/>
        <w:rPr>
          <w:rFonts w:ascii="Times New Roman" w:hAnsi="Times New Roman" w:eastAsia="仿宋_GB2312" w:cs="Times New Roman"/>
          <w:sz w:val="32"/>
          <w:szCs w:val="32"/>
        </w:rPr>
      </w:pPr>
      <w:r>
        <w:rPr>
          <w:rFonts w:ascii="Times New Roman" w:hAnsi="Times New Roman" w:eastAsia="仿宋_GB2312" w:cs="Times New Roman"/>
          <w:sz w:val="32"/>
          <w:szCs w:val="32"/>
        </w:rPr>
        <w:t>安全性；</w:t>
      </w:r>
    </w:p>
    <w:p>
      <w:pPr>
        <w:pStyle w:val="26"/>
        <w:widowControl/>
        <w:numPr>
          <w:ilvl w:val="0"/>
          <w:numId w:val="4"/>
        </w:numPr>
        <w:ind w:firstLineChars="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可靠性。</w:t>
      </w:r>
    </w:p>
    <w:p>
      <w:pPr>
        <w:pStyle w:val="4"/>
        <w:spacing w:before="120" w:after="120"/>
        <w:rPr>
          <w:rFonts w:ascii="Times New Roman" w:hAnsi="Times New Roman" w:eastAsia="仿宋_GB2312"/>
        </w:rPr>
      </w:pPr>
      <w:bookmarkStart w:id="27" w:name="_Toc92909944"/>
      <w:r>
        <w:rPr>
          <w:rFonts w:hint="eastAsia" w:ascii="Times New Roman" w:hAnsi="Times New Roman" w:eastAsia="仿宋_GB2312"/>
        </w:rPr>
        <w:t xml:space="preserve">1.11  </w:t>
      </w:r>
      <w:r>
        <w:rPr>
          <w:rFonts w:ascii="Times New Roman" w:hAnsi="Times New Roman" w:eastAsia="仿宋_GB2312"/>
        </w:rPr>
        <w:t>事故隐患</w:t>
      </w:r>
      <w:bookmarkEnd w:id="27"/>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是指生产经营单位违反安全生产法律、法规、规章、标准、规程和安全生产管理制度的规定，或者因其他因素在生产经营活动中存在的可能导致事故发生的物的</w:t>
      </w:r>
      <w:r>
        <w:rPr>
          <w:rFonts w:hint="eastAsia" w:ascii="Times New Roman" w:hAnsi="Times New Roman" w:eastAsia="仿宋_GB2312" w:cs="Times New Roman"/>
          <w:sz w:val="32"/>
          <w:szCs w:val="32"/>
        </w:rPr>
        <w:t>不安全</w:t>
      </w:r>
      <w:r>
        <w:rPr>
          <w:rFonts w:ascii="Times New Roman" w:hAnsi="Times New Roman" w:eastAsia="仿宋_GB2312" w:cs="Times New Roman"/>
          <w:sz w:val="32"/>
          <w:szCs w:val="32"/>
        </w:rPr>
        <w:t>状态、环境不良因素、人的不安全行为和管理上的缺陷。</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事故隐患分为</w:t>
      </w:r>
      <w:r>
        <w:rPr>
          <w:rFonts w:ascii="Times New Roman" w:hAnsi="Times New Roman" w:eastAsia="仿宋_GB2312" w:cs="Times New Roman"/>
          <w:b/>
          <w:sz w:val="32"/>
          <w:szCs w:val="32"/>
        </w:rPr>
        <w:t>一般事故隐患</w:t>
      </w:r>
      <w:r>
        <w:rPr>
          <w:rFonts w:ascii="Times New Roman" w:hAnsi="Times New Roman" w:eastAsia="仿宋_GB2312" w:cs="Times New Roman"/>
          <w:sz w:val="32"/>
          <w:szCs w:val="32"/>
        </w:rPr>
        <w:t>和</w:t>
      </w:r>
      <w:r>
        <w:rPr>
          <w:rFonts w:ascii="Times New Roman" w:hAnsi="Times New Roman" w:eastAsia="仿宋_GB2312" w:cs="Times New Roman"/>
          <w:b/>
          <w:sz w:val="32"/>
          <w:szCs w:val="32"/>
        </w:rPr>
        <w:t>重大事故隐患</w:t>
      </w:r>
      <w:r>
        <w:rPr>
          <w:rFonts w:ascii="Times New Roman" w:hAnsi="Times New Roman" w:eastAsia="仿宋_GB2312" w:cs="Times New Roman"/>
          <w:sz w:val="32"/>
          <w:szCs w:val="32"/>
        </w:rPr>
        <w:t>。</w:t>
      </w:r>
    </w:p>
    <w:p>
      <w:pPr>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重大事故隐患判定标准</w:t>
      </w:r>
      <w:r>
        <w:rPr>
          <w:rFonts w:ascii="Times New Roman" w:hAnsi="Times New Roman" w:eastAsia="仿宋_GB2312" w:cs="Times New Roman"/>
          <w:sz w:val="32"/>
          <w:szCs w:val="32"/>
        </w:rPr>
        <w:t>由国务院应急管理部门和其他负有安全生产监督管理职责的部门根据各自的职责分工进行制定，工贸行业重大事故隐患主要依据《</w:t>
      </w:r>
      <w:r>
        <w:fldChar w:fldCharType="begin"/>
      </w:r>
      <w:r>
        <w:instrText xml:space="preserve"> HYPERLINK "https://www.so.com/link?m=bN5ad1Uv5jwR8NlvK1UGwxVEGc0SBR2ekKPpNoy2viV2ZzJGvHr99LAwBDAerBL5NVZYgLhe+NXWFkjaWnHjtzqzUTg5tiC4GbSYyR4glzFdIMvVWplBTkASiXikq+5VDNZbj4lexapNpd7gYq2gvgcOYwcZkvw7CGegTbYA2wBwutfYLyWY/tZ3GDEFSmVHkvYz8oaNs2U1sDLsDhj3vRd9pxv4aGGvk/wceO87fgs+09GIggIcO9O5kqyOiQUfdv/dlXUwQJIHYrzWlwsF5xgAUxiiy6D8cXGkKVQPSLOQz5S00zx7n8JQhdlF9v9iGQ403Pu4aHZoqaTzlLEgNc013AAos5ctDzjigvsAmVx7gbk5x+dUHtRMzrYQ=" \t "https://www.so.com/_blank" </w:instrText>
      </w:r>
      <w:r>
        <w:fldChar w:fldCharType="separate"/>
      </w:r>
      <w:r>
        <w:rPr>
          <w:rFonts w:ascii="Times New Roman" w:hAnsi="Times New Roman" w:eastAsia="仿宋_GB2312" w:cs="Times New Roman"/>
          <w:sz w:val="32"/>
          <w:szCs w:val="32"/>
        </w:rPr>
        <w:t>工贸行业重大生产安全事故隐患判定标准</w:t>
      </w:r>
      <w:r>
        <w:rPr>
          <w:rFonts w:ascii="Times New Roman" w:hAnsi="Times New Roman" w:eastAsia="仿宋_GB2312" w:cs="Times New Roman"/>
          <w:sz w:val="32"/>
          <w:szCs w:val="32"/>
        </w:rPr>
        <w:fldChar w:fldCharType="end"/>
      </w:r>
      <w:r>
        <w:rPr>
          <w:rFonts w:ascii="Times New Roman" w:hAnsi="Times New Roman" w:eastAsia="仿宋_GB2312" w:cs="Times New Roman"/>
          <w:sz w:val="32"/>
          <w:szCs w:val="32"/>
        </w:rPr>
        <w:t>》进行判定。</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不属于重大事故隐患的隐患为一般事故隐患。</w:t>
      </w:r>
    </w:p>
    <w:p>
      <w:pPr>
        <w:pStyle w:val="4"/>
        <w:spacing w:before="0" w:after="0"/>
        <w:rPr>
          <w:rFonts w:ascii="Times New Roman" w:hAnsi="Times New Roman" w:eastAsia="仿宋_GB2312"/>
        </w:rPr>
      </w:pPr>
      <w:bookmarkStart w:id="28" w:name="_Toc92909945"/>
      <w:bookmarkStart w:id="29" w:name="_Toc20260"/>
      <w:r>
        <w:rPr>
          <w:rFonts w:hint="eastAsia" w:ascii="Times New Roman" w:hAnsi="Times New Roman" w:eastAsia="仿宋_GB2312"/>
        </w:rPr>
        <w:t>1</w:t>
      </w:r>
      <w:r>
        <w:rPr>
          <w:rFonts w:ascii="Times New Roman" w:hAnsi="Times New Roman" w:eastAsia="仿宋_GB2312"/>
        </w:rPr>
        <w:t>.1</w:t>
      </w:r>
      <w:r>
        <w:rPr>
          <w:rFonts w:hint="eastAsia" w:ascii="Times New Roman" w:hAnsi="Times New Roman" w:eastAsia="仿宋_GB2312"/>
        </w:rPr>
        <w:t>2</w:t>
      </w:r>
      <w:r>
        <w:rPr>
          <w:rFonts w:ascii="Times New Roman" w:hAnsi="Times New Roman" w:eastAsia="仿宋_GB2312"/>
        </w:rPr>
        <w:t xml:space="preserve">  隐患排查</w:t>
      </w:r>
      <w:bookmarkEnd w:id="28"/>
      <w:bookmarkEnd w:id="29"/>
    </w:p>
    <w:p>
      <w:pPr>
        <w:ind w:firstLine="640" w:firstLineChars="200"/>
        <w:rPr>
          <w:rFonts w:ascii="Times New Roman" w:eastAsia="仿宋_GB2312"/>
          <w:sz w:val="32"/>
          <w:szCs w:val="32"/>
        </w:rPr>
      </w:pPr>
      <w:r>
        <w:rPr>
          <w:rFonts w:ascii="Times New Roman" w:hAnsi="Times New Roman" w:eastAsia="仿宋_GB2312" w:cs="Times New Roman"/>
          <w:sz w:val="32"/>
          <w:szCs w:val="32"/>
        </w:rPr>
        <w:t>企业在</w:t>
      </w:r>
      <w:r>
        <w:rPr>
          <w:rFonts w:hint="eastAsia" w:ascii="Times New Roman" w:hAnsi="Times New Roman" w:eastAsia="仿宋_GB2312" w:cs="Times New Roman"/>
          <w:sz w:val="32"/>
          <w:szCs w:val="32"/>
        </w:rPr>
        <w:t>安全</w:t>
      </w:r>
      <w:r>
        <w:rPr>
          <w:rFonts w:ascii="Times New Roman" w:hAnsi="Times New Roman" w:eastAsia="仿宋_GB2312" w:cs="Times New Roman"/>
          <w:sz w:val="32"/>
          <w:szCs w:val="32"/>
        </w:rPr>
        <w:t>风险分级管控体系建立、完善基础上，针对风险分级管控清单，结合国家法律法规有关要求，形成隐患排查治理标准，明确各部门、各岗位、各设备设施排查范围和要求，组织安全生产管理人员、工程技术人员和其他相关人员对本单位的事故隐患进行排查，并对排查出的事故隐患，按照事故隐患的等级进行登记，建立事故隐患信息档案。</w:t>
      </w:r>
    </w:p>
    <w:p>
      <w:pPr>
        <w:pStyle w:val="4"/>
        <w:spacing w:before="0" w:after="0"/>
        <w:rPr>
          <w:rFonts w:ascii="Times New Roman" w:hAnsi="Times New Roman" w:eastAsia="仿宋_GB2312"/>
        </w:rPr>
      </w:pPr>
      <w:bookmarkStart w:id="30" w:name="_Toc26224"/>
      <w:bookmarkStart w:id="31" w:name="_Toc92909946"/>
      <w:r>
        <w:rPr>
          <w:rFonts w:hint="eastAsia" w:ascii="Times New Roman" w:hAnsi="Times New Roman" w:eastAsia="仿宋_GB2312"/>
        </w:rPr>
        <w:t>1</w:t>
      </w:r>
      <w:r>
        <w:rPr>
          <w:rFonts w:ascii="Times New Roman" w:hAnsi="Times New Roman" w:eastAsia="仿宋_GB2312"/>
        </w:rPr>
        <w:t>.1</w:t>
      </w:r>
      <w:r>
        <w:rPr>
          <w:rFonts w:hint="eastAsia" w:ascii="Times New Roman" w:hAnsi="Times New Roman" w:eastAsia="仿宋_GB2312"/>
        </w:rPr>
        <w:t>3</w:t>
      </w:r>
      <w:r>
        <w:rPr>
          <w:rFonts w:ascii="Times New Roman" w:hAnsi="Times New Roman" w:eastAsia="仿宋_GB2312"/>
        </w:rPr>
        <w:t xml:space="preserve">  隐患治理</w:t>
      </w:r>
      <w:bookmarkEnd w:id="30"/>
      <w:bookmarkEnd w:id="31"/>
    </w:p>
    <w:p>
      <w:pPr>
        <w:ind w:firstLine="640" w:firstLineChars="200"/>
        <w:rPr>
          <w:rFonts w:ascii="Times New Roman" w:hAnsi="Times New Roman" w:eastAsia="仿宋_GB2312" w:cs="Times New Roman"/>
          <w:sz w:val="32"/>
          <w:szCs w:val="32"/>
        </w:rPr>
      </w:pPr>
      <w:bookmarkStart w:id="32" w:name="OLE_LINK21"/>
      <w:bookmarkStart w:id="33" w:name="OLE_LINK22"/>
      <w:r>
        <w:rPr>
          <w:rFonts w:ascii="Times New Roman" w:hAnsi="Times New Roman" w:eastAsia="仿宋_GB2312" w:cs="Times New Roman"/>
          <w:sz w:val="32"/>
          <w:szCs w:val="32"/>
        </w:rPr>
        <w:t>隐患治理</w:t>
      </w:r>
      <w:bookmarkEnd w:id="32"/>
      <w:bookmarkEnd w:id="33"/>
      <w:r>
        <w:rPr>
          <w:rFonts w:ascii="Times New Roman" w:hAnsi="Times New Roman" w:eastAsia="仿宋_GB2312" w:cs="Times New Roman"/>
          <w:sz w:val="32"/>
          <w:szCs w:val="32"/>
        </w:rPr>
        <w:t>就是指消除或控制隐患的活动或过程。包括对排查出的事故隐患按照职责分工明确整改责任，制定整改计划、整改措施、落实整改资金、实施监控治理和复查验收的全过程。对于重大隐患治理，应制定详细的治理方案，并做到责任、措施、资金、时限和预案“五落实”。</w:t>
      </w:r>
      <w:r>
        <w:rPr>
          <w:rFonts w:ascii="Times New Roman" w:hAnsi="Times New Roman" w:eastAsia="仿宋_GB2312" w:cs="Times New Roman"/>
          <w:sz w:val="32"/>
          <w:szCs w:val="32"/>
        </w:rPr>
        <w:br w:type="page"/>
      </w:r>
    </w:p>
    <w:p>
      <w:pPr>
        <w:pStyle w:val="3"/>
        <w:numPr>
          <w:ilvl w:val="0"/>
          <w:numId w:val="2"/>
        </w:numPr>
        <w:spacing w:before="0" w:after="156" w:afterLines="50"/>
        <w:ind w:left="1259" w:hanging="1259"/>
        <w:jc w:val="center"/>
        <w:rPr>
          <w:rFonts w:ascii="Times New Roman" w:hAnsi="Times New Roman" w:eastAsia="仿宋_GB2312"/>
          <w:sz w:val="36"/>
          <w:szCs w:val="36"/>
        </w:rPr>
      </w:pPr>
      <w:bookmarkStart w:id="34" w:name="_Toc43221937"/>
      <w:bookmarkStart w:id="35" w:name="_Toc92909947"/>
      <w:r>
        <w:rPr>
          <w:rFonts w:ascii="Times New Roman" w:hAnsi="Times New Roman" w:eastAsia="仿宋_GB2312"/>
          <w:sz w:val="36"/>
          <w:szCs w:val="36"/>
        </w:rPr>
        <w:t>安全风险评价方法简介</w:t>
      </w:r>
      <w:bookmarkEnd w:id="34"/>
      <w:bookmarkEnd w:id="35"/>
    </w:p>
    <w:p>
      <w:pPr>
        <w:pStyle w:val="30"/>
        <w:ind w:firstLine="640"/>
        <w:rPr>
          <w:rFonts w:ascii="Times New Roman" w:eastAsia="仿宋_GB2312"/>
          <w:sz w:val="32"/>
          <w:szCs w:val="32"/>
        </w:rPr>
      </w:pPr>
      <w:r>
        <w:rPr>
          <w:rFonts w:ascii="Times New Roman" w:eastAsia="仿宋_GB2312"/>
          <w:sz w:val="32"/>
          <w:szCs w:val="32"/>
        </w:rPr>
        <w:t>对生产工艺、设备设施、作业环境、人员行为和管理体系等方面存在的安全风险，按照选定的安全风险评价方法分别对各安全风险点（危险源）进行安全风险评价。</w:t>
      </w:r>
    </w:p>
    <w:p>
      <w:pPr>
        <w:pStyle w:val="4"/>
        <w:spacing w:before="120" w:after="120"/>
        <w:rPr>
          <w:rFonts w:ascii="Times New Roman" w:hAnsi="Times New Roman" w:eastAsia="仿宋_GB2312"/>
        </w:rPr>
      </w:pPr>
      <w:bookmarkStart w:id="36" w:name="_Toc92909948"/>
      <w:r>
        <w:rPr>
          <w:rFonts w:ascii="Times New Roman" w:hAnsi="Times New Roman" w:eastAsia="仿宋_GB2312"/>
        </w:rPr>
        <w:t>2.1安全风险评价方法</w:t>
      </w:r>
      <w:bookmarkEnd w:id="36"/>
    </w:p>
    <w:p>
      <w:pPr>
        <w:pStyle w:val="30"/>
        <w:ind w:firstLine="640"/>
        <w:rPr>
          <w:rFonts w:ascii="Times New Roman" w:eastAsia="仿宋_GB2312"/>
          <w:sz w:val="32"/>
          <w:szCs w:val="32"/>
        </w:rPr>
      </w:pPr>
      <w:r>
        <w:rPr>
          <w:rFonts w:ascii="Times New Roman" w:eastAsia="仿宋_GB2312"/>
          <w:sz w:val="32"/>
          <w:szCs w:val="32"/>
        </w:rPr>
        <w:t>工贸企业可以选择作业条件危险性分析法（LEC）、风险矩阵分析法（LS）、风险程度分析法（MES）、工作危害分析法（JHA）等方法对安全风险点进行定性、定量评价，根据评价结果按从严从高的原则判定安全风险等级。</w:t>
      </w:r>
    </w:p>
    <w:p>
      <w:pPr>
        <w:pStyle w:val="30"/>
        <w:ind w:firstLine="640"/>
        <w:rPr>
          <w:rFonts w:ascii="Times New Roman" w:eastAsia="仿宋_GB2312"/>
          <w:b/>
          <w:sz w:val="32"/>
          <w:szCs w:val="32"/>
        </w:rPr>
      </w:pPr>
      <w:r>
        <w:rPr>
          <w:rFonts w:ascii="Times New Roman" w:eastAsia="仿宋_GB2312"/>
          <w:b/>
          <w:sz w:val="32"/>
          <w:szCs w:val="32"/>
        </w:rPr>
        <w:t>需要说明的是，上述安全风险评价方法评价结果都是5个等级，其中等级1对应红色级，等级2对应橙色级，等级3对应黄色级，等级4、等级5合并为蓝色级。</w:t>
      </w:r>
    </w:p>
    <w:p>
      <w:pPr>
        <w:pStyle w:val="5"/>
        <w:spacing w:before="120" w:after="120" w:line="240" w:lineRule="auto"/>
        <w:rPr>
          <w:rFonts w:ascii="Times New Roman" w:hAnsi="Times New Roman" w:eastAsia="仿宋_GB2312" w:cs="Times New Roman"/>
          <w:sz w:val="32"/>
          <w:szCs w:val="32"/>
        </w:rPr>
      </w:pPr>
      <w:r>
        <w:rPr>
          <w:rFonts w:ascii="Times New Roman" w:hAnsi="Times New Roman" w:eastAsia="仿宋_GB2312" w:cs="Times New Roman"/>
          <w:sz w:val="32"/>
          <w:szCs w:val="32"/>
        </w:rPr>
        <w:t>2.1.1作业条件风险程度评价——MES法</w:t>
      </w:r>
    </w:p>
    <w:p>
      <w:pPr>
        <w:pStyle w:val="30"/>
        <w:ind w:firstLine="640"/>
        <w:rPr>
          <w:rFonts w:ascii="Times New Roman" w:eastAsia="仿宋_GB2312"/>
        </w:rPr>
      </w:pPr>
      <w:r>
        <w:rPr>
          <w:rFonts w:ascii="Times New Roman" w:eastAsia="仿宋_GB2312"/>
          <w:sz w:val="32"/>
          <w:szCs w:val="32"/>
        </w:rPr>
        <w:t>作业条件风险程度评价法（简称MES法），R= M×E×S ，其中R是危险性（也称风险度），是事故发生的可能性与事件后果的结合，M是控制措施的状态；E是人体暴露于危险状态的频繁程度或危险状态出现的频次; S是事故的可能后果；R值越大，说明危险性大、风险大。</w:t>
      </w:r>
    </w:p>
    <w:p>
      <w:pPr>
        <w:pStyle w:val="30"/>
        <w:ind w:firstLine="640"/>
        <w:rPr>
          <w:rFonts w:ascii="Times New Roman" w:eastAsia="仿宋_GB2312"/>
          <w:b/>
          <w:sz w:val="32"/>
          <w:szCs w:val="32"/>
        </w:rPr>
      </w:pPr>
      <w:bookmarkStart w:id="37" w:name="_Toc21816"/>
      <w:r>
        <w:rPr>
          <w:rFonts w:ascii="Times New Roman" w:eastAsia="仿宋_GB2312"/>
          <w:b/>
          <w:sz w:val="32"/>
          <w:szCs w:val="32"/>
        </w:rPr>
        <w:t>（1）控制措施的状态M</w:t>
      </w:r>
      <w:bookmarkEnd w:id="37"/>
    </w:p>
    <w:p>
      <w:pPr>
        <w:pStyle w:val="30"/>
        <w:ind w:firstLine="640"/>
        <w:rPr>
          <w:rFonts w:ascii="Times New Roman" w:eastAsia="仿宋_GB2312"/>
        </w:rPr>
      </w:pPr>
      <w:r>
        <w:rPr>
          <w:rFonts w:ascii="Times New Roman" w:eastAsia="仿宋_GB2312"/>
          <w:sz w:val="32"/>
          <w:szCs w:val="32"/>
        </w:rPr>
        <w:t>对于特定危害引起特定事故（这里</w:t>
      </w:r>
      <w:r>
        <w:rPr>
          <w:rFonts w:hint="eastAsia" w:ascii="Times New Roman" w:eastAsia="仿宋_GB2312"/>
          <w:sz w:val="32"/>
          <w:szCs w:val="32"/>
        </w:rPr>
        <w:t>“</w:t>
      </w:r>
      <w:r>
        <w:rPr>
          <w:rFonts w:ascii="Times New Roman" w:eastAsia="仿宋_GB2312"/>
          <w:sz w:val="32"/>
          <w:szCs w:val="32"/>
        </w:rPr>
        <w:t>特定事故</w:t>
      </w:r>
      <w:r>
        <w:rPr>
          <w:rFonts w:hint="eastAsia" w:ascii="Times New Roman" w:eastAsia="仿宋_GB2312"/>
          <w:sz w:val="32"/>
          <w:szCs w:val="32"/>
        </w:rPr>
        <w:t>”</w:t>
      </w:r>
      <w:r>
        <w:rPr>
          <w:rFonts w:ascii="Times New Roman" w:eastAsia="仿宋_GB2312"/>
          <w:sz w:val="32"/>
          <w:szCs w:val="32"/>
        </w:rPr>
        <w:t>一词既包含</w:t>
      </w:r>
      <w:r>
        <w:rPr>
          <w:rFonts w:hint="eastAsia" w:ascii="Times New Roman" w:eastAsia="仿宋_GB2312"/>
          <w:sz w:val="32"/>
          <w:szCs w:val="32"/>
        </w:rPr>
        <w:t>“</w:t>
      </w:r>
      <w:r>
        <w:rPr>
          <w:rFonts w:ascii="Times New Roman" w:eastAsia="仿宋_GB2312"/>
          <w:sz w:val="32"/>
          <w:szCs w:val="32"/>
        </w:rPr>
        <w:t>类别</w:t>
      </w:r>
      <w:r>
        <w:rPr>
          <w:rFonts w:hint="eastAsia" w:ascii="Times New Roman" w:eastAsia="仿宋_GB2312"/>
          <w:sz w:val="32"/>
          <w:szCs w:val="32"/>
        </w:rPr>
        <w:t>”</w:t>
      </w:r>
      <w:r>
        <w:rPr>
          <w:rFonts w:ascii="Times New Roman" w:eastAsia="仿宋_GB2312"/>
          <w:sz w:val="32"/>
          <w:szCs w:val="32"/>
        </w:rPr>
        <w:t>的含义，如灼烫、高处坠落、触电、火灾、其他爆炸、起重伤害、物体打击、机械伤害等；也包含</w:t>
      </w:r>
      <w:r>
        <w:rPr>
          <w:rFonts w:hint="eastAsia" w:ascii="Times New Roman" w:eastAsia="仿宋_GB2312"/>
          <w:sz w:val="32"/>
          <w:szCs w:val="32"/>
        </w:rPr>
        <w:t>“</w:t>
      </w:r>
      <w:r>
        <w:rPr>
          <w:rFonts w:ascii="Times New Roman" w:eastAsia="仿宋_GB2312"/>
          <w:sz w:val="32"/>
          <w:szCs w:val="32"/>
        </w:rPr>
        <w:t>程度</w:t>
      </w:r>
      <w:r>
        <w:rPr>
          <w:rFonts w:hint="eastAsia" w:ascii="Times New Roman" w:eastAsia="仿宋_GB2312"/>
          <w:sz w:val="32"/>
          <w:szCs w:val="32"/>
        </w:rPr>
        <w:t>”</w:t>
      </w:r>
      <w:r>
        <w:rPr>
          <w:rFonts w:ascii="Times New Roman" w:eastAsia="仿宋_GB2312"/>
          <w:sz w:val="32"/>
          <w:szCs w:val="32"/>
        </w:rPr>
        <w:t>的含义，如死亡、永久性部分丧失劳动能力、暂时性全部丧失劳动能力、仅需急救、轻微设备损失等）而言，无控制措施时发生的可能性较大，有减轻后果的应急措施时发生的可能性较小，有预防措施时发生的可能性最小。控制措施的状态M的赋值见表2.1.1-1。</w:t>
      </w:r>
    </w:p>
    <w:p>
      <w:pPr>
        <w:pStyle w:val="37"/>
        <w:tabs>
          <w:tab w:val="clear" w:pos="180"/>
        </w:tabs>
        <w:spacing w:beforeLines="0" w:afterLines="0"/>
        <w:rPr>
          <w:rFonts w:ascii="Times New Roman" w:eastAsia="仿宋_GB2312"/>
        </w:rPr>
      </w:pPr>
      <w:r>
        <w:rPr>
          <w:rFonts w:ascii="Times New Roman" w:eastAsia="仿宋_GB2312"/>
        </w:rPr>
        <w:t>表2.1.1-1 控制措施的状态M</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561"/>
        <w:gridCol w:w="596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295" w:hRule="atLeast"/>
          <w:jc w:val="center"/>
        </w:trPr>
        <w:tc>
          <w:tcPr>
            <w:tcW w:w="2561" w:type="dxa"/>
            <w:tcBorders>
              <w:top w:val="single" w:color="auto" w:sz="8" w:space="0"/>
              <w:left w:val="single" w:color="auto" w:sz="8" w:space="0"/>
            </w:tcBorders>
            <w:vAlign w:val="center"/>
          </w:tcPr>
          <w:p>
            <w:pPr>
              <w:pStyle w:val="10"/>
              <w:jc w:val="center"/>
              <w:rPr>
                <w:rFonts w:ascii="Times New Roman" w:hAnsi="Times New Roman" w:eastAsia="仿宋_GB2312"/>
                <w:b/>
                <w:sz w:val="18"/>
                <w:szCs w:val="18"/>
              </w:rPr>
            </w:pPr>
            <w:r>
              <w:rPr>
                <w:rFonts w:ascii="Times New Roman" w:hAnsi="Times New Roman" w:eastAsia="仿宋_GB2312"/>
                <w:b/>
                <w:sz w:val="18"/>
                <w:szCs w:val="18"/>
              </w:rPr>
              <w:t>分数值</w:t>
            </w:r>
          </w:p>
        </w:tc>
        <w:tc>
          <w:tcPr>
            <w:tcW w:w="5961" w:type="dxa"/>
            <w:tcBorders>
              <w:top w:val="single" w:color="auto" w:sz="8" w:space="0"/>
              <w:right w:val="single" w:color="auto" w:sz="8" w:space="0"/>
            </w:tcBorders>
            <w:vAlign w:val="center"/>
          </w:tcPr>
          <w:p>
            <w:pPr>
              <w:ind w:firstLine="36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控制措施的状态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154" w:hRule="atLeast"/>
          <w:jc w:val="center"/>
        </w:trPr>
        <w:tc>
          <w:tcPr>
            <w:tcW w:w="2561" w:type="dxa"/>
            <w:tcBorders>
              <w:top w:val="single" w:color="auto" w:sz="8" w:space="0"/>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5</w:t>
            </w:r>
          </w:p>
        </w:tc>
        <w:tc>
          <w:tcPr>
            <w:tcW w:w="5961" w:type="dxa"/>
            <w:tcBorders>
              <w:top w:val="single" w:color="auto" w:sz="8" w:space="0"/>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无控制措施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56" w:hRule="atLeast"/>
          <w:jc w:val="center"/>
        </w:trPr>
        <w:tc>
          <w:tcPr>
            <w:tcW w:w="2561" w:type="dxa"/>
            <w:tcBorders>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3</w:t>
            </w:r>
          </w:p>
        </w:tc>
        <w:tc>
          <w:tcPr>
            <w:tcW w:w="5961" w:type="dxa"/>
            <w:tcBorders>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有减轻后果的应急措施，如警报系统、个体防护用品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246" w:hRule="atLeast"/>
          <w:jc w:val="center"/>
        </w:trPr>
        <w:tc>
          <w:tcPr>
            <w:tcW w:w="2561" w:type="dxa"/>
            <w:tcBorders>
              <w:left w:val="single" w:color="auto" w:sz="8" w:space="0"/>
              <w:bottom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1</w:t>
            </w:r>
          </w:p>
        </w:tc>
        <w:tc>
          <w:tcPr>
            <w:tcW w:w="5961" w:type="dxa"/>
            <w:tcBorders>
              <w:bottom w:val="single" w:color="auto" w:sz="8" w:space="0"/>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 xml:space="preserve">有预防措施，如机器防护装置等，但须保证有效   </w:t>
            </w:r>
          </w:p>
        </w:tc>
      </w:tr>
    </w:tbl>
    <w:p>
      <w:pPr>
        <w:pStyle w:val="30"/>
        <w:spacing w:before="156" w:beforeLines="50"/>
        <w:ind w:firstLine="640"/>
        <w:rPr>
          <w:rFonts w:ascii="Times New Roman" w:eastAsia="仿宋_GB2312"/>
          <w:b/>
          <w:sz w:val="32"/>
          <w:szCs w:val="32"/>
        </w:rPr>
      </w:pPr>
      <w:bookmarkStart w:id="38" w:name="_Toc3232"/>
      <w:r>
        <w:rPr>
          <w:rFonts w:ascii="Times New Roman" w:eastAsia="仿宋_GB2312"/>
          <w:b/>
          <w:sz w:val="32"/>
          <w:szCs w:val="32"/>
        </w:rPr>
        <w:t>（2）人体暴露或危险状态出现的频繁程度E</w:t>
      </w:r>
      <w:bookmarkEnd w:id="38"/>
    </w:p>
    <w:p>
      <w:pPr>
        <w:pStyle w:val="30"/>
        <w:ind w:firstLine="640"/>
        <w:rPr>
          <w:rFonts w:ascii="Times New Roman" w:eastAsia="仿宋_GB2312"/>
        </w:rPr>
      </w:pPr>
      <w:r>
        <w:rPr>
          <w:rFonts w:ascii="Times New Roman" w:eastAsia="仿宋_GB2312"/>
          <w:sz w:val="32"/>
          <w:szCs w:val="32"/>
        </w:rPr>
        <w:t>人体暴露于危险状态的频繁程度越大，发生伤害事故的可能性越大；危险状态出现的频次越高，发生财产损失的可能性越大。人体暴露的频繁程度或危险状态出现的频次E的赋值见表2.1.1-2。</w:t>
      </w:r>
    </w:p>
    <w:p>
      <w:pPr>
        <w:pStyle w:val="37"/>
        <w:tabs>
          <w:tab w:val="clear" w:pos="180"/>
        </w:tabs>
        <w:spacing w:beforeLines="0" w:afterLines="0"/>
        <w:rPr>
          <w:rFonts w:ascii="Times New Roman" w:eastAsia="仿宋_GB2312"/>
        </w:rPr>
      </w:pPr>
      <w:r>
        <w:rPr>
          <w:rFonts w:ascii="Times New Roman" w:eastAsia="仿宋_GB2312"/>
        </w:rPr>
        <w:t>表2.1.1-2  人体暴露的频繁程度或危险状态出现的频次E</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3"/>
        <w:gridCol w:w="3772"/>
        <w:gridCol w:w="360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7" w:hRule="atLeast"/>
          <w:jc w:val="center"/>
        </w:trPr>
        <w:tc>
          <w:tcPr>
            <w:tcW w:w="1143" w:type="dxa"/>
            <w:tcBorders>
              <w:top w:val="single" w:color="auto" w:sz="8" w:space="0"/>
              <w:left w:val="single" w:color="auto" w:sz="8" w:space="0"/>
            </w:tcBorders>
            <w:vAlign w:val="center"/>
          </w:tcPr>
          <w:p>
            <w:pPr>
              <w:pStyle w:val="10"/>
              <w:jc w:val="center"/>
              <w:rPr>
                <w:rFonts w:ascii="Times New Roman" w:hAnsi="Times New Roman" w:eastAsia="仿宋_GB2312"/>
                <w:b/>
                <w:sz w:val="18"/>
                <w:szCs w:val="18"/>
              </w:rPr>
            </w:pPr>
            <w:r>
              <w:rPr>
                <w:rFonts w:ascii="Times New Roman" w:hAnsi="Times New Roman" w:eastAsia="仿宋_GB2312"/>
                <w:b/>
                <w:sz w:val="18"/>
                <w:szCs w:val="18"/>
              </w:rPr>
              <w:t>分数值</w:t>
            </w:r>
          </w:p>
        </w:tc>
        <w:tc>
          <w:tcPr>
            <w:tcW w:w="3772" w:type="dxa"/>
            <w:tcBorders>
              <w:top w:val="single" w:color="auto" w:sz="8" w:space="0"/>
            </w:tcBorders>
            <w:vAlign w:val="center"/>
          </w:tcPr>
          <w:p>
            <w:pPr>
              <w:pStyle w:val="10"/>
              <w:jc w:val="center"/>
              <w:rPr>
                <w:rFonts w:ascii="Times New Roman" w:hAnsi="Times New Roman" w:eastAsia="仿宋_GB2312"/>
                <w:b/>
                <w:sz w:val="18"/>
                <w:szCs w:val="18"/>
              </w:rPr>
            </w:pPr>
            <w:r>
              <w:rPr>
                <w:rFonts w:ascii="Times New Roman" w:hAnsi="Times New Roman" w:eastAsia="仿宋_GB2312"/>
                <w:b/>
                <w:sz w:val="18"/>
                <w:szCs w:val="18"/>
              </w:rPr>
              <w:t>E</w:t>
            </w:r>
            <w:r>
              <w:rPr>
                <w:rFonts w:ascii="Times New Roman" w:hAnsi="Times New Roman" w:eastAsia="仿宋_GB2312"/>
                <w:b/>
                <w:sz w:val="18"/>
                <w:szCs w:val="18"/>
                <w:vertAlign w:val="subscript"/>
              </w:rPr>
              <w:t>1</w:t>
            </w:r>
            <w:r>
              <w:rPr>
                <w:rFonts w:ascii="Times New Roman" w:hAnsi="Times New Roman" w:eastAsia="仿宋_GB2312"/>
                <w:b/>
                <w:sz w:val="18"/>
                <w:szCs w:val="18"/>
              </w:rPr>
              <w:t>：</w:t>
            </w:r>
          </w:p>
          <w:p>
            <w:pPr>
              <w:pStyle w:val="10"/>
              <w:jc w:val="center"/>
              <w:rPr>
                <w:rFonts w:ascii="Times New Roman" w:hAnsi="Times New Roman" w:eastAsia="仿宋_GB2312"/>
                <w:b/>
                <w:sz w:val="18"/>
                <w:szCs w:val="18"/>
              </w:rPr>
            </w:pPr>
            <w:r>
              <w:rPr>
                <w:rFonts w:ascii="Times New Roman" w:hAnsi="Times New Roman" w:eastAsia="仿宋_GB2312"/>
                <w:b/>
                <w:sz w:val="18"/>
                <w:szCs w:val="18"/>
              </w:rPr>
              <w:t>人体暴露于危险状态的频繁程度</w:t>
            </w:r>
          </w:p>
        </w:tc>
        <w:tc>
          <w:tcPr>
            <w:tcW w:w="3607" w:type="dxa"/>
            <w:tcBorders>
              <w:top w:val="single" w:color="auto" w:sz="8" w:space="0"/>
              <w:right w:val="single" w:color="auto" w:sz="8" w:space="0"/>
            </w:tcBorders>
            <w:vAlign w:val="center"/>
          </w:tcPr>
          <w:p>
            <w:pPr>
              <w:pStyle w:val="10"/>
              <w:jc w:val="center"/>
              <w:rPr>
                <w:rFonts w:ascii="Times New Roman" w:hAnsi="Times New Roman" w:eastAsia="仿宋_GB2312"/>
                <w:b/>
                <w:sz w:val="18"/>
                <w:szCs w:val="18"/>
              </w:rPr>
            </w:pPr>
            <w:r>
              <w:rPr>
                <w:rFonts w:ascii="Times New Roman" w:hAnsi="Times New Roman" w:eastAsia="仿宋_GB2312"/>
                <w:b/>
                <w:sz w:val="18"/>
                <w:szCs w:val="18"/>
              </w:rPr>
              <w:t>E</w:t>
            </w:r>
            <w:r>
              <w:rPr>
                <w:rFonts w:ascii="Times New Roman" w:hAnsi="Times New Roman" w:eastAsia="仿宋_GB2312"/>
                <w:b/>
                <w:sz w:val="18"/>
                <w:szCs w:val="18"/>
                <w:vertAlign w:val="subscript"/>
              </w:rPr>
              <w:t>2</w:t>
            </w:r>
            <w:r>
              <w:rPr>
                <w:rFonts w:ascii="Times New Roman" w:hAnsi="Times New Roman" w:eastAsia="仿宋_GB2312"/>
                <w:b/>
                <w:sz w:val="18"/>
                <w:szCs w:val="18"/>
              </w:rPr>
              <w:t>：</w:t>
            </w:r>
          </w:p>
          <w:p>
            <w:pPr>
              <w:pStyle w:val="10"/>
              <w:jc w:val="center"/>
              <w:rPr>
                <w:rFonts w:ascii="Times New Roman" w:hAnsi="Times New Roman" w:eastAsia="仿宋_GB2312"/>
                <w:b/>
                <w:sz w:val="18"/>
                <w:szCs w:val="18"/>
              </w:rPr>
            </w:pPr>
            <w:r>
              <w:rPr>
                <w:rFonts w:ascii="Times New Roman" w:hAnsi="Times New Roman" w:eastAsia="仿宋_GB2312"/>
                <w:b/>
                <w:sz w:val="18"/>
                <w:szCs w:val="18"/>
              </w:rPr>
              <w:t>危险状态出现的频次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79" w:hRule="atLeast"/>
          <w:jc w:val="center"/>
        </w:trPr>
        <w:tc>
          <w:tcPr>
            <w:tcW w:w="1143" w:type="dxa"/>
            <w:tcBorders>
              <w:top w:val="single" w:color="auto" w:sz="8" w:space="0"/>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10</w:t>
            </w:r>
          </w:p>
        </w:tc>
        <w:tc>
          <w:tcPr>
            <w:tcW w:w="3772" w:type="dxa"/>
            <w:tcBorders>
              <w:top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连续暴露</w:t>
            </w:r>
          </w:p>
        </w:tc>
        <w:tc>
          <w:tcPr>
            <w:tcW w:w="3607" w:type="dxa"/>
            <w:tcBorders>
              <w:top w:val="single" w:color="auto" w:sz="8" w:space="0"/>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常态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2" w:hRule="atLeast"/>
          <w:jc w:val="center"/>
        </w:trPr>
        <w:tc>
          <w:tcPr>
            <w:tcW w:w="1143" w:type="dxa"/>
            <w:tcBorders>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6</w:t>
            </w:r>
          </w:p>
        </w:tc>
        <w:tc>
          <w:tcPr>
            <w:tcW w:w="3772" w:type="dxa"/>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每天工作时间内暴露</w:t>
            </w:r>
          </w:p>
        </w:tc>
        <w:tc>
          <w:tcPr>
            <w:tcW w:w="3607" w:type="dxa"/>
            <w:tcBorders>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每天工作时间出现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2" w:hRule="atLeast"/>
          <w:jc w:val="center"/>
        </w:trPr>
        <w:tc>
          <w:tcPr>
            <w:tcW w:w="1143" w:type="dxa"/>
            <w:tcBorders>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3</w:t>
            </w:r>
          </w:p>
        </w:tc>
        <w:tc>
          <w:tcPr>
            <w:tcW w:w="3772" w:type="dxa"/>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每周一次，或偶然暴露</w:t>
            </w:r>
          </w:p>
        </w:tc>
        <w:tc>
          <w:tcPr>
            <w:tcW w:w="3607" w:type="dxa"/>
            <w:tcBorders>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每周一次，或偶然出现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8" w:hRule="atLeast"/>
          <w:jc w:val="center"/>
        </w:trPr>
        <w:tc>
          <w:tcPr>
            <w:tcW w:w="1143" w:type="dxa"/>
            <w:tcBorders>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2</w:t>
            </w:r>
          </w:p>
        </w:tc>
        <w:tc>
          <w:tcPr>
            <w:tcW w:w="3772" w:type="dxa"/>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每月一次暴露</w:t>
            </w:r>
          </w:p>
        </w:tc>
        <w:tc>
          <w:tcPr>
            <w:tcW w:w="3607" w:type="dxa"/>
            <w:tcBorders>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每月一次出现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8" w:hRule="atLeast"/>
          <w:jc w:val="center"/>
        </w:trPr>
        <w:tc>
          <w:tcPr>
            <w:tcW w:w="1143" w:type="dxa"/>
            <w:tcBorders>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1</w:t>
            </w:r>
          </w:p>
        </w:tc>
        <w:tc>
          <w:tcPr>
            <w:tcW w:w="3772" w:type="dxa"/>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每年几次暴露</w:t>
            </w:r>
          </w:p>
        </w:tc>
        <w:tc>
          <w:tcPr>
            <w:tcW w:w="3607" w:type="dxa"/>
            <w:tcBorders>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每年几次出现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 w:hRule="atLeast"/>
          <w:jc w:val="center"/>
        </w:trPr>
        <w:tc>
          <w:tcPr>
            <w:tcW w:w="1143" w:type="dxa"/>
            <w:tcBorders>
              <w:left w:val="single" w:color="auto" w:sz="8" w:space="0"/>
            </w:tcBorders>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0.5</w:t>
            </w:r>
          </w:p>
        </w:tc>
        <w:tc>
          <w:tcPr>
            <w:tcW w:w="3772" w:type="dxa"/>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更少的暴露</w:t>
            </w:r>
          </w:p>
        </w:tc>
        <w:tc>
          <w:tcPr>
            <w:tcW w:w="3607" w:type="dxa"/>
            <w:tcBorders>
              <w:right w:val="single" w:color="auto" w:sz="8" w:space="0"/>
            </w:tcBorders>
            <w:vAlign w:val="center"/>
          </w:tcPr>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更少的出现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42" w:hRule="atLeast"/>
          <w:jc w:val="center"/>
        </w:trPr>
        <w:tc>
          <w:tcPr>
            <w:tcW w:w="8522" w:type="dxa"/>
            <w:gridSpan w:val="3"/>
            <w:tcBorders>
              <w:left w:val="single" w:color="auto" w:sz="8" w:space="0"/>
              <w:bottom w:val="single" w:color="auto" w:sz="8" w:space="0"/>
              <w:right w:val="single" w:color="auto" w:sz="8" w:space="0"/>
            </w:tcBorders>
            <w:vAlign w:val="center"/>
          </w:tcPr>
          <w:p>
            <w:pPr>
              <w:pStyle w:val="10"/>
              <w:rPr>
                <w:rFonts w:ascii="Times New Roman" w:hAnsi="Times New Roman" w:eastAsia="仿宋_GB2312"/>
                <w:sz w:val="18"/>
                <w:szCs w:val="18"/>
              </w:rPr>
            </w:pPr>
            <w:r>
              <w:rPr>
                <w:rFonts w:ascii="Times New Roman" w:hAnsi="Times New Roman" w:eastAsia="仿宋_GB2312"/>
                <w:sz w:val="18"/>
                <w:szCs w:val="18"/>
              </w:rPr>
              <w:t>注1：8小时不离工作岗位，算“连续暴露”；危险状态常存，算“常态”。</w:t>
            </w:r>
          </w:p>
          <w:p>
            <w:pPr>
              <w:widowControl/>
              <w:rPr>
                <w:rFonts w:ascii="Times New Roman" w:hAnsi="Times New Roman" w:eastAsia="仿宋_GB2312" w:cs="Times New Roman"/>
                <w:sz w:val="18"/>
                <w:szCs w:val="18"/>
              </w:rPr>
            </w:pPr>
            <w:r>
              <w:rPr>
                <w:rFonts w:ascii="Times New Roman" w:hAnsi="Times New Roman" w:eastAsia="仿宋_GB2312" w:cs="Times New Roman"/>
                <w:sz w:val="18"/>
                <w:szCs w:val="18"/>
              </w:rPr>
              <w:t>注2：8小时内暴露一至几次，算“每天工作时间暴露”；危险状态出现一至几次，算“每天工作时间出现”。</w:t>
            </w:r>
          </w:p>
        </w:tc>
      </w:tr>
    </w:tbl>
    <w:p>
      <w:pPr>
        <w:pStyle w:val="30"/>
        <w:ind w:firstLine="640"/>
        <w:rPr>
          <w:rFonts w:ascii="Times New Roman" w:eastAsia="仿宋_GB2312"/>
          <w:b/>
          <w:sz w:val="32"/>
          <w:szCs w:val="32"/>
        </w:rPr>
      </w:pPr>
      <w:bookmarkStart w:id="39" w:name="_Toc6944"/>
      <w:r>
        <w:rPr>
          <w:rFonts w:ascii="Times New Roman" w:eastAsia="仿宋_GB2312"/>
          <w:b/>
          <w:sz w:val="32"/>
          <w:szCs w:val="32"/>
        </w:rPr>
        <w:t>（3）事故的可能后果S</w:t>
      </w:r>
      <w:bookmarkEnd w:id="39"/>
    </w:p>
    <w:p>
      <w:pPr>
        <w:pStyle w:val="30"/>
        <w:ind w:firstLine="640"/>
        <w:rPr>
          <w:rFonts w:ascii="Times New Roman" w:eastAsia="仿宋_GB2312"/>
        </w:rPr>
      </w:pPr>
      <w:r>
        <w:rPr>
          <w:rFonts w:ascii="Times New Roman" w:eastAsia="仿宋_GB2312"/>
          <w:sz w:val="32"/>
          <w:szCs w:val="32"/>
        </w:rPr>
        <w:t>表2.1.1-3表示按伤害、职业相关病症、财产损失、环境影响等方面不同事故后果的分档赋值。</w:t>
      </w:r>
    </w:p>
    <w:p>
      <w:pPr>
        <w:pStyle w:val="37"/>
        <w:tabs>
          <w:tab w:val="clear" w:pos="180"/>
        </w:tabs>
        <w:spacing w:beforeLines="0" w:afterLines="0"/>
        <w:rPr>
          <w:rFonts w:ascii="Times New Roman" w:eastAsia="仿宋_GB2312"/>
        </w:rPr>
      </w:pPr>
      <w:r>
        <w:rPr>
          <w:rFonts w:ascii="Times New Roman" w:eastAsia="仿宋_GB2312"/>
        </w:rPr>
        <w:t>表2.1.1-3  事故的可能后果S</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02"/>
        <w:gridCol w:w="1701"/>
        <w:gridCol w:w="1531"/>
        <w:gridCol w:w="1594"/>
        <w:gridCol w:w="28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61" w:hRule="atLeast"/>
          <w:jc w:val="center"/>
        </w:trPr>
        <w:tc>
          <w:tcPr>
            <w:tcW w:w="802" w:type="dxa"/>
            <w:vMerge w:val="restart"/>
            <w:tcBorders>
              <w:top w:val="single" w:color="auto" w:sz="8" w:space="0"/>
              <w:left w:val="single" w:color="auto" w:sz="8" w:space="0"/>
            </w:tcBorders>
            <w:vAlign w:val="center"/>
          </w:tcPr>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分</w:t>
            </w:r>
          </w:p>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数</w:t>
            </w:r>
          </w:p>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值</w:t>
            </w:r>
          </w:p>
        </w:tc>
        <w:tc>
          <w:tcPr>
            <w:tcW w:w="7720" w:type="dxa"/>
            <w:gridSpan w:val="4"/>
            <w:tcBorders>
              <w:top w:val="single" w:color="auto" w:sz="8" w:space="0"/>
              <w:right w:val="single" w:color="auto" w:sz="8" w:space="0"/>
            </w:tcBorders>
            <w:vAlign w:val="center"/>
          </w:tcPr>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事故的可能后果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5" w:hRule="atLeast"/>
          <w:jc w:val="center"/>
        </w:trPr>
        <w:tc>
          <w:tcPr>
            <w:tcW w:w="802" w:type="dxa"/>
            <w:vMerge w:val="continue"/>
            <w:tcBorders>
              <w:left w:val="single" w:color="auto" w:sz="8" w:space="0"/>
            </w:tcBorders>
            <w:vAlign w:val="center"/>
          </w:tcPr>
          <w:p>
            <w:pPr>
              <w:pStyle w:val="10"/>
              <w:adjustRightInd w:val="0"/>
              <w:snapToGrid w:val="0"/>
              <w:jc w:val="center"/>
              <w:rPr>
                <w:rFonts w:ascii="Times New Roman" w:hAnsi="Times New Roman" w:eastAsia="仿宋_GB2312"/>
                <w:b/>
                <w:sz w:val="18"/>
                <w:szCs w:val="18"/>
              </w:rPr>
            </w:pPr>
          </w:p>
        </w:tc>
        <w:tc>
          <w:tcPr>
            <w:tcW w:w="1701" w:type="dxa"/>
            <w:vAlign w:val="center"/>
          </w:tcPr>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伤害</w:t>
            </w:r>
          </w:p>
        </w:tc>
        <w:tc>
          <w:tcPr>
            <w:tcW w:w="1531" w:type="dxa"/>
            <w:vAlign w:val="center"/>
          </w:tcPr>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职业相关病症</w:t>
            </w:r>
          </w:p>
        </w:tc>
        <w:tc>
          <w:tcPr>
            <w:tcW w:w="1594" w:type="dxa"/>
            <w:vAlign w:val="center"/>
          </w:tcPr>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财产损失（元）</w:t>
            </w:r>
          </w:p>
        </w:tc>
        <w:tc>
          <w:tcPr>
            <w:tcW w:w="2894" w:type="dxa"/>
            <w:tcBorders>
              <w:right w:val="single" w:color="auto" w:sz="8" w:space="0"/>
            </w:tcBorders>
            <w:vAlign w:val="center"/>
          </w:tcPr>
          <w:p>
            <w:pPr>
              <w:pStyle w:val="1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环境影响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49" w:hRule="atLeast"/>
          <w:jc w:val="center"/>
        </w:trPr>
        <w:tc>
          <w:tcPr>
            <w:tcW w:w="802" w:type="dxa"/>
            <w:tcBorders>
              <w:top w:val="single" w:color="auto" w:sz="8" w:space="0"/>
              <w:left w:val="single" w:color="auto" w:sz="8" w:space="0"/>
            </w:tcBorders>
            <w:vAlign w:val="center"/>
          </w:tcPr>
          <w:p>
            <w:pPr>
              <w:pStyle w:val="1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10</w:t>
            </w:r>
          </w:p>
        </w:tc>
        <w:tc>
          <w:tcPr>
            <w:tcW w:w="1701" w:type="dxa"/>
            <w:tcBorders>
              <w:top w:val="single" w:color="auto" w:sz="8" w:space="0"/>
            </w:tcBorders>
            <w:vAlign w:val="center"/>
          </w:tcPr>
          <w:p>
            <w:pPr>
              <w:pStyle w:val="10"/>
              <w:adjustRightInd w:val="0"/>
              <w:snapToGrid w:val="0"/>
              <w:rPr>
                <w:rFonts w:ascii="Times New Roman" w:hAnsi="Times New Roman" w:eastAsia="仿宋_GB2312"/>
                <w:sz w:val="18"/>
                <w:szCs w:val="18"/>
              </w:rPr>
            </w:pPr>
            <w:r>
              <w:rPr>
                <w:rFonts w:ascii="Times New Roman" w:hAnsi="Times New Roman" w:eastAsia="仿宋_GB2312"/>
                <w:sz w:val="18"/>
                <w:szCs w:val="18"/>
              </w:rPr>
              <w:t>有多人死亡</w:t>
            </w:r>
          </w:p>
        </w:tc>
        <w:tc>
          <w:tcPr>
            <w:tcW w:w="1531" w:type="dxa"/>
            <w:tcBorders>
              <w:top w:val="single" w:color="auto" w:sz="8" w:space="0"/>
            </w:tcBorders>
            <w:vAlign w:val="center"/>
          </w:tcPr>
          <w:p>
            <w:pPr>
              <w:widowControl/>
              <w:adjustRightInd w:val="0"/>
              <w:snapToGrid w:val="0"/>
              <w:rPr>
                <w:rFonts w:ascii="Times New Roman" w:hAnsi="Times New Roman" w:eastAsia="仿宋_GB2312" w:cs="Times New Roman"/>
                <w:sz w:val="18"/>
                <w:szCs w:val="18"/>
              </w:rPr>
            </w:pPr>
          </w:p>
        </w:tc>
        <w:tc>
          <w:tcPr>
            <w:tcW w:w="1594" w:type="dxa"/>
            <w:tcBorders>
              <w:top w:val="single" w:color="auto" w:sz="8" w:space="0"/>
            </w:tcBorders>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＞1千万</w:t>
            </w:r>
          </w:p>
        </w:tc>
        <w:tc>
          <w:tcPr>
            <w:tcW w:w="2894" w:type="dxa"/>
            <w:tcBorders>
              <w:top w:val="single" w:color="auto" w:sz="8" w:space="0"/>
              <w:right w:val="single" w:color="auto" w:sz="8" w:space="0"/>
            </w:tcBorders>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有重大环境影响的不可控排放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46" w:hRule="atLeast"/>
          <w:jc w:val="center"/>
        </w:trPr>
        <w:tc>
          <w:tcPr>
            <w:tcW w:w="802" w:type="dxa"/>
            <w:tcBorders>
              <w:left w:val="single" w:color="auto" w:sz="8" w:space="0"/>
            </w:tcBorders>
            <w:vAlign w:val="center"/>
          </w:tcPr>
          <w:p>
            <w:pPr>
              <w:pStyle w:val="1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8</w:t>
            </w:r>
          </w:p>
        </w:tc>
        <w:tc>
          <w:tcPr>
            <w:tcW w:w="1701" w:type="dxa"/>
            <w:vAlign w:val="center"/>
          </w:tcPr>
          <w:p>
            <w:pPr>
              <w:pStyle w:val="10"/>
              <w:adjustRightInd w:val="0"/>
              <w:snapToGrid w:val="0"/>
              <w:rPr>
                <w:rFonts w:ascii="Times New Roman" w:hAnsi="Times New Roman" w:eastAsia="仿宋_GB2312"/>
                <w:sz w:val="18"/>
                <w:szCs w:val="18"/>
              </w:rPr>
            </w:pPr>
            <w:r>
              <w:rPr>
                <w:rFonts w:ascii="Times New Roman" w:hAnsi="Times New Roman" w:eastAsia="仿宋_GB2312"/>
                <w:sz w:val="18"/>
                <w:szCs w:val="18"/>
              </w:rPr>
              <w:t>有一人死亡或多人永久失能</w:t>
            </w:r>
          </w:p>
        </w:tc>
        <w:tc>
          <w:tcPr>
            <w:tcW w:w="1531" w:type="dxa"/>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职业病（多人）</w:t>
            </w:r>
          </w:p>
        </w:tc>
        <w:tc>
          <w:tcPr>
            <w:tcW w:w="1594" w:type="dxa"/>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100万—1000万</w:t>
            </w:r>
          </w:p>
        </w:tc>
        <w:tc>
          <w:tcPr>
            <w:tcW w:w="2894" w:type="dxa"/>
            <w:tcBorders>
              <w:right w:val="single" w:color="auto" w:sz="8" w:space="0"/>
            </w:tcBorders>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有中等环境影响的不可控排放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00" w:hRule="atLeast"/>
          <w:jc w:val="center"/>
        </w:trPr>
        <w:tc>
          <w:tcPr>
            <w:tcW w:w="802" w:type="dxa"/>
            <w:tcBorders>
              <w:left w:val="single" w:color="auto" w:sz="8" w:space="0"/>
            </w:tcBorders>
            <w:vAlign w:val="center"/>
          </w:tcPr>
          <w:p>
            <w:pPr>
              <w:pStyle w:val="1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w:t>
            </w:r>
          </w:p>
        </w:tc>
        <w:tc>
          <w:tcPr>
            <w:tcW w:w="1701" w:type="dxa"/>
            <w:vAlign w:val="center"/>
          </w:tcPr>
          <w:p>
            <w:pPr>
              <w:pStyle w:val="10"/>
              <w:adjustRightInd w:val="0"/>
              <w:snapToGrid w:val="0"/>
              <w:rPr>
                <w:rFonts w:ascii="Times New Roman" w:hAnsi="Times New Roman" w:eastAsia="仿宋_GB2312"/>
                <w:sz w:val="18"/>
                <w:szCs w:val="18"/>
              </w:rPr>
            </w:pPr>
            <w:r>
              <w:rPr>
                <w:rFonts w:ascii="Times New Roman" w:hAnsi="Times New Roman" w:eastAsia="仿宋_GB2312"/>
                <w:sz w:val="18"/>
                <w:szCs w:val="18"/>
              </w:rPr>
              <w:t>永久失能（一人）</w:t>
            </w:r>
          </w:p>
        </w:tc>
        <w:tc>
          <w:tcPr>
            <w:tcW w:w="1531" w:type="dxa"/>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职业病（一人）</w:t>
            </w:r>
          </w:p>
        </w:tc>
        <w:tc>
          <w:tcPr>
            <w:tcW w:w="1594" w:type="dxa"/>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10万—100万</w:t>
            </w:r>
          </w:p>
        </w:tc>
        <w:tc>
          <w:tcPr>
            <w:tcW w:w="2894" w:type="dxa"/>
            <w:tcBorders>
              <w:right w:val="single" w:color="auto" w:sz="8" w:space="0"/>
            </w:tcBorders>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有较轻环境影响的不可控排放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94" w:hRule="atLeast"/>
          <w:jc w:val="center"/>
        </w:trPr>
        <w:tc>
          <w:tcPr>
            <w:tcW w:w="802" w:type="dxa"/>
            <w:tcBorders>
              <w:left w:val="single" w:color="auto" w:sz="8" w:space="0"/>
            </w:tcBorders>
            <w:vAlign w:val="center"/>
          </w:tcPr>
          <w:p>
            <w:pPr>
              <w:pStyle w:val="1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w:t>
            </w:r>
          </w:p>
        </w:tc>
        <w:tc>
          <w:tcPr>
            <w:tcW w:w="1701" w:type="dxa"/>
            <w:vAlign w:val="center"/>
          </w:tcPr>
          <w:p>
            <w:pPr>
              <w:pStyle w:val="10"/>
              <w:adjustRightInd w:val="0"/>
              <w:snapToGrid w:val="0"/>
              <w:rPr>
                <w:rFonts w:ascii="Times New Roman" w:hAnsi="Times New Roman" w:eastAsia="仿宋_GB2312"/>
                <w:sz w:val="18"/>
                <w:szCs w:val="18"/>
              </w:rPr>
            </w:pPr>
            <w:r>
              <w:rPr>
                <w:rFonts w:ascii="Times New Roman" w:hAnsi="Times New Roman" w:eastAsia="仿宋_GB2312"/>
                <w:sz w:val="18"/>
                <w:szCs w:val="18"/>
              </w:rPr>
              <w:t>需医院治疗，缺工</w:t>
            </w:r>
          </w:p>
        </w:tc>
        <w:tc>
          <w:tcPr>
            <w:tcW w:w="1531" w:type="dxa"/>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职业性多发病</w:t>
            </w:r>
          </w:p>
        </w:tc>
        <w:tc>
          <w:tcPr>
            <w:tcW w:w="1594" w:type="dxa"/>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1万—10万</w:t>
            </w:r>
          </w:p>
        </w:tc>
        <w:tc>
          <w:tcPr>
            <w:tcW w:w="2894" w:type="dxa"/>
            <w:tcBorders>
              <w:right w:val="single" w:color="auto" w:sz="8" w:space="0"/>
            </w:tcBorders>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有局部环境影响的可控排放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558" w:hRule="atLeast"/>
          <w:jc w:val="center"/>
        </w:trPr>
        <w:tc>
          <w:tcPr>
            <w:tcW w:w="802" w:type="dxa"/>
            <w:tcBorders>
              <w:left w:val="single" w:color="auto" w:sz="8" w:space="0"/>
            </w:tcBorders>
            <w:vAlign w:val="center"/>
          </w:tcPr>
          <w:p>
            <w:pPr>
              <w:pStyle w:val="1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w:t>
            </w:r>
          </w:p>
        </w:tc>
        <w:tc>
          <w:tcPr>
            <w:tcW w:w="1701" w:type="dxa"/>
            <w:vAlign w:val="center"/>
          </w:tcPr>
          <w:p>
            <w:pPr>
              <w:pStyle w:val="10"/>
              <w:adjustRightInd w:val="0"/>
              <w:snapToGrid w:val="0"/>
              <w:rPr>
                <w:rFonts w:ascii="Times New Roman" w:hAnsi="Times New Roman" w:eastAsia="仿宋_GB2312"/>
                <w:sz w:val="18"/>
                <w:szCs w:val="18"/>
              </w:rPr>
            </w:pPr>
            <w:r>
              <w:rPr>
                <w:rFonts w:ascii="Times New Roman" w:hAnsi="Times New Roman" w:eastAsia="仿宋_GB2312"/>
                <w:sz w:val="18"/>
                <w:szCs w:val="18"/>
              </w:rPr>
              <w:t>轻微，仅需急救</w:t>
            </w:r>
          </w:p>
        </w:tc>
        <w:tc>
          <w:tcPr>
            <w:tcW w:w="1531" w:type="dxa"/>
            <w:vAlign w:val="center"/>
          </w:tcPr>
          <w:p>
            <w:pPr>
              <w:pStyle w:val="10"/>
              <w:adjustRightInd w:val="0"/>
              <w:snapToGrid w:val="0"/>
              <w:rPr>
                <w:rFonts w:ascii="Times New Roman" w:hAnsi="Times New Roman" w:eastAsia="仿宋_GB2312"/>
                <w:sz w:val="18"/>
                <w:szCs w:val="18"/>
              </w:rPr>
            </w:pPr>
            <w:r>
              <w:rPr>
                <w:rFonts w:ascii="Times New Roman" w:hAnsi="Times New Roman" w:eastAsia="仿宋_GB2312"/>
                <w:sz w:val="18"/>
                <w:szCs w:val="18"/>
              </w:rPr>
              <w:t>职业因素引起的身体不适</w:t>
            </w:r>
          </w:p>
        </w:tc>
        <w:tc>
          <w:tcPr>
            <w:tcW w:w="1594" w:type="dxa"/>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＜1万</w:t>
            </w:r>
          </w:p>
        </w:tc>
        <w:tc>
          <w:tcPr>
            <w:tcW w:w="2894" w:type="dxa"/>
            <w:tcBorders>
              <w:right w:val="single" w:color="auto" w:sz="8" w:space="0"/>
            </w:tcBorders>
            <w:vAlign w:val="center"/>
          </w:tcPr>
          <w:p>
            <w:pPr>
              <w:widowControl/>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无环境影响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396" w:hRule="atLeast"/>
          <w:jc w:val="center"/>
        </w:trPr>
        <w:tc>
          <w:tcPr>
            <w:tcW w:w="8522" w:type="dxa"/>
            <w:gridSpan w:val="5"/>
            <w:tcBorders>
              <w:left w:val="single" w:color="auto" w:sz="8" w:space="0"/>
              <w:bottom w:val="single" w:color="auto" w:sz="8" w:space="0"/>
              <w:right w:val="single" w:color="auto" w:sz="8" w:space="0"/>
            </w:tcBorders>
            <w:vAlign w:val="center"/>
          </w:tcPr>
          <w:p>
            <w:pPr>
              <w:pStyle w:val="10"/>
              <w:adjustRightInd w:val="0"/>
              <w:snapToGrid w:val="0"/>
              <w:rPr>
                <w:rFonts w:ascii="Times New Roman" w:hAnsi="Times New Roman" w:eastAsia="仿宋_GB2312"/>
                <w:sz w:val="18"/>
                <w:szCs w:val="18"/>
              </w:rPr>
            </w:pPr>
            <w:r>
              <w:rPr>
                <w:rFonts w:ascii="Times New Roman" w:hAnsi="Times New Roman" w:eastAsia="仿宋_GB2312"/>
                <w:sz w:val="18"/>
                <w:szCs w:val="18"/>
              </w:rPr>
              <w:t>注：表中财产损失一栏的分档赋值，可根据行业和企业的特点进行适当调整。</w:t>
            </w:r>
          </w:p>
        </w:tc>
      </w:tr>
    </w:tbl>
    <w:p>
      <w:pPr>
        <w:pStyle w:val="30"/>
        <w:ind w:firstLine="640"/>
        <w:rPr>
          <w:rFonts w:ascii="Times New Roman" w:eastAsia="仿宋_GB2312"/>
          <w:b/>
          <w:sz w:val="32"/>
          <w:szCs w:val="32"/>
        </w:rPr>
      </w:pPr>
      <w:bookmarkStart w:id="40" w:name="_Toc24681"/>
      <w:r>
        <w:rPr>
          <w:rFonts w:ascii="Times New Roman" w:eastAsia="仿宋_GB2312"/>
          <w:b/>
          <w:sz w:val="32"/>
          <w:szCs w:val="32"/>
        </w:rPr>
        <w:t>（4）根据可能性和后果确定风险程度</w:t>
      </w:r>
      <w:bookmarkEnd w:id="40"/>
    </w:p>
    <w:p>
      <w:pPr>
        <w:pStyle w:val="30"/>
        <w:ind w:firstLine="640"/>
        <w:rPr>
          <w:rFonts w:ascii="Times New Roman" w:eastAsia="仿宋_GB2312"/>
          <w:sz w:val="28"/>
          <w:szCs w:val="28"/>
        </w:rPr>
      </w:pPr>
      <w:r>
        <w:rPr>
          <w:rFonts w:ascii="Times New Roman" w:eastAsia="仿宋_GB2312"/>
          <w:sz w:val="32"/>
          <w:szCs w:val="32"/>
        </w:rPr>
        <w:t>将控制措施的状态M、暴露的频繁程度E（E1或E2）、一旦发生事故会造成的损失后果S分别分为若干等级，并赋予一定的相应分值。风险程度R为三者的乘积（R= MES）。将R亦分为若干等级。针对特定的作业条件，恰当选取M、E、S的值，根据相乘后的积确定风险程度R的级别。风险程度的分级见表2.1.1-4。</w:t>
      </w:r>
    </w:p>
    <w:p>
      <w:pPr>
        <w:pStyle w:val="37"/>
        <w:tabs>
          <w:tab w:val="clear" w:pos="180"/>
        </w:tabs>
        <w:spacing w:beforeLines="0" w:afterLines="0"/>
        <w:rPr>
          <w:rFonts w:ascii="Times New Roman" w:eastAsia="仿宋_GB2312"/>
        </w:rPr>
      </w:pPr>
      <w:r>
        <w:rPr>
          <w:rFonts w:ascii="Times New Roman" w:eastAsia="仿宋_GB2312"/>
        </w:rPr>
        <w:t>表2.1.1-4  风险程度的分级</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049"/>
        <w:gridCol w:w="2736"/>
        <w:gridCol w:w="273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0" w:hRule="atLeast"/>
          <w:tblHeader/>
          <w:jc w:val="center"/>
        </w:trPr>
        <w:tc>
          <w:tcPr>
            <w:tcW w:w="3049" w:type="dxa"/>
            <w:tcBorders>
              <w:top w:val="single" w:color="auto" w:sz="8" w:space="0"/>
              <w:left w:val="single" w:color="auto" w:sz="8" w:space="0"/>
              <w:bottom w:val="single" w:color="auto" w:sz="8" w:space="0"/>
            </w:tcBorders>
            <w:vAlign w:val="center"/>
          </w:tcPr>
          <w:p>
            <w:pPr>
              <w:pStyle w:val="10"/>
              <w:jc w:val="center"/>
              <w:rPr>
                <w:rFonts w:ascii="Times New Roman" w:hAnsi="Times New Roman" w:eastAsia="仿宋_GB2312"/>
                <w:b/>
                <w:sz w:val="18"/>
                <w:szCs w:val="18"/>
              </w:rPr>
            </w:pPr>
            <w:r>
              <w:rPr>
                <w:rFonts w:ascii="Times New Roman" w:hAnsi="Times New Roman" w:eastAsia="仿宋_GB2312"/>
                <w:b/>
                <w:sz w:val="18"/>
                <w:szCs w:val="18"/>
              </w:rPr>
              <w:t>R=MES</w:t>
            </w:r>
          </w:p>
        </w:tc>
        <w:tc>
          <w:tcPr>
            <w:tcW w:w="5473" w:type="dxa"/>
            <w:gridSpan w:val="2"/>
            <w:tcBorders>
              <w:top w:val="single" w:color="auto" w:sz="8" w:space="0"/>
              <w:bottom w:val="single" w:color="auto" w:sz="8" w:space="0"/>
              <w:right w:val="single" w:color="auto" w:sz="8" w:space="0"/>
            </w:tcBorders>
            <w:vAlign w:val="center"/>
          </w:tcPr>
          <w:p>
            <w:pPr>
              <w:pStyle w:val="10"/>
              <w:jc w:val="center"/>
              <w:rPr>
                <w:rFonts w:ascii="Times New Roman" w:hAnsi="Times New Roman" w:eastAsia="仿宋_GB2312"/>
                <w:b/>
                <w:sz w:val="18"/>
                <w:szCs w:val="18"/>
              </w:rPr>
            </w:pPr>
            <w:r>
              <w:rPr>
                <w:rFonts w:ascii="Times New Roman" w:hAnsi="Times New Roman" w:eastAsia="仿宋_GB2312"/>
                <w:b/>
                <w:sz w:val="18"/>
                <w:szCs w:val="18"/>
              </w:rPr>
              <w:t>风险程度（等级）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FF0000"/>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＞180</w:t>
            </w:r>
          </w:p>
        </w:tc>
        <w:tc>
          <w:tcPr>
            <w:tcW w:w="2736" w:type="dxa"/>
            <w:tcBorders>
              <w:top w:val="single" w:color="auto" w:sz="8" w:space="0"/>
              <w:bottom w:val="single" w:color="auto" w:sz="8" w:space="0"/>
              <w:right w:val="single" w:color="auto" w:sz="8" w:space="0"/>
            </w:tcBorders>
            <w:shd w:val="clear" w:color="auto" w:fill="FF000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1级</w:t>
            </w:r>
          </w:p>
        </w:tc>
        <w:tc>
          <w:tcPr>
            <w:tcW w:w="2737" w:type="dxa"/>
            <w:tcBorders>
              <w:top w:val="single" w:color="auto" w:sz="8" w:space="0"/>
              <w:bottom w:val="single" w:color="auto" w:sz="8" w:space="0"/>
              <w:right w:val="single" w:color="auto" w:sz="8" w:space="0"/>
            </w:tcBorders>
            <w:shd w:val="clear" w:color="auto" w:fill="FF000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极其危险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FFC000"/>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90-150</w:t>
            </w:r>
          </w:p>
        </w:tc>
        <w:tc>
          <w:tcPr>
            <w:tcW w:w="2736" w:type="dxa"/>
            <w:tcBorders>
              <w:top w:val="single" w:color="auto" w:sz="8" w:space="0"/>
              <w:bottom w:val="single" w:color="auto" w:sz="8" w:space="0"/>
              <w:right w:val="single" w:color="auto" w:sz="8" w:space="0"/>
            </w:tcBorders>
            <w:shd w:val="clear" w:color="auto" w:fill="FFC00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2级</w:t>
            </w:r>
          </w:p>
        </w:tc>
        <w:tc>
          <w:tcPr>
            <w:tcW w:w="2737" w:type="dxa"/>
            <w:tcBorders>
              <w:top w:val="single" w:color="auto" w:sz="8" w:space="0"/>
              <w:bottom w:val="single" w:color="auto" w:sz="8" w:space="0"/>
              <w:right w:val="single" w:color="auto" w:sz="8" w:space="0"/>
            </w:tcBorders>
            <w:shd w:val="clear" w:color="auto" w:fill="FFC00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高度危险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FFFF00"/>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50-80</w:t>
            </w:r>
          </w:p>
        </w:tc>
        <w:tc>
          <w:tcPr>
            <w:tcW w:w="2736" w:type="dxa"/>
            <w:tcBorders>
              <w:top w:val="single" w:color="auto" w:sz="8" w:space="0"/>
              <w:bottom w:val="single" w:color="auto" w:sz="8" w:space="0"/>
              <w:right w:val="single" w:color="auto" w:sz="8" w:space="0"/>
            </w:tcBorders>
            <w:shd w:val="clear" w:color="auto" w:fill="FFFF0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3级</w:t>
            </w:r>
          </w:p>
        </w:tc>
        <w:tc>
          <w:tcPr>
            <w:tcW w:w="2737" w:type="dxa"/>
            <w:tcBorders>
              <w:top w:val="single" w:color="auto" w:sz="8" w:space="0"/>
              <w:bottom w:val="single" w:color="auto" w:sz="8" w:space="0"/>
              <w:right w:val="single" w:color="auto" w:sz="8" w:space="0"/>
            </w:tcBorders>
            <w:shd w:val="clear" w:color="auto" w:fill="FFFF0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显著危险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00B0F0"/>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20-48</w:t>
            </w:r>
          </w:p>
        </w:tc>
        <w:tc>
          <w:tcPr>
            <w:tcW w:w="2736" w:type="dxa"/>
            <w:tcBorders>
              <w:top w:val="single" w:color="auto" w:sz="8" w:space="0"/>
              <w:bottom w:val="single" w:color="auto" w:sz="8" w:space="0"/>
              <w:right w:val="single" w:color="auto" w:sz="8" w:space="0"/>
            </w:tcBorders>
            <w:shd w:val="clear" w:color="auto" w:fill="00B0F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4-1级</w:t>
            </w:r>
          </w:p>
        </w:tc>
        <w:tc>
          <w:tcPr>
            <w:tcW w:w="2737" w:type="dxa"/>
            <w:tcBorders>
              <w:top w:val="single" w:color="auto" w:sz="8" w:space="0"/>
              <w:bottom w:val="single" w:color="auto" w:sz="8" w:space="0"/>
              <w:right w:val="single" w:color="auto" w:sz="8" w:space="0"/>
            </w:tcBorders>
            <w:shd w:val="clear" w:color="auto" w:fill="00B0F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6" w:space="0"/>
            </w:tcBorders>
            <w:shd w:val="clear" w:color="auto" w:fill="00B0F0"/>
            <w:vAlign w:val="center"/>
          </w:tcPr>
          <w:p>
            <w:pPr>
              <w:pStyle w:val="10"/>
              <w:jc w:val="center"/>
              <w:rPr>
                <w:rFonts w:ascii="Times New Roman" w:hAnsi="Times New Roman" w:eastAsia="仿宋_GB2312"/>
                <w:sz w:val="18"/>
                <w:szCs w:val="18"/>
              </w:rPr>
            </w:pPr>
            <w:r>
              <w:rPr>
                <w:rFonts w:ascii="Times New Roman" w:hAnsi="Times New Roman" w:eastAsia="仿宋_GB2312"/>
                <w:sz w:val="18"/>
                <w:szCs w:val="18"/>
              </w:rPr>
              <w:t>≤18</w:t>
            </w:r>
          </w:p>
        </w:tc>
        <w:tc>
          <w:tcPr>
            <w:tcW w:w="2736" w:type="dxa"/>
            <w:tcBorders>
              <w:top w:val="single" w:color="auto" w:sz="8" w:space="0"/>
              <w:bottom w:val="single" w:color="auto" w:sz="6" w:space="0"/>
              <w:right w:val="single" w:color="auto" w:sz="8" w:space="0"/>
            </w:tcBorders>
            <w:shd w:val="clear" w:color="auto" w:fill="00B0F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4-2级</w:t>
            </w:r>
          </w:p>
        </w:tc>
        <w:tc>
          <w:tcPr>
            <w:tcW w:w="2737" w:type="dxa"/>
            <w:tcBorders>
              <w:top w:val="single" w:color="auto" w:sz="8" w:space="0"/>
              <w:bottom w:val="single" w:color="auto" w:sz="6" w:space="0"/>
              <w:right w:val="single" w:color="auto" w:sz="8" w:space="0"/>
            </w:tcBorders>
            <w:shd w:val="clear" w:color="auto" w:fill="00B0F0"/>
            <w:vAlign w:val="center"/>
          </w:tcPr>
          <w:p>
            <w:pPr>
              <w:widowControl/>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稍有危险</w:t>
            </w:r>
          </w:p>
        </w:tc>
      </w:tr>
    </w:tbl>
    <w:p>
      <w:pPr>
        <w:pStyle w:val="30"/>
        <w:ind w:firstLine="640"/>
        <w:rPr>
          <w:rFonts w:ascii="Times New Roman" w:eastAsia="仿宋_GB2312"/>
          <w:sz w:val="32"/>
          <w:szCs w:val="32"/>
        </w:rPr>
      </w:pPr>
      <w:r>
        <w:rPr>
          <w:rFonts w:ascii="Times New Roman" w:eastAsia="仿宋_GB2312"/>
          <w:sz w:val="32"/>
          <w:szCs w:val="32"/>
        </w:rPr>
        <w:t>以丙烷站为例，先判定安全风险点的固有风险。</w:t>
      </w:r>
    </w:p>
    <w:p>
      <w:pPr>
        <w:pStyle w:val="30"/>
        <w:ind w:firstLine="640"/>
        <w:rPr>
          <w:rFonts w:ascii="Times New Roman" w:eastAsia="仿宋_GB2312"/>
          <w:sz w:val="32"/>
          <w:szCs w:val="32"/>
        </w:rPr>
      </w:pPr>
      <w:r>
        <w:rPr>
          <w:rFonts w:ascii="Times New Roman" w:eastAsia="仿宋_GB2312"/>
          <w:sz w:val="32"/>
          <w:szCs w:val="32"/>
        </w:rPr>
        <w:t>M值：假定其未采取任何风险控制措施（包括：应急措施和预防性措施），则M=5</w:t>
      </w:r>
    </w:p>
    <w:p>
      <w:pPr>
        <w:pStyle w:val="30"/>
        <w:ind w:firstLine="640"/>
        <w:rPr>
          <w:rFonts w:ascii="Times New Roman" w:eastAsia="仿宋_GB2312"/>
          <w:sz w:val="32"/>
          <w:szCs w:val="32"/>
        </w:rPr>
      </w:pPr>
      <w:r>
        <w:rPr>
          <w:rFonts w:ascii="Times New Roman" w:eastAsia="仿宋_GB2312"/>
          <w:sz w:val="32"/>
          <w:szCs w:val="32"/>
        </w:rPr>
        <w:t>E值：假定员工工作时间暴露，则E=6</w:t>
      </w:r>
    </w:p>
    <w:p>
      <w:pPr>
        <w:pStyle w:val="30"/>
        <w:ind w:firstLine="640"/>
        <w:rPr>
          <w:rFonts w:ascii="Times New Roman" w:eastAsia="仿宋_GB2312"/>
          <w:sz w:val="32"/>
          <w:szCs w:val="32"/>
        </w:rPr>
      </w:pPr>
      <w:r>
        <w:rPr>
          <w:rFonts w:ascii="Times New Roman" w:eastAsia="仿宋_GB2312"/>
          <w:sz w:val="32"/>
          <w:szCs w:val="32"/>
        </w:rPr>
        <w:t>S值：假定事故后果为可能造成多人死亡，则S=10</w:t>
      </w:r>
    </w:p>
    <w:p>
      <w:pPr>
        <w:pStyle w:val="30"/>
        <w:ind w:firstLine="640"/>
        <w:rPr>
          <w:rFonts w:ascii="Times New Roman" w:eastAsia="仿宋_GB2312"/>
          <w:sz w:val="32"/>
          <w:szCs w:val="32"/>
        </w:rPr>
      </w:pPr>
      <w:r>
        <w:rPr>
          <w:rFonts w:ascii="Times New Roman" w:eastAsia="仿宋_GB2312"/>
          <w:sz w:val="32"/>
          <w:szCs w:val="32"/>
        </w:rPr>
        <w:t>R值：R=MES=5×6×10=300</w:t>
      </w:r>
    </w:p>
    <w:p>
      <w:pPr>
        <w:pStyle w:val="30"/>
        <w:ind w:firstLine="640"/>
        <w:rPr>
          <w:rFonts w:ascii="Times New Roman" w:eastAsia="仿宋_GB2312"/>
          <w:sz w:val="32"/>
          <w:szCs w:val="32"/>
        </w:rPr>
      </w:pPr>
      <w:r>
        <w:rPr>
          <w:rFonts w:ascii="Times New Roman" w:eastAsia="仿宋_GB2312"/>
          <w:sz w:val="32"/>
          <w:szCs w:val="32"/>
        </w:rPr>
        <w:t>对照表表A.1.1-4，R=300＞180,其固有风险程度为一级（红色级）</w:t>
      </w:r>
    </w:p>
    <w:p>
      <w:pPr>
        <w:pStyle w:val="30"/>
        <w:ind w:firstLine="640"/>
        <w:rPr>
          <w:rFonts w:ascii="Times New Roman" w:eastAsia="仿宋_GB2312"/>
          <w:sz w:val="32"/>
          <w:szCs w:val="32"/>
        </w:rPr>
      </w:pPr>
      <w:r>
        <w:rPr>
          <w:rFonts w:ascii="Times New Roman" w:eastAsia="仿宋_GB2312"/>
          <w:sz w:val="32"/>
          <w:szCs w:val="32"/>
        </w:rPr>
        <w:t>下面再</w:t>
      </w:r>
      <w:r>
        <w:rPr>
          <w:rFonts w:hint="eastAsia" w:ascii="Times New Roman" w:eastAsia="仿宋_GB2312"/>
          <w:sz w:val="32"/>
          <w:szCs w:val="32"/>
        </w:rPr>
        <w:t>分别</w:t>
      </w:r>
      <w:r>
        <w:rPr>
          <w:rFonts w:ascii="Times New Roman" w:eastAsia="仿宋_GB2312"/>
          <w:sz w:val="32"/>
          <w:szCs w:val="32"/>
        </w:rPr>
        <w:t>评价其现实风险。假定该丙烷站位于一个相对偏僻的独立区域，现场评价时，除未安装可燃气体检测报警仪、安全阀未定期校验以外，其余风险管措施均能满足安全要求。以此为例来计算该安全风险点的现实风险。</w:t>
      </w:r>
    </w:p>
    <w:p>
      <w:pPr>
        <w:pStyle w:val="30"/>
        <w:ind w:firstLine="640"/>
        <w:rPr>
          <w:rFonts w:ascii="Times New Roman" w:eastAsia="仿宋_GB2312"/>
          <w:sz w:val="32"/>
          <w:szCs w:val="32"/>
        </w:rPr>
      </w:pPr>
      <w:r>
        <w:rPr>
          <w:rFonts w:ascii="Times New Roman" w:eastAsia="仿宋_GB2312"/>
          <w:sz w:val="32"/>
          <w:szCs w:val="32"/>
        </w:rPr>
        <w:t>M值：该丙烷站位于一个相对偏僻的独立区域，除未安装可燃气体检测报警仪、安全阀未定期校验以外，其余风险管措施均能满足安全要求，则M=3</w:t>
      </w:r>
    </w:p>
    <w:p>
      <w:pPr>
        <w:pStyle w:val="30"/>
        <w:ind w:firstLine="640"/>
        <w:rPr>
          <w:rFonts w:ascii="Times New Roman" w:eastAsia="仿宋_GB2312"/>
          <w:sz w:val="32"/>
          <w:szCs w:val="32"/>
        </w:rPr>
      </w:pPr>
      <w:r>
        <w:rPr>
          <w:rFonts w:ascii="Times New Roman" w:eastAsia="仿宋_GB2312"/>
          <w:sz w:val="32"/>
          <w:szCs w:val="32"/>
        </w:rPr>
        <w:t>E值：假定员工工作时间暴露，则E=6</w:t>
      </w:r>
    </w:p>
    <w:p>
      <w:pPr>
        <w:pStyle w:val="30"/>
        <w:ind w:firstLine="640"/>
        <w:rPr>
          <w:rFonts w:ascii="Times New Roman" w:eastAsia="仿宋_GB2312"/>
          <w:sz w:val="32"/>
          <w:szCs w:val="32"/>
        </w:rPr>
      </w:pPr>
      <w:r>
        <w:rPr>
          <w:rFonts w:ascii="Times New Roman" w:eastAsia="仿宋_GB2312"/>
          <w:sz w:val="32"/>
          <w:szCs w:val="32"/>
        </w:rPr>
        <w:t>S值：该丙烷站位于一个相对偏僻的独立区域，不会涉及周边区域，且只有1名当班作业人员，则S=8</w:t>
      </w:r>
    </w:p>
    <w:p>
      <w:pPr>
        <w:pStyle w:val="30"/>
        <w:ind w:firstLine="640"/>
        <w:rPr>
          <w:rFonts w:ascii="Times New Roman" w:eastAsia="仿宋_GB2312"/>
          <w:sz w:val="32"/>
          <w:szCs w:val="32"/>
        </w:rPr>
      </w:pPr>
      <w:r>
        <w:rPr>
          <w:rFonts w:ascii="Times New Roman" w:eastAsia="仿宋_GB2312"/>
          <w:sz w:val="32"/>
          <w:szCs w:val="32"/>
        </w:rPr>
        <w:t>R值：R=MES=3×6×8=144</w:t>
      </w:r>
    </w:p>
    <w:p>
      <w:pPr>
        <w:pStyle w:val="30"/>
        <w:ind w:firstLine="640"/>
        <w:rPr>
          <w:rFonts w:ascii="Times New Roman" w:eastAsia="仿宋_GB2312"/>
          <w:sz w:val="32"/>
          <w:szCs w:val="32"/>
        </w:rPr>
      </w:pPr>
      <w:r>
        <w:rPr>
          <w:rFonts w:ascii="Times New Roman" w:eastAsia="仿宋_GB2312"/>
          <w:sz w:val="32"/>
          <w:szCs w:val="32"/>
        </w:rPr>
        <w:t>对照表表7.1.1-4，R=144在90~150范围，现实风险程度为二级（橙色级）。</w:t>
      </w:r>
    </w:p>
    <w:p>
      <w:pPr>
        <w:pStyle w:val="30"/>
        <w:ind w:firstLine="640"/>
        <w:rPr>
          <w:rFonts w:ascii="Times New Roman" w:eastAsia="仿宋_GB2312"/>
          <w:sz w:val="32"/>
          <w:szCs w:val="32"/>
        </w:rPr>
      </w:pPr>
      <w:r>
        <w:rPr>
          <w:rFonts w:ascii="Times New Roman" w:eastAsia="仿宋_GB2312"/>
          <w:sz w:val="32"/>
          <w:szCs w:val="32"/>
        </w:rPr>
        <w:t>假定所有安全控制措施均到位且其他条件不变，则：</w:t>
      </w:r>
    </w:p>
    <w:p>
      <w:pPr>
        <w:pStyle w:val="30"/>
        <w:ind w:firstLine="640"/>
        <w:rPr>
          <w:rFonts w:ascii="Times New Roman" w:eastAsia="仿宋_GB2312"/>
          <w:sz w:val="32"/>
          <w:szCs w:val="32"/>
        </w:rPr>
      </w:pPr>
      <w:r>
        <w:rPr>
          <w:rFonts w:ascii="Times New Roman" w:eastAsia="仿宋_GB2312"/>
          <w:sz w:val="32"/>
          <w:szCs w:val="32"/>
        </w:rPr>
        <w:t>R值：R=MES=1×6×8=48</w:t>
      </w:r>
    </w:p>
    <w:p>
      <w:pPr>
        <w:pStyle w:val="30"/>
        <w:ind w:firstLine="640"/>
        <w:rPr>
          <w:rFonts w:ascii="Times New Roman" w:eastAsia="仿宋_GB2312"/>
          <w:sz w:val="32"/>
          <w:szCs w:val="32"/>
        </w:rPr>
      </w:pPr>
      <w:r>
        <w:rPr>
          <w:rFonts w:ascii="Times New Roman" w:eastAsia="仿宋_GB2312"/>
          <w:sz w:val="32"/>
          <w:szCs w:val="32"/>
        </w:rPr>
        <w:t>对照表表7.1.1-4，R=48，现实风险程度为四级（蓝色级）。</w:t>
      </w:r>
    </w:p>
    <w:p>
      <w:pPr>
        <w:pStyle w:val="30"/>
        <w:ind w:firstLine="640"/>
        <w:rPr>
          <w:rFonts w:ascii="Times New Roman" w:eastAsia="仿宋_GB2312"/>
          <w:b/>
          <w:sz w:val="32"/>
          <w:szCs w:val="32"/>
        </w:rPr>
      </w:pPr>
      <w:r>
        <w:rPr>
          <w:rFonts w:ascii="Times New Roman" w:eastAsia="仿宋_GB2312"/>
          <w:b/>
          <w:sz w:val="32"/>
          <w:szCs w:val="32"/>
        </w:rPr>
        <w:t>补充说明：</w:t>
      </w:r>
    </w:p>
    <w:p>
      <w:pPr>
        <w:pStyle w:val="30"/>
        <w:ind w:firstLine="640"/>
        <w:rPr>
          <w:rFonts w:ascii="Times New Roman" w:eastAsia="仿宋_GB2312"/>
          <w:b/>
          <w:sz w:val="32"/>
          <w:szCs w:val="32"/>
        </w:rPr>
      </w:pPr>
      <w:r>
        <w:rPr>
          <w:rFonts w:ascii="Times New Roman" w:eastAsia="仿宋_GB2312"/>
          <w:sz w:val="32"/>
          <w:szCs w:val="32"/>
        </w:rPr>
        <w:t>（1）</w:t>
      </w:r>
      <w:r>
        <w:rPr>
          <w:rFonts w:ascii="Times New Roman" w:eastAsia="仿宋_GB2312"/>
          <w:b/>
          <w:sz w:val="32"/>
          <w:szCs w:val="32"/>
        </w:rPr>
        <w:t>MES法虽然有点粗略，但却是对安全风险点进行风险评价最简单、最容易掌握的一种评价方法，也是企业风险分级管控初级阶段推荐使用的一种方法。</w:t>
      </w:r>
    </w:p>
    <w:p>
      <w:pPr>
        <w:pStyle w:val="30"/>
        <w:ind w:firstLine="640"/>
        <w:rPr>
          <w:rFonts w:ascii="Times New Roman" w:eastAsia="仿宋_GB2312"/>
          <w:b/>
          <w:sz w:val="32"/>
          <w:szCs w:val="32"/>
        </w:rPr>
      </w:pPr>
      <w:r>
        <w:rPr>
          <w:rFonts w:ascii="Times New Roman" w:eastAsia="仿宋_GB2312"/>
          <w:b/>
          <w:sz w:val="32"/>
          <w:szCs w:val="32"/>
        </w:rPr>
        <w:t>（2）四色安全风险空间分布图是基于各安全风险点的固有风险结果确定的，是假定企业在没有采取任何防控措施的前提下得出的计算结果，M值相对固定，均取5，变化的主要时E值和S值。</w:t>
      </w:r>
    </w:p>
    <w:p>
      <w:pPr>
        <w:pStyle w:val="30"/>
        <w:ind w:firstLine="640"/>
        <w:rPr>
          <w:rFonts w:ascii="Times New Roman" w:eastAsia="仿宋_GB2312"/>
          <w:b/>
          <w:sz w:val="32"/>
          <w:szCs w:val="32"/>
        </w:rPr>
      </w:pPr>
      <w:r>
        <w:rPr>
          <w:rFonts w:ascii="Times New Roman" w:eastAsia="仿宋_GB2312"/>
          <w:b/>
          <w:sz w:val="32"/>
          <w:szCs w:val="32"/>
        </w:rPr>
        <w:t>（3）如果要做得更细一些，也可以用此评价方法，对安全风险点各危险源的固有和现实风险进行评价。</w:t>
      </w:r>
    </w:p>
    <w:p>
      <w:pPr>
        <w:pStyle w:val="30"/>
        <w:ind w:firstLine="640"/>
        <w:rPr>
          <w:rFonts w:ascii="Times New Roman" w:eastAsia="仿宋_GB2312"/>
          <w:b/>
          <w:sz w:val="32"/>
          <w:szCs w:val="32"/>
        </w:rPr>
      </w:pPr>
      <w:r>
        <w:rPr>
          <w:rFonts w:ascii="Times New Roman" w:eastAsia="仿宋_GB2312"/>
          <w:b/>
          <w:sz w:val="32"/>
          <w:szCs w:val="32"/>
        </w:rPr>
        <w:t>仍然以丙烷站为例，假定选取的危险源为燃气管道，危险有害因素为安全阀为不能正常开启，导致管道破裂，造成丙烷气泄漏。而企业已经采取的安全措施包括定期校验安全阀，安全阀切断阀处于常开状态，设置了可燃气体检测报警仪并与防爆风机、紧急切断阀联锁，制定了管道破裂的专项应急预案或现场处置方案并定期演练，我们对其现实风险进行风险评价。（见表2.1.1-5）</w:t>
      </w:r>
    </w:p>
    <w:p>
      <w:pPr>
        <w:pStyle w:val="30"/>
        <w:ind w:firstLine="640"/>
        <w:rPr>
          <w:rFonts w:ascii="Times New Roman" w:eastAsia="仿宋_GB2312"/>
          <w:b/>
          <w:sz w:val="32"/>
          <w:szCs w:val="32"/>
        </w:rPr>
        <w:sectPr>
          <w:footerReference r:id="rId6" w:type="first"/>
          <w:footerReference r:id="rId5" w:type="default"/>
          <w:pgSz w:w="11906" w:h="16838"/>
          <w:pgMar w:top="1440" w:right="1800" w:bottom="1440" w:left="1800" w:header="851" w:footer="680" w:gutter="0"/>
          <w:pgNumType w:start="1"/>
          <w:cols w:space="425" w:num="1"/>
          <w:docGrid w:type="lines" w:linePitch="312" w:charSpace="0"/>
        </w:sectPr>
      </w:pPr>
    </w:p>
    <w:p>
      <w:pPr>
        <w:pStyle w:val="30"/>
        <w:jc w:val="center"/>
        <w:rPr>
          <w:rFonts w:ascii="Times New Roman" w:eastAsia="仿宋_GB2312"/>
        </w:rPr>
      </w:pPr>
      <w:r>
        <w:rPr>
          <w:rFonts w:ascii="Times New Roman" w:eastAsia="仿宋_GB2312"/>
        </w:rPr>
        <w:t>表2.1.1-5  丙烷站燃气管道现实安全风险评价示例表</w:t>
      </w:r>
    </w:p>
    <w:tbl>
      <w:tblPr>
        <w:tblStyle w:val="18"/>
        <w:tblW w:w="14474" w:type="dxa"/>
        <w:jc w:val="center"/>
        <w:tblLayout w:type="fixed"/>
        <w:tblCellMar>
          <w:top w:w="0" w:type="dxa"/>
          <w:left w:w="108" w:type="dxa"/>
          <w:bottom w:w="0" w:type="dxa"/>
          <w:right w:w="108" w:type="dxa"/>
        </w:tblCellMar>
      </w:tblPr>
      <w:tblGrid>
        <w:gridCol w:w="960"/>
        <w:gridCol w:w="1260"/>
        <w:gridCol w:w="1638"/>
        <w:gridCol w:w="1216"/>
        <w:gridCol w:w="1210"/>
        <w:gridCol w:w="3520"/>
        <w:gridCol w:w="572"/>
        <w:gridCol w:w="567"/>
        <w:gridCol w:w="567"/>
        <w:gridCol w:w="709"/>
        <w:gridCol w:w="696"/>
        <w:gridCol w:w="1559"/>
      </w:tblGrid>
      <w:tr>
        <w:tblPrEx>
          <w:tblCellMar>
            <w:top w:w="0" w:type="dxa"/>
            <w:left w:w="108" w:type="dxa"/>
            <w:bottom w:w="0" w:type="dxa"/>
            <w:right w:w="108" w:type="dxa"/>
          </w:tblCellMar>
        </w:tblPrEx>
        <w:trPr>
          <w:trHeight w:val="280" w:hRule="atLeast"/>
          <w:jc w:val="center"/>
        </w:trPr>
        <w:tc>
          <w:tcPr>
            <w:tcW w:w="14474"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b/>
                <w:sz w:val="32"/>
                <w:szCs w:val="32"/>
              </w:rPr>
              <w:br w:type="page"/>
            </w:r>
            <w:r>
              <w:rPr>
                <w:rFonts w:ascii="Times New Roman" w:hAnsi="Times New Roman" w:eastAsia="仿宋_GB2312" w:cs="Times New Roman"/>
                <w:b/>
                <w:bCs/>
                <w:kern w:val="0"/>
                <w:sz w:val="22"/>
              </w:rPr>
              <w:t>安全风险点名称：丙烷站</w:t>
            </w:r>
          </w:p>
        </w:tc>
      </w:tr>
      <w:tr>
        <w:tblPrEx>
          <w:tblCellMar>
            <w:top w:w="0" w:type="dxa"/>
            <w:left w:w="108" w:type="dxa"/>
            <w:bottom w:w="0" w:type="dxa"/>
            <w:right w:w="108" w:type="dxa"/>
          </w:tblCellMar>
        </w:tblPrEx>
        <w:trPr>
          <w:trHeight w:val="280" w:hRule="atLeast"/>
          <w:jc w:val="center"/>
        </w:trPr>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序号</w:t>
            </w:r>
          </w:p>
        </w:tc>
        <w:tc>
          <w:tcPr>
            <w:tcW w:w="126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危险源</w:t>
            </w:r>
          </w:p>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名称</w:t>
            </w:r>
          </w:p>
        </w:tc>
        <w:tc>
          <w:tcPr>
            <w:tcW w:w="1638"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危险有害因素</w:t>
            </w:r>
          </w:p>
        </w:tc>
        <w:tc>
          <w:tcPr>
            <w:tcW w:w="121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事故后果</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事故类别</w:t>
            </w:r>
          </w:p>
        </w:tc>
        <w:tc>
          <w:tcPr>
            <w:tcW w:w="35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已采取的风险控制措施</w:t>
            </w:r>
          </w:p>
        </w:tc>
        <w:tc>
          <w:tcPr>
            <w:tcW w:w="57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M值</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E值</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S值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R值</w:t>
            </w:r>
          </w:p>
        </w:tc>
        <w:tc>
          <w:tcPr>
            <w:tcW w:w="696"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风险等级</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补充措施</w:t>
            </w:r>
          </w:p>
        </w:tc>
      </w:tr>
      <w:tr>
        <w:tblPrEx>
          <w:tblCellMar>
            <w:top w:w="0" w:type="dxa"/>
            <w:left w:w="108" w:type="dxa"/>
            <w:bottom w:w="0" w:type="dxa"/>
            <w:right w:w="108" w:type="dxa"/>
          </w:tblCellMar>
        </w:tblPrEx>
        <w:trPr>
          <w:trHeight w:val="1400" w:hRule="atLeast"/>
          <w:jc w:val="center"/>
        </w:trPr>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w:t>
            </w:r>
          </w:p>
        </w:tc>
        <w:tc>
          <w:tcPr>
            <w:tcW w:w="126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燃气管道</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安全阀不能正常开启，导致管道破裂，丙烷气泄漏</w:t>
            </w:r>
          </w:p>
        </w:tc>
        <w:tc>
          <w:tcPr>
            <w:tcW w:w="1216"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人员死亡</w:t>
            </w:r>
          </w:p>
        </w:tc>
        <w:tc>
          <w:tcPr>
            <w:tcW w:w="121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火灾、其他爆炸、中毒和窒息</w:t>
            </w:r>
          </w:p>
        </w:tc>
        <w:tc>
          <w:tcPr>
            <w:tcW w:w="352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1、安全阀、压力表定期校验合格。</w:t>
            </w:r>
            <w:r>
              <w:rPr>
                <w:rFonts w:ascii="Times New Roman" w:hAnsi="Times New Roman" w:eastAsia="仿宋_GB2312" w:cs="Times New Roman"/>
                <w:kern w:val="0"/>
                <w:sz w:val="22"/>
              </w:rPr>
              <w:br w:type="textWrapping"/>
            </w:r>
            <w:r>
              <w:rPr>
                <w:rFonts w:ascii="Times New Roman" w:hAnsi="Times New Roman" w:eastAsia="仿宋_GB2312" w:cs="Times New Roman"/>
                <w:kern w:val="0"/>
                <w:sz w:val="22"/>
              </w:rPr>
              <w:t>2、设置了可燃气体检测报警仪并与风机、快速切断阀联锁。</w:t>
            </w:r>
            <w:r>
              <w:rPr>
                <w:rFonts w:ascii="Times New Roman" w:hAnsi="Times New Roman" w:eastAsia="仿宋_GB2312" w:cs="Times New Roman"/>
                <w:kern w:val="0"/>
                <w:sz w:val="22"/>
              </w:rPr>
              <w:br w:type="textWrapping"/>
            </w:r>
            <w:r>
              <w:rPr>
                <w:rFonts w:ascii="Times New Roman" w:hAnsi="Times New Roman" w:eastAsia="仿宋_GB2312" w:cs="Times New Roman"/>
                <w:kern w:val="0"/>
                <w:sz w:val="22"/>
              </w:rPr>
              <w:t>3、编制了丙烷气体泄漏专项应急预案并定期演练。</w:t>
            </w:r>
          </w:p>
        </w:tc>
        <w:tc>
          <w:tcPr>
            <w:tcW w:w="57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6</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8</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48</w:t>
            </w:r>
          </w:p>
        </w:tc>
        <w:tc>
          <w:tcPr>
            <w:tcW w:w="696" w:type="dxa"/>
            <w:tcBorders>
              <w:top w:val="nil"/>
              <w:left w:val="nil"/>
              <w:bottom w:val="single" w:color="auto" w:sz="4" w:space="0"/>
              <w:right w:val="single" w:color="auto" w:sz="4" w:space="0"/>
            </w:tcBorders>
            <w:shd w:val="clear" w:color="auto" w:fill="auto"/>
            <w:vAlign w:val="center"/>
          </w:tcPr>
          <w:p>
            <w:pPr>
              <w:rPr>
                <w:rFonts w:ascii="Times New Roman" w:hAnsi="Times New Roman" w:eastAsia="仿宋_GB2312" w:cs="Times New Roman"/>
              </w:rPr>
            </w:pPr>
            <w:r>
              <w:rPr>
                <w:rFonts w:ascii="Times New Roman" w:hAnsi="Times New Roman" w:eastAsia="仿宋_GB2312" w:cs="Times New Roman"/>
              </w:rPr>
              <w:t>四级</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无</w:t>
            </w:r>
          </w:p>
        </w:tc>
      </w:tr>
      <w:tr>
        <w:tblPrEx>
          <w:tblCellMar>
            <w:top w:w="0" w:type="dxa"/>
            <w:left w:w="108" w:type="dxa"/>
            <w:bottom w:w="0" w:type="dxa"/>
            <w:right w:w="108" w:type="dxa"/>
          </w:tblCellMar>
        </w:tblPrEx>
        <w:trPr>
          <w:trHeight w:val="280" w:hRule="atLeast"/>
          <w:jc w:val="center"/>
        </w:trPr>
        <w:tc>
          <w:tcPr>
            <w:tcW w:w="9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w:t>
            </w:r>
          </w:p>
        </w:tc>
        <w:tc>
          <w:tcPr>
            <w:tcW w:w="126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燃气管道</w:t>
            </w:r>
          </w:p>
        </w:tc>
        <w:tc>
          <w:tcPr>
            <w:tcW w:w="1638"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管道焊接质量不合格，导致管道破裂，丙烷气泄漏</w:t>
            </w:r>
          </w:p>
        </w:tc>
        <w:tc>
          <w:tcPr>
            <w:tcW w:w="1216"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人员死亡</w:t>
            </w:r>
          </w:p>
        </w:tc>
        <w:tc>
          <w:tcPr>
            <w:tcW w:w="121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火灾、其他爆炸、中毒和窒息</w:t>
            </w:r>
          </w:p>
        </w:tc>
        <w:tc>
          <w:tcPr>
            <w:tcW w:w="352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1、安全阀、压力表定期校验合格。</w:t>
            </w:r>
            <w:r>
              <w:rPr>
                <w:rFonts w:ascii="Times New Roman" w:hAnsi="Times New Roman" w:eastAsia="仿宋_GB2312" w:cs="Times New Roman"/>
                <w:kern w:val="0"/>
                <w:sz w:val="22"/>
              </w:rPr>
              <w:br w:type="textWrapping"/>
            </w:r>
            <w:r>
              <w:rPr>
                <w:rFonts w:ascii="Times New Roman" w:hAnsi="Times New Roman" w:eastAsia="仿宋_GB2312" w:cs="Times New Roman"/>
                <w:kern w:val="0"/>
                <w:sz w:val="22"/>
              </w:rPr>
              <w:t>2、设置了可燃气体检测报警仪并与风机、快速切断阀联锁。</w:t>
            </w:r>
            <w:r>
              <w:rPr>
                <w:rFonts w:ascii="Times New Roman" w:hAnsi="Times New Roman" w:eastAsia="仿宋_GB2312" w:cs="Times New Roman"/>
                <w:kern w:val="0"/>
                <w:sz w:val="22"/>
              </w:rPr>
              <w:br w:type="textWrapping"/>
            </w:r>
            <w:r>
              <w:rPr>
                <w:rFonts w:ascii="Times New Roman" w:hAnsi="Times New Roman" w:eastAsia="仿宋_GB2312" w:cs="Times New Roman"/>
                <w:kern w:val="0"/>
                <w:sz w:val="22"/>
              </w:rPr>
              <w:t>3、编制了丙烷气体泄漏专项应急预案并定期演练。</w:t>
            </w:r>
          </w:p>
        </w:tc>
        <w:tc>
          <w:tcPr>
            <w:tcW w:w="57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6</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8</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144</w:t>
            </w:r>
          </w:p>
        </w:tc>
        <w:tc>
          <w:tcPr>
            <w:tcW w:w="696"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二级</w:t>
            </w:r>
          </w:p>
        </w:tc>
        <w:tc>
          <w:tcPr>
            <w:tcW w:w="1559"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1、焊接后和定期对管道焊接部位进行探伤检测。</w:t>
            </w:r>
          </w:p>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2、安装压力表。</w:t>
            </w:r>
          </w:p>
          <w:p>
            <w:pPr>
              <w:widowControl/>
              <w:jc w:val="left"/>
              <w:rPr>
                <w:rFonts w:ascii="Times New Roman" w:hAnsi="Times New Roman" w:eastAsia="仿宋_GB2312" w:cs="Times New Roman"/>
                <w:kern w:val="0"/>
                <w:sz w:val="22"/>
              </w:rPr>
            </w:pPr>
            <w:r>
              <w:rPr>
                <w:rFonts w:ascii="Times New Roman" w:hAnsi="Times New Roman" w:eastAsia="仿宋_GB2312" w:cs="Times New Roman"/>
                <w:kern w:val="0"/>
                <w:sz w:val="22"/>
              </w:rPr>
              <w:t>3、对管道进行定期防腐。</w:t>
            </w:r>
          </w:p>
        </w:tc>
      </w:tr>
    </w:tbl>
    <w:p>
      <w:pPr>
        <w:pStyle w:val="30"/>
        <w:ind w:firstLine="0" w:firstLineChars="0"/>
        <w:rPr>
          <w:rFonts w:ascii="Times New Roman" w:eastAsia="仿宋_GB2312"/>
          <w:b/>
          <w:sz w:val="32"/>
          <w:szCs w:val="32"/>
        </w:rPr>
        <w:sectPr>
          <w:pgSz w:w="16838" w:h="11906" w:orient="landscape"/>
          <w:pgMar w:top="1800" w:right="1440" w:bottom="1800" w:left="1440" w:header="851" w:footer="992" w:gutter="0"/>
          <w:cols w:space="425" w:num="1"/>
          <w:docGrid w:type="lines" w:linePitch="312" w:charSpace="0"/>
        </w:sectPr>
      </w:pPr>
    </w:p>
    <w:p>
      <w:pPr>
        <w:pStyle w:val="5"/>
        <w:spacing w:before="120" w:after="120" w:line="240" w:lineRule="auto"/>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2.1.2  </w:t>
      </w:r>
      <w:bookmarkStart w:id="41" w:name="_Toc14249"/>
      <w:r>
        <w:rPr>
          <w:rFonts w:ascii="Times New Roman" w:hAnsi="Times New Roman" w:eastAsia="仿宋_GB2312" w:cs="Times New Roman"/>
          <w:sz w:val="32"/>
          <w:szCs w:val="32"/>
        </w:rPr>
        <w:t>风险矩阵法</w:t>
      </w:r>
      <w:bookmarkEnd w:id="41"/>
      <w:r>
        <w:rPr>
          <w:rFonts w:ascii="Times New Roman" w:hAnsi="Times New Roman" w:eastAsia="仿宋_GB2312" w:cs="Times New Roman"/>
          <w:sz w:val="32"/>
          <w:szCs w:val="32"/>
        </w:rPr>
        <w:t>（LS法）</w:t>
      </w:r>
    </w:p>
    <w:p>
      <w:pPr>
        <w:pStyle w:val="30"/>
        <w:ind w:firstLine="640"/>
        <w:rPr>
          <w:rFonts w:ascii="Times New Roman" w:eastAsia="仿宋_GB2312"/>
          <w:sz w:val="28"/>
          <w:szCs w:val="28"/>
        </w:rPr>
      </w:pPr>
      <w:r>
        <w:rPr>
          <w:rFonts w:ascii="Times New Roman" w:eastAsia="仿宋_GB2312"/>
          <w:sz w:val="32"/>
          <w:szCs w:val="32"/>
        </w:rPr>
        <w:t>风险矩阵法（简称LS），R=L×S ，其中R是危险性（也称风险度），是事故发生的可能性与事件后果的结合， L是事故发生的可能性；S是事故后果严重性；R值越大，说明被评价对象危险性大、风险大。</w:t>
      </w:r>
    </w:p>
    <w:p>
      <w:pPr>
        <w:pStyle w:val="37"/>
        <w:tabs>
          <w:tab w:val="clear" w:pos="180"/>
        </w:tabs>
        <w:spacing w:beforeLines="0" w:afterLines="0"/>
        <w:rPr>
          <w:rFonts w:ascii="Times New Roman" w:eastAsia="仿宋_GB2312"/>
        </w:rPr>
      </w:pPr>
      <w:r>
        <w:rPr>
          <w:rFonts w:ascii="Times New Roman" w:eastAsia="仿宋_GB2312"/>
        </w:rPr>
        <w:t>表2.1.2-1  事故发生的可能性（L）判断准则</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7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910"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等级</w:t>
            </w:r>
          </w:p>
        </w:tc>
        <w:tc>
          <w:tcPr>
            <w:tcW w:w="7612"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5</w:t>
            </w:r>
          </w:p>
        </w:tc>
        <w:tc>
          <w:tcPr>
            <w:tcW w:w="7612"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在现场没有采取防范、监测、保护、控制措施，或危害的发生不能被发现（没有监测系统），或在正常情况下经常发生此类事故或事件。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w:t>
            </w:r>
          </w:p>
        </w:tc>
        <w:tc>
          <w:tcPr>
            <w:tcW w:w="7612"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危害的发生不容易被发现，现场没有检测系统，也未发生过任何监测，或在现场有控制措施，但未有效执行或控制措施不当，或危害发生或预期情况下发生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7612"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没有保护措施（如没有保护装置、没有个人防护用品等），或未严格按操作程序执行，或危害的发生容易被发现（现场有监测系统），或曾经作过监测，或过去曾经发生类似事故或事件。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w:t>
            </w:r>
          </w:p>
        </w:tc>
        <w:tc>
          <w:tcPr>
            <w:tcW w:w="7612"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危害一旦发生能及时发现，并定期进行监测，或现场有防范控制措施，并能有效执行，或过去偶尔发生事故或事件。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w:t>
            </w:r>
          </w:p>
        </w:tc>
        <w:tc>
          <w:tcPr>
            <w:tcW w:w="7612"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有充分、有效的防范、控制、监测、保护措施，或员工安全卫生意识相当高，严格执行操作规程。极不可能发生事故或事件。</w:t>
            </w:r>
          </w:p>
        </w:tc>
      </w:tr>
    </w:tbl>
    <w:p>
      <w:pPr>
        <w:pStyle w:val="37"/>
        <w:tabs>
          <w:tab w:val="clear" w:pos="180"/>
        </w:tabs>
        <w:spacing w:before="240" w:beforeLines="0" w:afterLines="0"/>
        <w:rPr>
          <w:rFonts w:ascii="Times New Roman" w:eastAsia="仿宋_GB2312"/>
        </w:rPr>
      </w:pPr>
      <w:r>
        <w:rPr>
          <w:rFonts w:ascii="Times New Roman" w:eastAsia="仿宋_GB2312"/>
        </w:rPr>
        <w:t>表2.1.2-2  事件后果严重性（S）判别准则</w:t>
      </w:r>
    </w:p>
    <w:tbl>
      <w:tblPr>
        <w:tblStyle w:val="18"/>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8"/>
        <w:gridCol w:w="1158"/>
        <w:gridCol w:w="1354"/>
        <w:gridCol w:w="1729"/>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blHeader/>
          <w:jc w:val="center"/>
        </w:trPr>
        <w:tc>
          <w:tcPr>
            <w:tcW w:w="901"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等级</w:t>
            </w:r>
          </w:p>
        </w:tc>
        <w:tc>
          <w:tcPr>
            <w:tcW w:w="1908"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法律、法规</w:t>
            </w:r>
          </w:p>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及其他要求</w:t>
            </w:r>
          </w:p>
        </w:tc>
        <w:tc>
          <w:tcPr>
            <w:tcW w:w="1158"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人员</w:t>
            </w:r>
          </w:p>
        </w:tc>
        <w:tc>
          <w:tcPr>
            <w:tcW w:w="1354"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直接经济损失</w:t>
            </w:r>
          </w:p>
        </w:tc>
        <w:tc>
          <w:tcPr>
            <w:tcW w:w="1729"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停工</w:t>
            </w:r>
          </w:p>
        </w:tc>
        <w:tc>
          <w:tcPr>
            <w:tcW w:w="1473"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企业形象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5</w:t>
            </w:r>
          </w:p>
        </w:tc>
        <w:tc>
          <w:tcPr>
            <w:tcW w:w="19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违反法律、法规和标准</w:t>
            </w:r>
          </w:p>
        </w:tc>
        <w:tc>
          <w:tcPr>
            <w:tcW w:w="115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死亡</w:t>
            </w:r>
          </w:p>
        </w:tc>
        <w:tc>
          <w:tcPr>
            <w:tcW w:w="135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100万元以上</w:t>
            </w:r>
          </w:p>
        </w:tc>
        <w:tc>
          <w:tcPr>
            <w:tcW w:w="1729"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部分装置（&gt;2 套）或设备</w:t>
            </w:r>
          </w:p>
        </w:tc>
        <w:tc>
          <w:tcPr>
            <w:tcW w:w="1473"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重大国际影响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w:t>
            </w:r>
          </w:p>
        </w:tc>
        <w:tc>
          <w:tcPr>
            <w:tcW w:w="19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潜在违反法规和标准</w:t>
            </w:r>
          </w:p>
        </w:tc>
        <w:tc>
          <w:tcPr>
            <w:tcW w:w="115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丧失劳动能力</w:t>
            </w:r>
          </w:p>
        </w:tc>
        <w:tc>
          <w:tcPr>
            <w:tcW w:w="135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50万元以上</w:t>
            </w:r>
          </w:p>
        </w:tc>
        <w:tc>
          <w:tcPr>
            <w:tcW w:w="1729"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2套装置停工、或设备停工</w:t>
            </w:r>
          </w:p>
        </w:tc>
        <w:tc>
          <w:tcPr>
            <w:tcW w:w="1473"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行业内、省内影响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19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不符合上级公司或行业的安全方针、制度、规定等</w:t>
            </w:r>
          </w:p>
        </w:tc>
        <w:tc>
          <w:tcPr>
            <w:tcW w:w="115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截肢、骨折、听力丧失、慢性病</w:t>
            </w:r>
          </w:p>
        </w:tc>
        <w:tc>
          <w:tcPr>
            <w:tcW w:w="135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1万元以上</w:t>
            </w:r>
          </w:p>
        </w:tc>
        <w:tc>
          <w:tcPr>
            <w:tcW w:w="1729"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 套装置停工或设备</w:t>
            </w:r>
          </w:p>
        </w:tc>
        <w:tc>
          <w:tcPr>
            <w:tcW w:w="1473"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地区影响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w:t>
            </w:r>
          </w:p>
        </w:tc>
        <w:tc>
          <w:tcPr>
            <w:tcW w:w="19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不符合企业的安全操作程序、规定</w:t>
            </w:r>
          </w:p>
        </w:tc>
        <w:tc>
          <w:tcPr>
            <w:tcW w:w="115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轻微受伤、间歇不舒服</w:t>
            </w:r>
          </w:p>
        </w:tc>
        <w:tc>
          <w:tcPr>
            <w:tcW w:w="135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1万元以下</w:t>
            </w:r>
          </w:p>
        </w:tc>
        <w:tc>
          <w:tcPr>
            <w:tcW w:w="1729"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受影响不大，几乎不停工</w:t>
            </w:r>
          </w:p>
        </w:tc>
        <w:tc>
          <w:tcPr>
            <w:tcW w:w="1473"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公司及周边范围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w:t>
            </w:r>
          </w:p>
        </w:tc>
        <w:tc>
          <w:tcPr>
            <w:tcW w:w="19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完全符合</w:t>
            </w:r>
          </w:p>
        </w:tc>
        <w:tc>
          <w:tcPr>
            <w:tcW w:w="115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无伤亡</w:t>
            </w:r>
          </w:p>
        </w:tc>
        <w:tc>
          <w:tcPr>
            <w:tcW w:w="135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无损失</w:t>
            </w:r>
          </w:p>
        </w:tc>
        <w:tc>
          <w:tcPr>
            <w:tcW w:w="1729"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没有停工</w:t>
            </w:r>
          </w:p>
        </w:tc>
        <w:tc>
          <w:tcPr>
            <w:tcW w:w="1473"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形象没有受损</w:t>
            </w:r>
          </w:p>
        </w:tc>
      </w:tr>
    </w:tbl>
    <w:p>
      <w:pPr>
        <w:pStyle w:val="37"/>
        <w:tabs>
          <w:tab w:val="clear" w:pos="180"/>
        </w:tabs>
        <w:spacing w:beforeLines="0" w:afterLines="0"/>
        <w:rPr>
          <w:rFonts w:ascii="Times New Roman" w:eastAsia="仿宋_GB2312"/>
        </w:rPr>
      </w:pPr>
    </w:p>
    <w:p>
      <w:pPr>
        <w:pStyle w:val="37"/>
        <w:tabs>
          <w:tab w:val="clear" w:pos="180"/>
        </w:tabs>
        <w:spacing w:before="240" w:beforeLines="0" w:afterLines="0"/>
        <w:rPr>
          <w:rFonts w:ascii="Times New Roman" w:eastAsia="仿宋_GB2312"/>
        </w:rPr>
      </w:pPr>
      <w:r>
        <w:rPr>
          <w:rFonts w:ascii="Times New Roman" w:eastAsia="仿宋_GB2312"/>
        </w:rPr>
        <w:t>表2.1.2-3  安全风险等级判定准则（R值）及控制措施</w:t>
      </w:r>
    </w:p>
    <w:tbl>
      <w:tblPr>
        <w:tblStyle w:val="18"/>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708"/>
        <w:gridCol w:w="1034"/>
        <w:gridCol w:w="3721"/>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068" w:type="dxa"/>
            <w:tcBorders>
              <w:bottom w:val="single" w:color="auto" w:sz="4" w:space="0"/>
            </w:tcBorders>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风险值</w:t>
            </w:r>
          </w:p>
        </w:tc>
        <w:tc>
          <w:tcPr>
            <w:tcW w:w="1742" w:type="dxa"/>
            <w:gridSpan w:val="2"/>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风险等级</w:t>
            </w:r>
          </w:p>
        </w:tc>
        <w:tc>
          <w:tcPr>
            <w:tcW w:w="3721"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应采取的行动/控制措施</w:t>
            </w:r>
          </w:p>
        </w:tc>
        <w:tc>
          <w:tcPr>
            <w:tcW w:w="1992" w:type="dxa"/>
            <w:vAlign w:val="center"/>
          </w:tcPr>
          <w:p>
            <w:pPr>
              <w:autoSpaceDE w:val="0"/>
              <w:autoSpaceDN w:val="0"/>
              <w:adjustRightInd w:val="0"/>
              <w:snapToGrid w:val="0"/>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实施期限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FF0000"/>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20-25</w:t>
            </w:r>
          </w:p>
        </w:tc>
        <w:tc>
          <w:tcPr>
            <w:tcW w:w="7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1级</w:t>
            </w:r>
          </w:p>
        </w:tc>
        <w:tc>
          <w:tcPr>
            <w:tcW w:w="10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极其危险</w:t>
            </w:r>
          </w:p>
        </w:tc>
        <w:tc>
          <w:tcPr>
            <w:tcW w:w="3721"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在采取措施降低危害前，不能继续作业，对改进措施进行评估</w:t>
            </w:r>
          </w:p>
        </w:tc>
        <w:tc>
          <w:tcPr>
            <w:tcW w:w="1992"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立刻</w:t>
            </w:r>
            <w:r>
              <w:rPr>
                <w:rFonts w:hint="eastAsia" w:ascii="Times New Roman" w:hAnsi="Times New Roman" w:eastAsia="仿宋_GB2312" w:cs="Times New Roman"/>
                <w:sz w:val="18"/>
                <w:szCs w:val="18"/>
              </w:rPr>
              <w:t>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FFC000"/>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15-16</w:t>
            </w:r>
          </w:p>
        </w:tc>
        <w:tc>
          <w:tcPr>
            <w:tcW w:w="7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2级</w:t>
            </w:r>
          </w:p>
        </w:tc>
        <w:tc>
          <w:tcPr>
            <w:tcW w:w="10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高度危险</w:t>
            </w:r>
          </w:p>
        </w:tc>
        <w:tc>
          <w:tcPr>
            <w:tcW w:w="3721"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采取紧急措施降低风险，建立运行控制程序，定期检查、测量及评估</w:t>
            </w:r>
          </w:p>
        </w:tc>
        <w:tc>
          <w:tcPr>
            <w:tcW w:w="1992"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立即或近期整改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FFFF00"/>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9-12</w:t>
            </w:r>
          </w:p>
        </w:tc>
        <w:tc>
          <w:tcPr>
            <w:tcW w:w="7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3级</w:t>
            </w:r>
          </w:p>
        </w:tc>
        <w:tc>
          <w:tcPr>
            <w:tcW w:w="10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显著危险</w:t>
            </w:r>
          </w:p>
        </w:tc>
        <w:tc>
          <w:tcPr>
            <w:tcW w:w="3721"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可考虑建立目标、建立操作规程，加强培训及沟通</w:t>
            </w:r>
          </w:p>
        </w:tc>
        <w:tc>
          <w:tcPr>
            <w:tcW w:w="1992"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 年内治理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00B0F0"/>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4-8</w:t>
            </w:r>
          </w:p>
        </w:tc>
        <w:tc>
          <w:tcPr>
            <w:tcW w:w="7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4-1级</w:t>
            </w:r>
          </w:p>
        </w:tc>
        <w:tc>
          <w:tcPr>
            <w:tcW w:w="10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3721"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可考虑建立操作规程、作业指导书但需定期检查</w:t>
            </w:r>
          </w:p>
        </w:tc>
        <w:tc>
          <w:tcPr>
            <w:tcW w:w="1992"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有条件、有经费时治理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068" w:type="dxa"/>
            <w:shd w:val="clear" w:color="auto" w:fill="00B0F0"/>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1-3</w:t>
            </w:r>
          </w:p>
        </w:tc>
        <w:tc>
          <w:tcPr>
            <w:tcW w:w="708"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4-2级</w:t>
            </w:r>
          </w:p>
        </w:tc>
        <w:tc>
          <w:tcPr>
            <w:tcW w:w="10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稍有危险</w:t>
            </w:r>
          </w:p>
        </w:tc>
        <w:tc>
          <w:tcPr>
            <w:tcW w:w="3721" w:type="dxa"/>
            <w:vAlign w:val="center"/>
          </w:tcPr>
          <w:p>
            <w:pPr>
              <w:autoSpaceDE w:val="0"/>
              <w:autoSpaceDN w:val="0"/>
              <w:adjustRightInd w:val="0"/>
              <w:snapToGrid w:val="0"/>
              <w:rPr>
                <w:rFonts w:ascii="Times New Roman" w:hAnsi="Times New Roman" w:eastAsia="仿宋_GB2312" w:cs="Times New Roman"/>
                <w:sz w:val="18"/>
                <w:szCs w:val="18"/>
              </w:rPr>
            </w:pPr>
            <w:r>
              <w:rPr>
                <w:rFonts w:ascii="Times New Roman" w:hAnsi="Times New Roman" w:eastAsia="仿宋_GB2312" w:cs="Times New Roman"/>
                <w:sz w:val="18"/>
                <w:szCs w:val="18"/>
              </w:rPr>
              <w:t>无需采用控制措施</w:t>
            </w:r>
          </w:p>
        </w:tc>
        <w:tc>
          <w:tcPr>
            <w:tcW w:w="1992"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需保存记录</w:t>
            </w:r>
          </w:p>
        </w:tc>
      </w:tr>
    </w:tbl>
    <w:p>
      <w:pPr>
        <w:pStyle w:val="37"/>
        <w:tabs>
          <w:tab w:val="clear" w:pos="180"/>
        </w:tabs>
        <w:spacing w:before="240" w:beforeLines="0" w:afterLines="0"/>
        <w:rPr>
          <w:rFonts w:ascii="Times New Roman" w:eastAsia="仿宋_GB2312"/>
        </w:rPr>
      </w:pPr>
      <w:r>
        <w:rPr>
          <w:rFonts w:ascii="Times New Roman" w:eastAsia="仿宋_GB2312"/>
        </w:rPr>
        <w:t>表</w:t>
      </w:r>
      <w:r>
        <w:rPr>
          <w:rFonts w:ascii="Times New Roman" w:eastAsia="仿宋_GB2312"/>
          <w:color w:val="FF0000"/>
        </w:rPr>
        <w:t>2</w:t>
      </w:r>
      <w:r>
        <w:rPr>
          <w:rFonts w:ascii="Times New Roman" w:eastAsia="仿宋_GB2312"/>
        </w:rPr>
        <w:t>.1.2-4  风险矩阵表</w:t>
      </w:r>
    </w:p>
    <w:tbl>
      <w:tblPr>
        <w:tblStyle w:val="18"/>
        <w:tblW w:w="64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
        <w:gridCol w:w="433"/>
        <w:gridCol w:w="1196"/>
        <w:gridCol w:w="1118"/>
        <w:gridCol w:w="1118"/>
        <w:gridCol w:w="1118"/>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atLeast"/>
          <w:jc w:val="center"/>
        </w:trPr>
        <w:tc>
          <w:tcPr>
            <w:tcW w:w="34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后</w:t>
            </w:r>
          </w:p>
          <w:p>
            <w:pPr>
              <w:rPr>
                <w:rFonts w:ascii="Times New Roman" w:hAnsi="Times New Roman" w:eastAsia="仿宋_GB2312" w:cs="Times New Roman"/>
                <w:sz w:val="18"/>
                <w:szCs w:val="18"/>
              </w:rPr>
            </w:pPr>
            <w:r>
              <w:rPr>
                <w:rFonts w:ascii="Times New Roman" w:hAnsi="Times New Roman" w:eastAsia="仿宋_GB2312" w:cs="Times New Roman"/>
                <w:sz w:val="18"/>
                <w:szCs w:val="18"/>
              </w:rPr>
              <w:t>果</w:t>
            </w:r>
          </w:p>
          <w:p>
            <w:pPr>
              <w:rPr>
                <w:rFonts w:ascii="Times New Roman" w:hAnsi="Times New Roman" w:eastAsia="仿宋_GB2312" w:cs="Times New Roman"/>
                <w:sz w:val="18"/>
                <w:szCs w:val="18"/>
              </w:rPr>
            </w:pPr>
            <w:r>
              <w:rPr>
                <w:rFonts w:ascii="Times New Roman" w:hAnsi="Times New Roman" w:eastAsia="仿宋_GB2312" w:cs="Times New Roman"/>
                <w:sz w:val="18"/>
                <w:szCs w:val="18"/>
              </w:rPr>
              <w:t>等</w:t>
            </w:r>
          </w:p>
          <w:p>
            <w:pPr>
              <w:rPr>
                <w:rFonts w:ascii="Times New Roman" w:hAnsi="Times New Roman" w:eastAsia="仿宋_GB2312" w:cs="Times New Roman"/>
                <w:sz w:val="18"/>
                <w:szCs w:val="18"/>
              </w:rPr>
            </w:pPr>
            <w:r>
              <w:rPr>
                <w:rFonts w:ascii="Times New Roman" w:hAnsi="Times New Roman" w:eastAsia="仿宋_GB2312" w:cs="Times New Roman"/>
                <w:sz w:val="18"/>
                <w:szCs w:val="18"/>
              </w:rPr>
              <w:t>级</w:t>
            </w: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5</w:t>
            </w:r>
          </w:p>
        </w:tc>
        <w:tc>
          <w:tcPr>
            <w:tcW w:w="1196"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FFFF00"/>
            <w:vAlign w:val="center"/>
          </w:tcPr>
          <w:p>
            <w:pPr>
              <w:rPr>
                <w:rFonts w:ascii="Times New Roman" w:hAnsi="Times New Roman" w:eastAsia="仿宋_GB2312" w:cs="Times New Roman"/>
                <w:sz w:val="18"/>
                <w:szCs w:val="18"/>
                <w:highlight w:val="yellow"/>
              </w:rPr>
            </w:pPr>
            <w:r>
              <w:rPr>
                <w:rFonts w:ascii="Times New Roman" w:hAnsi="Times New Roman" w:eastAsia="仿宋_GB2312" w:cs="Times New Roman"/>
                <w:sz w:val="18"/>
                <w:szCs w:val="18"/>
              </w:rPr>
              <w:t>显著危险</w:t>
            </w:r>
          </w:p>
        </w:tc>
        <w:tc>
          <w:tcPr>
            <w:tcW w:w="1118" w:type="dxa"/>
            <w:tcBorders>
              <w:top w:val="single" w:color="auto" w:sz="4" w:space="0"/>
              <w:left w:val="single" w:color="auto" w:sz="4" w:space="0"/>
              <w:bottom w:val="single" w:color="auto" w:sz="4" w:space="0"/>
              <w:right w:val="single" w:color="auto" w:sz="4" w:space="0"/>
            </w:tcBorders>
            <w:shd w:val="clear" w:color="auto" w:fill="FF99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高度危险</w:t>
            </w:r>
          </w:p>
        </w:tc>
        <w:tc>
          <w:tcPr>
            <w:tcW w:w="1118" w:type="dxa"/>
            <w:tcBorders>
              <w:top w:val="single" w:color="auto" w:sz="4" w:space="0"/>
              <w:left w:val="single" w:color="auto" w:sz="4" w:space="0"/>
              <w:bottom w:val="single" w:color="auto" w:sz="4" w:space="0"/>
              <w:right w:val="single" w:color="auto" w:sz="4" w:space="0"/>
            </w:tcBorders>
            <w:shd w:val="clear" w:color="auto" w:fill="FF00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极其危险</w:t>
            </w:r>
          </w:p>
        </w:tc>
        <w:tc>
          <w:tcPr>
            <w:tcW w:w="1118" w:type="dxa"/>
            <w:tcBorders>
              <w:top w:val="single" w:color="auto" w:sz="4" w:space="0"/>
              <w:left w:val="single" w:color="auto" w:sz="4" w:space="0"/>
              <w:bottom w:val="single" w:color="auto" w:sz="4" w:space="0"/>
            </w:tcBorders>
            <w:shd w:val="clear" w:color="auto" w:fill="FF00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极其危险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jc w:val="center"/>
        </w:trPr>
        <w:tc>
          <w:tcPr>
            <w:tcW w:w="34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eastAsia="仿宋_GB2312" w:cs="Times New Roman"/>
                <w:sz w:val="18"/>
                <w:szCs w:val="18"/>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w:t>
            </w:r>
          </w:p>
        </w:tc>
        <w:tc>
          <w:tcPr>
            <w:tcW w:w="1196"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FFFF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显著危险</w:t>
            </w:r>
          </w:p>
        </w:tc>
        <w:tc>
          <w:tcPr>
            <w:tcW w:w="1118" w:type="dxa"/>
            <w:tcBorders>
              <w:top w:val="single" w:color="auto" w:sz="4" w:space="0"/>
              <w:left w:val="single" w:color="auto" w:sz="4" w:space="0"/>
              <w:bottom w:val="single" w:color="auto" w:sz="4" w:space="0"/>
              <w:right w:val="single" w:color="auto" w:sz="4" w:space="0"/>
            </w:tcBorders>
            <w:shd w:val="clear" w:color="auto" w:fill="FF99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高度危险</w:t>
            </w:r>
          </w:p>
        </w:tc>
        <w:tc>
          <w:tcPr>
            <w:tcW w:w="1118" w:type="dxa"/>
            <w:tcBorders>
              <w:top w:val="single" w:color="auto" w:sz="4" w:space="0"/>
              <w:left w:val="single" w:color="auto" w:sz="4" w:space="0"/>
              <w:bottom w:val="single" w:color="auto" w:sz="4" w:space="0"/>
            </w:tcBorders>
            <w:shd w:val="clear" w:color="auto" w:fill="FF00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极其危险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jc w:val="center"/>
        </w:trPr>
        <w:tc>
          <w:tcPr>
            <w:tcW w:w="34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eastAsia="仿宋_GB2312" w:cs="Times New Roman"/>
                <w:sz w:val="18"/>
                <w:szCs w:val="18"/>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1196"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FFFF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显著危险</w:t>
            </w:r>
          </w:p>
        </w:tc>
        <w:tc>
          <w:tcPr>
            <w:tcW w:w="1118" w:type="dxa"/>
            <w:tcBorders>
              <w:top w:val="single" w:color="auto" w:sz="4" w:space="0"/>
              <w:left w:val="single" w:color="auto" w:sz="4" w:space="0"/>
              <w:bottom w:val="single" w:color="auto" w:sz="4" w:space="0"/>
              <w:right w:val="single" w:color="auto" w:sz="4" w:space="0"/>
            </w:tcBorders>
            <w:shd w:val="clear" w:color="auto" w:fill="FFFF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显著危险</w:t>
            </w:r>
          </w:p>
        </w:tc>
        <w:tc>
          <w:tcPr>
            <w:tcW w:w="1118" w:type="dxa"/>
            <w:tcBorders>
              <w:top w:val="single" w:color="auto" w:sz="4" w:space="0"/>
              <w:left w:val="single" w:color="auto" w:sz="4" w:space="0"/>
              <w:bottom w:val="single" w:color="auto" w:sz="4" w:space="0"/>
            </w:tcBorders>
            <w:shd w:val="clear" w:color="auto" w:fill="FF99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高度危险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jc w:val="center"/>
        </w:trPr>
        <w:tc>
          <w:tcPr>
            <w:tcW w:w="34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eastAsia="仿宋_GB2312" w:cs="Times New Roman"/>
                <w:sz w:val="18"/>
                <w:szCs w:val="18"/>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w:t>
            </w:r>
          </w:p>
        </w:tc>
        <w:tc>
          <w:tcPr>
            <w:tcW w:w="1196"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稍有危险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tcBorders>
            <w:shd w:val="clear" w:color="auto" w:fill="FFFF0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显著危险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34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Times New Roman" w:hAnsi="Times New Roman" w:eastAsia="仿宋_GB2312" w:cs="Times New Roman"/>
                <w:sz w:val="18"/>
                <w:szCs w:val="18"/>
              </w:rPr>
            </w:pPr>
          </w:p>
        </w:tc>
        <w:tc>
          <w:tcPr>
            <w:tcW w:w="433"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w:t>
            </w:r>
          </w:p>
        </w:tc>
        <w:tc>
          <w:tcPr>
            <w:tcW w:w="1196"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稍有危险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稍有危险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right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1118" w:type="dxa"/>
            <w:tcBorders>
              <w:top w:val="single" w:color="auto" w:sz="4" w:space="0"/>
              <w:left w:val="single" w:color="auto" w:sz="4" w:space="0"/>
              <w:bottom w:val="single" w:color="auto" w:sz="4" w:space="0"/>
            </w:tcBorders>
            <w:shd w:val="clear" w:color="auto" w:fill="00B0F0"/>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347" w:type="dxa"/>
            <w:tcBorders>
              <w:top w:val="single" w:color="auto" w:sz="4" w:space="0"/>
              <w:left w:val="single" w:color="auto" w:sz="4" w:space="0"/>
              <w:bottom w:val="single" w:color="auto" w:sz="4" w:space="0"/>
              <w:right w:val="single" w:color="auto" w:sz="4" w:space="0"/>
            </w:tcBorders>
          </w:tcPr>
          <w:p>
            <w:pPr>
              <w:snapToGrid w:val="0"/>
              <w:rPr>
                <w:rFonts w:ascii="Times New Roman" w:hAnsi="Times New Roman" w:eastAsia="仿宋_GB2312" w:cs="Times New Roman"/>
                <w:sz w:val="18"/>
                <w:szCs w:val="18"/>
              </w:rPr>
            </w:pPr>
          </w:p>
        </w:tc>
        <w:tc>
          <w:tcPr>
            <w:tcW w:w="433" w:type="dxa"/>
            <w:tcBorders>
              <w:top w:val="single" w:color="auto" w:sz="4" w:space="0"/>
              <w:left w:val="single" w:color="auto" w:sz="4" w:space="0"/>
              <w:bottom w:val="single" w:color="auto" w:sz="4" w:space="0"/>
              <w:right w:val="single" w:color="auto" w:sz="4" w:space="0"/>
            </w:tcBorders>
          </w:tcPr>
          <w:p>
            <w:pPr>
              <w:snapToGrid w:val="0"/>
              <w:rPr>
                <w:rFonts w:ascii="Times New Roman" w:hAnsi="Times New Roman" w:eastAsia="仿宋_GB2312" w:cs="Times New Roman"/>
                <w:sz w:val="18"/>
                <w:szCs w:val="18"/>
              </w:rPr>
            </w:pPr>
          </w:p>
        </w:tc>
        <w:tc>
          <w:tcPr>
            <w:tcW w:w="1196"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w:t>
            </w:r>
          </w:p>
        </w:tc>
        <w:tc>
          <w:tcPr>
            <w:tcW w:w="111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w:t>
            </w:r>
          </w:p>
        </w:tc>
        <w:tc>
          <w:tcPr>
            <w:tcW w:w="111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111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w:t>
            </w:r>
          </w:p>
        </w:tc>
        <w:tc>
          <w:tcPr>
            <w:tcW w:w="111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6448" w:type="dxa"/>
            <w:gridSpan w:val="7"/>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事故发生的可能性等级</w:t>
            </w:r>
          </w:p>
        </w:tc>
      </w:tr>
    </w:tbl>
    <w:p>
      <w:pPr>
        <w:pStyle w:val="5"/>
        <w:spacing w:before="120" w:after="120" w:line="240" w:lineRule="auto"/>
        <w:rPr>
          <w:rFonts w:ascii="Times New Roman" w:hAnsi="Times New Roman" w:eastAsia="仿宋_GB2312" w:cs="Times New Roman"/>
          <w:sz w:val="32"/>
          <w:szCs w:val="32"/>
        </w:rPr>
      </w:pPr>
      <w:bookmarkStart w:id="42" w:name="_Toc20007"/>
      <w:r>
        <w:rPr>
          <w:rFonts w:ascii="Times New Roman" w:hAnsi="Times New Roman" w:eastAsia="仿宋_GB2312" w:cs="Times New Roman"/>
          <w:sz w:val="32"/>
          <w:szCs w:val="32"/>
        </w:rPr>
        <w:t>2.1.3作业条件危险性分析评价法</w:t>
      </w:r>
      <w:bookmarkEnd w:id="42"/>
      <w:r>
        <w:rPr>
          <w:rFonts w:ascii="Times New Roman" w:hAnsi="Times New Roman" w:eastAsia="仿宋_GB2312" w:cs="Times New Roman"/>
          <w:sz w:val="32"/>
          <w:szCs w:val="32"/>
        </w:rPr>
        <w:t>（LEC法）</w:t>
      </w:r>
    </w:p>
    <w:p>
      <w:pPr>
        <w:pStyle w:val="30"/>
        <w:ind w:firstLine="640"/>
        <w:rPr>
          <w:rFonts w:ascii="Times New Roman" w:eastAsia="仿宋_GB2312"/>
          <w:sz w:val="32"/>
          <w:szCs w:val="32"/>
        </w:rPr>
      </w:pPr>
      <w:r>
        <w:rPr>
          <w:rFonts w:ascii="Times New Roman" w:eastAsia="仿宋_GB2312"/>
          <w:sz w:val="32"/>
          <w:szCs w:val="32"/>
        </w:rPr>
        <w:t xml:space="preserve">作业条件危险性分析评价法（简称LEC）。L（likelihood，事故发生的可能性）、E（exposure，人员暴露于危险环境中的频繁程度）和C（consequence，一旦发生事故可能造成的后果）。给三种因素的不同等级分别确定不同的分值，再以三个分值的乘积D（danger，危险性）来评价作业条件危险性的大小，即:D=L×E×C。D值越大，说明该作业活动危险性大、风险大。 </w:t>
      </w:r>
    </w:p>
    <w:p>
      <w:pPr>
        <w:pStyle w:val="37"/>
        <w:tabs>
          <w:tab w:val="clear" w:pos="180"/>
        </w:tabs>
        <w:spacing w:beforeLines="0" w:afterLines="0"/>
        <w:rPr>
          <w:rFonts w:ascii="Times New Roman" w:eastAsia="仿宋_GB2312"/>
        </w:rPr>
      </w:pPr>
      <w:r>
        <w:rPr>
          <w:rFonts w:ascii="Times New Roman" w:eastAsia="仿宋_GB2312"/>
        </w:rPr>
        <w:t>表2.1.3-1  事故事件发生的可能性（L）判断准则</w:t>
      </w:r>
    </w:p>
    <w:tbl>
      <w:tblPr>
        <w:tblStyle w:val="18"/>
        <w:tblW w:w="86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7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13"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分值</w:t>
            </w:r>
          </w:p>
        </w:tc>
        <w:tc>
          <w:tcPr>
            <w:tcW w:w="7871"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事故、事件或偏差发生的可能性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1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10</w:t>
            </w:r>
          </w:p>
        </w:tc>
        <w:tc>
          <w:tcPr>
            <w:tcW w:w="7871"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完全可以预料。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81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6</w:t>
            </w:r>
          </w:p>
        </w:tc>
        <w:tc>
          <w:tcPr>
            <w:tcW w:w="7871" w:type="dxa"/>
            <w:vAlign w:val="center"/>
          </w:tcPr>
          <w:p>
            <w:pPr>
              <w:jc w:val="left"/>
              <w:rPr>
                <w:rFonts w:ascii="Times New Roman" w:hAnsi="Times New Roman" w:eastAsia="仿宋_GB2312" w:cs="Times New Roman"/>
                <w:sz w:val="18"/>
                <w:szCs w:val="18"/>
              </w:rPr>
            </w:pPr>
            <w:r>
              <w:rPr>
                <w:rFonts w:ascii="Times New Roman" w:hAnsi="Times New Roman" w:eastAsia="仿宋_GB2312" w:cs="Times New Roman"/>
                <w:sz w:val="18"/>
                <w:szCs w:val="18"/>
              </w:rPr>
              <w:t>相当可能；或危害的发生不能被发现（没有监测系统）；或在现场没有采取防范、监测、保护、控制措施；或在正常情况下经常发生此类事故、事件或偏差</w:t>
            </w:r>
            <w:r>
              <w:rPr>
                <w:rFonts w:hint="eastAsia" w:ascii="Times New Roman" w:hAnsi="Times New Roman" w:eastAsia="仿宋_GB2312"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81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7871" w:type="dxa"/>
            <w:vAlign w:val="center"/>
          </w:tcPr>
          <w:p>
            <w:pPr>
              <w:jc w:val="left"/>
              <w:rPr>
                <w:rFonts w:ascii="Times New Roman" w:hAnsi="Times New Roman" w:eastAsia="仿宋_GB2312" w:cs="Times New Roman"/>
                <w:sz w:val="18"/>
                <w:szCs w:val="18"/>
              </w:rPr>
            </w:pPr>
            <w:r>
              <w:rPr>
                <w:rFonts w:ascii="Times New Roman" w:hAnsi="Times New Roman" w:eastAsia="仿宋_GB2312" w:cs="Times New Roman"/>
                <w:sz w:val="18"/>
                <w:szCs w:val="18"/>
              </w:rPr>
              <w:t>可能，但不经常；或危害的发生不容易被发现；现场没有检测系统或保护措施（如没有保护装置、没有个人防护用品等），也未作过任何监测；或未严格按操作规程执行；或在现场有控制措施，但未有效执行或控制措施不当；或危害在预期情况下发生</w:t>
            </w:r>
            <w:r>
              <w:rPr>
                <w:rFonts w:hint="eastAsia" w:ascii="Times New Roman" w:hAnsi="Times New Roman" w:eastAsia="仿宋_GB2312"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1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w:t>
            </w:r>
          </w:p>
        </w:tc>
        <w:tc>
          <w:tcPr>
            <w:tcW w:w="7871" w:type="dxa"/>
            <w:vAlign w:val="center"/>
          </w:tcPr>
          <w:p>
            <w:pPr>
              <w:jc w:val="left"/>
              <w:rPr>
                <w:rFonts w:ascii="Times New Roman" w:hAnsi="Times New Roman" w:eastAsia="仿宋_GB2312" w:cs="Times New Roman"/>
                <w:sz w:val="18"/>
                <w:szCs w:val="18"/>
              </w:rPr>
            </w:pPr>
            <w:r>
              <w:rPr>
                <w:rFonts w:ascii="Times New Roman" w:hAnsi="Times New Roman" w:eastAsia="仿宋_GB2312" w:cs="Times New Roman"/>
                <w:sz w:val="18"/>
                <w:szCs w:val="18"/>
              </w:rPr>
              <w:t>可能性小，完全意外；或危害的发生容易被发现；现场有监测系统或曾经作过监测；或过去曾经发生类似事故、事件或偏差；或在异常情况下发生过类似事故、事件或偏差</w:t>
            </w:r>
            <w:r>
              <w:rPr>
                <w:rFonts w:hint="eastAsia" w:ascii="Times New Roman" w:hAnsi="Times New Roman" w:eastAsia="仿宋_GB2312"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1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0.5</w:t>
            </w:r>
          </w:p>
        </w:tc>
        <w:tc>
          <w:tcPr>
            <w:tcW w:w="7871" w:type="dxa"/>
            <w:vAlign w:val="center"/>
          </w:tcPr>
          <w:p>
            <w:pPr>
              <w:jc w:val="left"/>
              <w:rPr>
                <w:rFonts w:ascii="Times New Roman" w:hAnsi="Times New Roman" w:eastAsia="仿宋_GB2312" w:cs="Times New Roman"/>
                <w:sz w:val="18"/>
                <w:szCs w:val="18"/>
              </w:rPr>
            </w:pPr>
            <w:r>
              <w:rPr>
                <w:rFonts w:ascii="Times New Roman" w:hAnsi="Times New Roman" w:eastAsia="仿宋_GB2312" w:cs="Times New Roman"/>
                <w:sz w:val="18"/>
                <w:szCs w:val="18"/>
              </w:rPr>
              <w:t>很不可能，可以设想；危害一旦发生能及时发现，并能定期进行监测</w:t>
            </w:r>
            <w:r>
              <w:rPr>
                <w:rFonts w:hint="eastAsia" w:ascii="Times New Roman" w:hAnsi="Times New Roman" w:eastAsia="仿宋_GB2312"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81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0.2</w:t>
            </w:r>
          </w:p>
        </w:tc>
        <w:tc>
          <w:tcPr>
            <w:tcW w:w="7871" w:type="dxa"/>
            <w:vAlign w:val="center"/>
          </w:tcPr>
          <w:p>
            <w:pPr>
              <w:jc w:val="left"/>
              <w:rPr>
                <w:rFonts w:ascii="Times New Roman" w:hAnsi="Times New Roman" w:eastAsia="仿宋_GB2312" w:cs="Times New Roman"/>
                <w:sz w:val="18"/>
                <w:szCs w:val="18"/>
              </w:rPr>
            </w:pPr>
            <w:r>
              <w:rPr>
                <w:rFonts w:ascii="Times New Roman" w:hAnsi="Times New Roman" w:eastAsia="仿宋_GB2312" w:cs="Times New Roman"/>
                <w:sz w:val="18"/>
                <w:szCs w:val="18"/>
              </w:rPr>
              <w:t>极不可能；有充分、有效的防范、控制、监测、保护措施；或员工安全卫生意识相当高，严格执行操作规程</w:t>
            </w:r>
            <w:r>
              <w:rPr>
                <w:rFonts w:hint="eastAsia" w:ascii="Times New Roman" w:hAnsi="Times New Roman" w:eastAsia="仿宋_GB2312" w:cs="Times New Roman"/>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1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0.1</w:t>
            </w:r>
          </w:p>
        </w:tc>
        <w:tc>
          <w:tcPr>
            <w:tcW w:w="7871" w:type="dxa"/>
            <w:vAlign w:val="center"/>
          </w:tcPr>
          <w:p>
            <w:pPr>
              <w:jc w:val="left"/>
              <w:rPr>
                <w:rFonts w:ascii="Times New Roman" w:hAnsi="Times New Roman" w:eastAsia="仿宋_GB2312" w:cs="Times New Roman"/>
                <w:sz w:val="18"/>
                <w:szCs w:val="18"/>
              </w:rPr>
            </w:pPr>
            <w:r>
              <w:rPr>
                <w:rFonts w:ascii="Times New Roman" w:hAnsi="Times New Roman" w:eastAsia="仿宋_GB2312" w:cs="Times New Roman"/>
                <w:sz w:val="18"/>
                <w:szCs w:val="18"/>
              </w:rPr>
              <w:t>实际不可能</w:t>
            </w:r>
            <w:r>
              <w:rPr>
                <w:rFonts w:hint="eastAsia" w:ascii="Times New Roman" w:hAnsi="Times New Roman" w:eastAsia="仿宋_GB2312" w:cs="Times New Roman"/>
                <w:sz w:val="18"/>
                <w:szCs w:val="18"/>
              </w:rPr>
              <w:t>。</w:t>
            </w:r>
          </w:p>
        </w:tc>
      </w:tr>
    </w:tbl>
    <w:p>
      <w:pPr>
        <w:pStyle w:val="37"/>
        <w:tabs>
          <w:tab w:val="clear" w:pos="180"/>
        </w:tabs>
        <w:spacing w:before="240" w:beforeLines="0" w:afterLines="0"/>
        <w:rPr>
          <w:rFonts w:ascii="Times New Roman" w:eastAsia="仿宋_GB2312"/>
        </w:rPr>
      </w:pPr>
      <w:r>
        <w:rPr>
          <w:rFonts w:ascii="Times New Roman" w:eastAsia="仿宋_GB2312"/>
        </w:rPr>
        <w:t>表2.1.3-2  暴露于危险环境的频繁程度（E）判断准则</w:t>
      </w:r>
    </w:p>
    <w:tbl>
      <w:tblPr>
        <w:tblStyle w:val="18"/>
        <w:tblW w:w="87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3262"/>
        <w:gridCol w:w="1507"/>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分值</w:t>
            </w:r>
          </w:p>
        </w:tc>
        <w:tc>
          <w:tcPr>
            <w:tcW w:w="3262"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频繁程度</w:t>
            </w:r>
          </w:p>
        </w:tc>
        <w:tc>
          <w:tcPr>
            <w:tcW w:w="1507"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分值</w:t>
            </w:r>
          </w:p>
        </w:tc>
        <w:tc>
          <w:tcPr>
            <w:tcW w:w="2816"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频繁程度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sz w:val="18"/>
                <w:szCs w:val="18"/>
              </w:rPr>
              <w:t>10</w:t>
            </w:r>
          </w:p>
        </w:tc>
        <w:tc>
          <w:tcPr>
            <w:tcW w:w="3262" w:type="dxa"/>
            <w:vAlign w:val="center"/>
          </w:tcPr>
          <w:p>
            <w:pPr>
              <w:rPr>
                <w:rFonts w:ascii="Times New Roman" w:hAnsi="Times New Roman" w:eastAsia="仿宋_GB2312" w:cs="Times New Roman"/>
                <w:b/>
                <w:bCs/>
                <w:sz w:val="18"/>
                <w:szCs w:val="18"/>
              </w:rPr>
            </w:pPr>
            <w:r>
              <w:rPr>
                <w:rFonts w:ascii="Times New Roman" w:hAnsi="Times New Roman" w:eastAsia="仿宋_GB2312" w:cs="Times New Roman"/>
                <w:sz w:val="18"/>
                <w:szCs w:val="18"/>
              </w:rPr>
              <w:t>连续暴露</w:t>
            </w:r>
          </w:p>
        </w:tc>
        <w:tc>
          <w:tcPr>
            <w:tcW w:w="1507"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sz w:val="18"/>
                <w:szCs w:val="18"/>
              </w:rPr>
              <w:t>2</w:t>
            </w:r>
          </w:p>
        </w:tc>
        <w:tc>
          <w:tcPr>
            <w:tcW w:w="2816" w:type="dxa"/>
            <w:vAlign w:val="center"/>
          </w:tcPr>
          <w:p>
            <w:pPr>
              <w:jc w:val="left"/>
              <w:rPr>
                <w:rFonts w:ascii="Times New Roman" w:hAnsi="Times New Roman" w:eastAsia="仿宋_GB2312" w:cs="Times New Roman"/>
                <w:b/>
                <w:bCs/>
                <w:sz w:val="18"/>
                <w:szCs w:val="18"/>
              </w:rPr>
            </w:pPr>
            <w:r>
              <w:rPr>
                <w:rFonts w:ascii="Times New Roman" w:hAnsi="Times New Roman" w:eastAsia="仿宋_GB2312" w:cs="Times New Roman"/>
                <w:sz w:val="18"/>
                <w:szCs w:val="18"/>
              </w:rPr>
              <w:t>每月一次暴露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sz w:val="18"/>
                <w:szCs w:val="18"/>
              </w:rPr>
              <w:t>6</w:t>
            </w:r>
          </w:p>
        </w:tc>
        <w:tc>
          <w:tcPr>
            <w:tcW w:w="3262" w:type="dxa"/>
            <w:vAlign w:val="center"/>
          </w:tcPr>
          <w:p>
            <w:pPr>
              <w:rPr>
                <w:rFonts w:ascii="Times New Roman" w:hAnsi="Times New Roman" w:eastAsia="仿宋_GB2312" w:cs="Times New Roman"/>
                <w:b/>
                <w:bCs/>
                <w:sz w:val="18"/>
                <w:szCs w:val="18"/>
              </w:rPr>
            </w:pPr>
            <w:r>
              <w:rPr>
                <w:rFonts w:ascii="Times New Roman" w:hAnsi="Times New Roman" w:eastAsia="仿宋_GB2312" w:cs="Times New Roman"/>
                <w:sz w:val="18"/>
                <w:szCs w:val="18"/>
              </w:rPr>
              <w:t>每天工作时间内暴露</w:t>
            </w:r>
          </w:p>
        </w:tc>
        <w:tc>
          <w:tcPr>
            <w:tcW w:w="1507"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sz w:val="18"/>
                <w:szCs w:val="18"/>
              </w:rPr>
              <w:t>1</w:t>
            </w:r>
          </w:p>
        </w:tc>
        <w:tc>
          <w:tcPr>
            <w:tcW w:w="2816" w:type="dxa"/>
            <w:vAlign w:val="center"/>
          </w:tcPr>
          <w:p>
            <w:pPr>
              <w:jc w:val="left"/>
              <w:rPr>
                <w:rFonts w:ascii="Times New Roman" w:hAnsi="Times New Roman" w:eastAsia="仿宋_GB2312" w:cs="Times New Roman"/>
                <w:b/>
                <w:bCs/>
                <w:sz w:val="18"/>
                <w:szCs w:val="18"/>
              </w:rPr>
            </w:pPr>
            <w:r>
              <w:rPr>
                <w:rFonts w:ascii="Times New Roman" w:hAnsi="Times New Roman" w:eastAsia="仿宋_GB2312" w:cs="Times New Roman"/>
                <w:sz w:val="18"/>
                <w:szCs w:val="18"/>
              </w:rPr>
              <w:t>每年几次暴露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3262"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每周一次或偶然暴露</w:t>
            </w:r>
          </w:p>
        </w:tc>
        <w:tc>
          <w:tcPr>
            <w:tcW w:w="1507"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0.5</w:t>
            </w:r>
          </w:p>
        </w:tc>
        <w:tc>
          <w:tcPr>
            <w:tcW w:w="2816" w:type="dxa"/>
            <w:vAlign w:val="center"/>
          </w:tcPr>
          <w:p>
            <w:pPr>
              <w:jc w:val="left"/>
              <w:rPr>
                <w:rFonts w:ascii="Times New Roman" w:hAnsi="Times New Roman" w:eastAsia="仿宋_GB2312" w:cs="Times New Roman"/>
                <w:sz w:val="18"/>
                <w:szCs w:val="18"/>
              </w:rPr>
            </w:pPr>
            <w:r>
              <w:rPr>
                <w:rFonts w:ascii="Times New Roman" w:hAnsi="Times New Roman" w:eastAsia="仿宋_GB2312" w:cs="Times New Roman"/>
                <w:sz w:val="18"/>
                <w:szCs w:val="18"/>
              </w:rPr>
              <w:t>非常罕见地暴露</w:t>
            </w:r>
          </w:p>
        </w:tc>
      </w:tr>
    </w:tbl>
    <w:p>
      <w:pPr>
        <w:pStyle w:val="37"/>
        <w:tabs>
          <w:tab w:val="clear" w:pos="180"/>
        </w:tabs>
        <w:spacing w:before="240" w:beforeLines="0" w:afterLines="0"/>
        <w:rPr>
          <w:rFonts w:ascii="Times New Roman" w:eastAsia="仿宋_GB2312"/>
        </w:rPr>
      </w:pPr>
      <w:r>
        <w:rPr>
          <w:rFonts w:ascii="Times New Roman" w:eastAsia="仿宋_GB2312"/>
        </w:rPr>
        <w:t>表2.1.3-3  发生事故事件偏差产生的后果严重性（C）判别准则</w:t>
      </w:r>
    </w:p>
    <w:tbl>
      <w:tblPr>
        <w:tblStyle w:val="18"/>
        <w:tblW w:w="86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660"/>
        <w:gridCol w:w="2129"/>
        <w:gridCol w:w="1320"/>
        <w:gridCol w:w="851"/>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blHeader/>
          <w:jc w:val="center"/>
        </w:trPr>
        <w:tc>
          <w:tcPr>
            <w:tcW w:w="772"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分值</w:t>
            </w:r>
          </w:p>
        </w:tc>
        <w:tc>
          <w:tcPr>
            <w:tcW w:w="1660"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法律法规</w:t>
            </w:r>
          </w:p>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及其他要求</w:t>
            </w:r>
          </w:p>
        </w:tc>
        <w:tc>
          <w:tcPr>
            <w:tcW w:w="2129"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人员伤亡</w:t>
            </w:r>
          </w:p>
        </w:tc>
        <w:tc>
          <w:tcPr>
            <w:tcW w:w="1320"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直接经济损失</w:t>
            </w:r>
          </w:p>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（万元）</w:t>
            </w:r>
          </w:p>
        </w:tc>
        <w:tc>
          <w:tcPr>
            <w:tcW w:w="851"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停工</w:t>
            </w:r>
          </w:p>
        </w:tc>
        <w:tc>
          <w:tcPr>
            <w:tcW w:w="1909" w:type="dxa"/>
            <w:vAlign w:val="center"/>
          </w:tcPr>
          <w:p>
            <w:pPr>
              <w:jc w:val="center"/>
              <w:rPr>
                <w:rFonts w:ascii="Times New Roman" w:hAnsi="Times New Roman" w:eastAsia="仿宋_GB2312" w:cs="Times New Roman"/>
                <w:b/>
                <w:bCs/>
                <w:sz w:val="18"/>
                <w:szCs w:val="18"/>
              </w:rPr>
            </w:pPr>
            <w:r>
              <w:rPr>
                <w:rFonts w:ascii="Times New Roman" w:hAnsi="Times New Roman" w:eastAsia="仿宋_GB2312" w:cs="Times New Roman"/>
                <w:b/>
                <w:bCs/>
                <w:sz w:val="18"/>
                <w:szCs w:val="18"/>
              </w:rPr>
              <w:t>公司形象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72"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100</w:t>
            </w:r>
          </w:p>
        </w:tc>
        <w:tc>
          <w:tcPr>
            <w:tcW w:w="166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严重违反法律法规和标准</w:t>
            </w:r>
          </w:p>
        </w:tc>
        <w:tc>
          <w:tcPr>
            <w:tcW w:w="212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10人以上死亡，或50人以上重伤</w:t>
            </w:r>
          </w:p>
        </w:tc>
        <w:tc>
          <w:tcPr>
            <w:tcW w:w="132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5000以上</w:t>
            </w:r>
          </w:p>
        </w:tc>
        <w:tc>
          <w:tcPr>
            <w:tcW w:w="851"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公司</w:t>
            </w:r>
          </w:p>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停产</w:t>
            </w:r>
          </w:p>
        </w:tc>
        <w:tc>
          <w:tcPr>
            <w:tcW w:w="190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重大国际、国内影响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772"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40</w:t>
            </w:r>
          </w:p>
        </w:tc>
        <w:tc>
          <w:tcPr>
            <w:tcW w:w="166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违反法律法规和标准</w:t>
            </w:r>
          </w:p>
        </w:tc>
        <w:tc>
          <w:tcPr>
            <w:tcW w:w="212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3人以上10人以下死亡，或10人以上50人以下重伤</w:t>
            </w:r>
          </w:p>
        </w:tc>
        <w:tc>
          <w:tcPr>
            <w:tcW w:w="132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1000以上</w:t>
            </w:r>
          </w:p>
        </w:tc>
        <w:tc>
          <w:tcPr>
            <w:tcW w:w="851"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装置</w:t>
            </w:r>
          </w:p>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停工</w:t>
            </w:r>
          </w:p>
        </w:tc>
        <w:tc>
          <w:tcPr>
            <w:tcW w:w="190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行业内、省内影响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772"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15</w:t>
            </w:r>
          </w:p>
        </w:tc>
        <w:tc>
          <w:tcPr>
            <w:tcW w:w="166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潜在违反法规和标准</w:t>
            </w:r>
          </w:p>
        </w:tc>
        <w:tc>
          <w:tcPr>
            <w:tcW w:w="212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3人以下死亡，或10人以下重伤</w:t>
            </w:r>
          </w:p>
        </w:tc>
        <w:tc>
          <w:tcPr>
            <w:tcW w:w="132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100以上</w:t>
            </w:r>
          </w:p>
        </w:tc>
        <w:tc>
          <w:tcPr>
            <w:tcW w:w="851"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部分装置停工</w:t>
            </w:r>
          </w:p>
        </w:tc>
        <w:tc>
          <w:tcPr>
            <w:tcW w:w="190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地区影响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772"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7</w:t>
            </w:r>
          </w:p>
        </w:tc>
        <w:tc>
          <w:tcPr>
            <w:tcW w:w="166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不符合上级或行业的安全方针、制度、规定等</w:t>
            </w:r>
          </w:p>
        </w:tc>
        <w:tc>
          <w:tcPr>
            <w:tcW w:w="212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丧失劳动力、截肢、骨折、听力丧失、慢性病</w:t>
            </w:r>
          </w:p>
        </w:tc>
        <w:tc>
          <w:tcPr>
            <w:tcW w:w="132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10万以上</w:t>
            </w:r>
          </w:p>
        </w:tc>
        <w:tc>
          <w:tcPr>
            <w:tcW w:w="851"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部分设备停工</w:t>
            </w:r>
          </w:p>
        </w:tc>
        <w:tc>
          <w:tcPr>
            <w:tcW w:w="190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公司及周边范围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772"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w:t>
            </w:r>
          </w:p>
        </w:tc>
        <w:tc>
          <w:tcPr>
            <w:tcW w:w="166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不符合公司的安全操作程序、规定</w:t>
            </w:r>
          </w:p>
        </w:tc>
        <w:tc>
          <w:tcPr>
            <w:tcW w:w="212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轻微受伤、间歇不舒服</w:t>
            </w:r>
          </w:p>
        </w:tc>
        <w:tc>
          <w:tcPr>
            <w:tcW w:w="132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1万以上</w:t>
            </w:r>
          </w:p>
        </w:tc>
        <w:tc>
          <w:tcPr>
            <w:tcW w:w="851"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1套设备停工</w:t>
            </w:r>
          </w:p>
        </w:tc>
        <w:tc>
          <w:tcPr>
            <w:tcW w:w="190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引人关注，不利于基本的安全卫生要求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772"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w:t>
            </w:r>
          </w:p>
        </w:tc>
        <w:tc>
          <w:tcPr>
            <w:tcW w:w="166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完全符合</w:t>
            </w:r>
          </w:p>
        </w:tc>
        <w:tc>
          <w:tcPr>
            <w:tcW w:w="212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无伤亡</w:t>
            </w:r>
          </w:p>
        </w:tc>
        <w:tc>
          <w:tcPr>
            <w:tcW w:w="1320"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1万以下</w:t>
            </w:r>
          </w:p>
        </w:tc>
        <w:tc>
          <w:tcPr>
            <w:tcW w:w="851" w:type="dxa"/>
            <w:vAlign w:val="center"/>
          </w:tcPr>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没有</w:t>
            </w:r>
          </w:p>
          <w:p>
            <w:pPr>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停工</w:t>
            </w:r>
          </w:p>
        </w:tc>
        <w:tc>
          <w:tcPr>
            <w:tcW w:w="1909" w:type="dxa"/>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形象没有受损</w:t>
            </w:r>
          </w:p>
        </w:tc>
      </w:tr>
    </w:tbl>
    <w:p>
      <w:pPr>
        <w:pStyle w:val="37"/>
        <w:tabs>
          <w:tab w:val="clear" w:pos="180"/>
        </w:tabs>
        <w:spacing w:before="240" w:beforeLines="0" w:afterLines="0"/>
        <w:rPr>
          <w:rFonts w:ascii="Times New Roman" w:eastAsia="仿宋_GB2312"/>
        </w:rPr>
      </w:pPr>
      <w:r>
        <w:rPr>
          <w:rFonts w:ascii="Times New Roman" w:eastAsia="仿宋_GB2312"/>
        </w:rPr>
        <w:t>表2.1.3-4  风险等级判定准则及控制措施（D）</w:t>
      </w:r>
    </w:p>
    <w:tbl>
      <w:tblPr>
        <w:tblStyle w:val="18"/>
        <w:tblW w:w="8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696"/>
        <w:gridCol w:w="1134"/>
        <w:gridCol w:w="3626"/>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43" w:type="dxa"/>
            <w:tcBorders>
              <w:bottom w:val="nil"/>
            </w:tcBorders>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b/>
                <w:bCs/>
                <w:spacing w:val="20"/>
                <w:sz w:val="18"/>
                <w:szCs w:val="18"/>
              </w:rPr>
              <w:t>风险值</w:t>
            </w:r>
          </w:p>
        </w:tc>
        <w:tc>
          <w:tcPr>
            <w:tcW w:w="1830" w:type="dxa"/>
            <w:gridSpan w:val="2"/>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b/>
                <w:bCs/>
                <w:spacing w:val="20"/>
                <w:sz w:val="18"/>
                <w:szCs w:val="18"/>
              </w:rPr>
              <w:t>风险等级</w:t>
            </w:r>
          </w:p>
        </w:tc>
        <w:tc>
          <w:tcPr>
            <w:tcW w:w="3626" w:type="dxa"/>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b/>
                <w:bCs/>
                <w:spacing w:val="20"/>
                <w:sz w:val="18"/>
                <w:szCs w:val="18"/>
              </w:rPr>
              <w:t>应采取的行动/控制措施</w:t>
            </w:r>
          </w:p>
        </w:tc>
        <w:tc>
          <w:tcPr>
            <w:tcW w:w="1812" w:type="dxa"/>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b/>
                <w:bCs/>
                <w:spacing w:val="20"/>
                <w:sz w:val="18"/>
                <w:szCs w:val="18"/>
              </w:rPr>
              <w:t>实施期限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1343" w:type="dxa"/>
            <w:tcBorders>
              <w:bottom w:val="single" w:color="auto" w:sz="4" w:space="0"/>
            </w:tcBorders>
            <w:shd w:val="clear" w:color="auto" w:fill="FF0000"/>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b/>
                <w:bCs/>
                <w:sz w:val="18"/>
                <w:szCs w:val="18"/>
              </w:rPr>
              <w:t>&gt;</w:t>
            </w:r>
            <w:r>
              <w:rPr>
                <w:rFonts w:ascii="Times New Roman" w:hAnsi="Times New Roman" w:eastAsia="仿宋_GB2312" w:cs="Times New Roman"/>
                <w:b/>
                <w:bCs/>
                <w:spacing w:val="20"/>
                <w:sz w:val="18"/>
                <w:szCs w:val="18"/>
              </w:rPr>
              <w:t>320</w:t>
            </w:r>
          </w:p>
        </w:tc>
        <w:tc>
          <w:tcPr>
            <w:tcW w:w="696"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1级</w:t>
            </w:r>
          </w:p>
        </w:tc>
        <w:tc>
          <w:tcPr>
            <w:tcW w:w="11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极其危险</w:t>
            </w:r>
          </w:p>
        </w:tc>
        <w:tc>
          <w:tcPr>
            <w:tcW w:w="3626" w:type="dxa"/>
            <w:vAlign w:val="center"/>
          </w:tcPr>
          <w:p>
            <w:pPr>
              <w:autoSpaceDE w:val="0"/>
              <w:autoSpaceDN w:val="0"/>
              <w:adjustRightInd w:val="0"/>
              <w:snapToGrid w:val="0"/>
              <w:spacing w:line="320" w:lineRule="exact"/>
              <w:rPr>
                <w:rFonts w:ascii="Times New Roman" w:hAnsi="Times New Roman" w:eastAsia="仿宋_GB2312" w:cs="Times New Roman"/>
                <w:sz w:val="18"/>
                <w:szCs w:val="18"/>
              </w:rPr>
            </w:pPr>
            <w:r>
              <w:rPr>
                <w:rFonts w:ascii="Times New Roman" w:hAnsi="Times New Roman" w:eastAsia="仿宋_GB2312" w:cs="Times New Roman"/>
                <w:sz w:val="18"/>
                <w:szCs w:val="18"/>
              </w:rPr>
              <w:t>在采取措施降低危害前,不能继续作业,对改进措施进行评估</w:t>
            </w:r>
            <w:r>
              <w:rPr>
                <w:rFonts w:hint="eastAsia" w:ascii="Times New Roman" w:hAnsi="Times New Roman" w:eastAsia="仿宋_GB2312" w:cs="Times New Roman"/>
                <w:sz w:val="18"/>
                <w:szCs w:val="18"/>
              </w:rPr>
              <w:t>。</w:t>
            </w:r>
          </w:p>
        </w:tc>
        <w:tc>
          <w:tcPr>
            <w:tcW w:w="1812" w:type="dxa"/>
            <w:vAlign w:val="center"/>
          </w:tcPr>
          <w:p>
            <w:pPr>
              <w:jc w:val="center"/>
              <w:rPr>
                <w:rFonts w:ascii="Times New Roman" w:hAnsi="Times New Roman" w:eastAsia="仿宋_GB2312" w:cs="Times New Roman"/>
                <w:spacing w:val="20"/>
                <w:sz w:val="18"/>
                <w:szCs w:val="18"/>
              </w:rPr>
            </w:pPr>
            <w:r>
              <w:rPr>
                <w:rFonts w:ascii="Times New Roman" w:hAnsi="Times New Roman" w:eastAsia="仿宋_GB2312" w:cs="Times New Roman"/>
                <w:spacing w:val="20"/>
                <w:sz w:val="18"/>
                <w:szCs w:val="18"/>
              </w:rPr>
              <w:t>立刻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343" w:type="dxa"/>
            <w:tcBorders>
              <w:bottom w:val="single" w:color="auto" w:sz="4" w:space="0"/>
            </w:tcBorders>
            <w:shd w:val="clear" w:color="auto" w:fill="FFC000"/>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b/>
                <w:bCs/>
                <w:sz w:val="18"/>
                <w:szCs w:val="18"/>
              </w:rPr>
              <w:t>160～320</w:t>
            </w:r>
          </w:p>
        </w:tc>
        <w:tc>
          <w:tcPr>
            <w:tcW w:w="696"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2级</w:t>
            </w:r>
          </w:p>
        </w:tc>
        <w:tc>
          <w:tcPr>
            <w:tcW w:w="11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高度危险</w:t>
            </w:r>
          </w:p>
        </w:tc>
        <w:tc>
          <w:tcPr>
            <w:tcW w:w="3626" w:type="dxa"/>
            <w:vAlign w:val="center"/>
          </w:tcPr>
          <w:p>
            <w:pPr>
              <w:autoSpaceDE w:val="0"/>
              <w:autoSpaceDN w:val="0"/>
              <w:adjustRightInd w:val="0"/>
              <w:snapToGrid w:val="0"/>
              <w:spacing w:line="320" w:lineRule="exact"/>
              <w:rPr>
                <w:rFonts w:ascii="Times New Roman" w:hAnsi="Times New Roman" w:eastAsia="仿宋_GB2312" w:cs="Times New Roman"/>
                <w:sz w:val="18"/>
                <w:szCs w:val="18"/>
              </w:rPr>
            </w:pPr>
            <w:r>
              <w:rPr>
                <w:rFonts w:ascii="Times New Roman" w:hAnsi="Times New Roman" w:eastAsia="仿宋_GB2312" w:cs="Times New Roman"/>
                <w:sz w:val="18"/>
                <w:szCs w:val="18"/>
              </w:rPr>
              <w:t>采取紧急措施降低风险，建立运行控制程序，定期检查、测量及评估</w:t>
            </w:r>
            <w:r>
              <w:rPr>
                <w:rFonts w:hint="eastAsia" w:ascii="Times New Roman" w:hAnsi="Times New Roman" w:eastAsia="仿宋_GB2312" w:cs="Times New Roman"/>
                <w:sz w:val="18"/>
                <w:szCs w:val="18"/>
              </w:rPr>
              <w:t>。</w:t>
            </w:r>
          </w:p>
        </w:tc>
        <w:tc>
          <w:tcPr>
            <w:tcW w:w="1812" w:type="dxa"/>
            <w:vAlign w:val="center"/>
          </w:tcPr>
          <w:p>
            <w:pPr>
              <w:jc w:val="center"/>
              <w:rPr>
                <w:rFonts w:ascii="Times New Roman" w:hAnsi="Times New Roman" w:eastAsia="仿宋_GB2312" w:cs="Times New Roman"/>
                <w:spacing w:val="20"/>
                <w:sz w:val="18"/>
                <w:szCs w:val="18"/>
              </w:rPr>
            </w:pPr>
            <w:r>
              <w:rPr>
                <w:rFonts w:ascii="Times New Roman" w:hAnsi="Times New Roman" w:eastAsia="仿宋_GB2312" w:cs="Times New Roman"/>
                <w:spacing w:val="20"/>
                <w:sz w:val="18"/>
                <w:szCs w:val="18"/>
              </w:rPr>
              <w:t>立即或近期整改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343" w:type="dxa"/>
            <w:tcBorders>
              <w:bottom w:val="single" w:color="auto" w:sz="4" w:space="0"/>
            </w:tcBorders>
            <w:shd w:val="clear" w:color="auto" w:fill="FFFF00"/>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sz w:val="18"/>
                <w:szCs w:val="18"/>
              </w:rPr>
              <w:t>70～160</w:t>
            </w:r>
          </w:p>
        </w:tc>
        <w:tc>
          <w:tcPr>
            <w:tcW w:w="696"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3级</w:t>
            </w:r>
          </w:p>
        </w:tc>
        <w:tc>
          <w:tcPr>
            <w:tcW w:w="11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显著危险</w:t>
            </w:r>
          </w:p>
        </w:tc>
        <w:tc>
          <w:tcPr>
            <w:tcW w:w="3626" w:type="dxa"/>
            <w:vAlign w:val="center"/>
          </w:tcPr>
          <w:p>
            <w:pPr>
              <w:autoSpaceDE w:val="0"/>
              <w:autoSpaceDN w:val="0"/>
              <w:adjustRightInd w:val="0"/>
              <w:snapToGrid w:val="0"/>
              <w:spacing w:line="320" w:lineRule="exact"/>
              <w:rPr>
                <w:rFonts w:ascii="Times New Roman" w:hAnsi="Times New Roman" w:eastAsia="仿宋_GB2312" w:cs="Times New Roman"/>
                <w:sz w:val="18"/>
                <w:szCs w:val="18"/>
              </w:rPr>
            </w:pPr>
            <w:r>
              <w:rPr>
                <w:rFonts w:ascii="Times New Roman" w:hAnsi="Times New Roman" w:eastAsia="仿宋_GB2312" w:cs="Times New Roman"/>
                <w:sz w:val="18"/>
                <w:szCs w:val="18"/>
              </w:rPr>
              <w:t>可考虑建立目标、建立操作规程，加强培训及沟通</w:t>
            </w:r>
            <w:r>
              <w:rPr>
                <w:rFonts w:hint="eastAsia" w:ascii="Times New Roman" w:hAnsi="Times New Roman" w:eastAsia="仿宋_GB2312" w:cs="Times New Roman"/>
                <w:sz w:val="18"/>
                <w:szCs w:val="18"/>
              </w:rPr>
              <w:t>。</w:t>
            </w:r>
          </w:p>
        </w:tc>
        <w:tc>
          <w:tcPr>
            <w:tcW w:w="1812" w:type="dxa"/>
            <w:vAlign w:val="center"/>
          </w:tcPr>
          <w:p>
            <w:pPr>
              <w:jc w:val="center"/>
              <w:rPr>
                <w:rFonts w:ascii="Times New Roman" w:hAnsi="Times New Roman" w:eastAsia="仿宋_GB2312" w:cs="Times New Roman"/>
                <w:spacing w:val="20"/>
                <w:sz w:val="18"/>
                <w:szCs w:val="18"/>
              </w:rPr>
            </w:pPr>
            <w:r>
              <w:rPr>
                <w:rFonts w:ascii="Times New Roman" w:hAnsi="Times New Roman" w:eastAsia="仿宋_GB2312" w:cs="Times New Roman"/>
                <w:spacing w:val="20"/>
                <w:sz w:val="18"/>
                <w:szCs w:val="18"/>
              </w:rPr>
              <w:t>近期整改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1343" w:type="dxa"/>
            <w:tcBorders>
              <w:bottom w:val="single" w:color="auto" w:sz="4" w:space="0"/>
            </w:tcBorders>
            <w:shd w:val="clear" w:color="auto" w:fill="00B0F0"/>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sz w:val="18"/>
                <w:szCs w:val="18"/>
              </w:rPr>
              <w:t>20～70</w:t>
            </w:r>
          </w:p>
        </w:tc>
        <w:tc>
          <w:tcPr>
            <w:tcW w:w="696"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4-1级</w:t>
            </w:r>
          </w:p>
        </w:tc>
        <w:tc>
          <w:tcPr>
            <w:tcW w:w="11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轻度危险</w:t>
            </w:r>
          </w:p>
        </w:tc>
        <w:tc>
          <w:tcPr>
            <w:tcW w:w="3626" w:type="dxa"/>
            <w:vAlign w:val="center"/>
          </w:tcPr>
          <w:p>
            <w:pPr>
              <w:autoSpaceDE w:val="0"/>
              <w:autoSpaceDN w:val="0"/>
              <w:adjustRightInd w:val="0"/>
              <w:snapToGrid w:val="0"/>
              <w:spacing w:line="320" w:lineRule="exact"/>
              <w:rPr>
                <w:rFonts w:ascii="Times New Roman" w:hAnsi="Times New Roman" w:eastAsia="仿宋_GB2312" w:cs="Times New Roman"/>
                <w:sz w:val="18"/>
                <w:szCs w:val="18"/>
              </w:rPr>
            </w:pPr>
            <w:r>
              <w:rPr>
                <w:rFonts w:ascii="Times New Roman" w:hAnsi="Times New Roman" w:eastAsia="仿宋_GB2312" w:cs="Times New Roman"/>
                <w:sz w:val="18"/>
                <w:szCs w:val="18"/>
              </w:rPr>
              <w:t>可考虑建立操作规程、作业指导书，但需定期检查</w:t>
            </w:r>
            <w:r>
              <w:rPr>
                <w:rFonts w:hint="eastAsia" w:ascii="Times New Roman" w:hAnsi="Times New Roman" w:eastAsia="仿宋_GB2312" w:cs="Times New Roman"/>
                <w:sz w:val="18"/>
                <w:szCs w:val="18"/>
              </w:rPr>
              <w:t>。</w:t>
            </w:r>
          </w:p>
        </w:tc>
        <w:tc>
          <w:tcPr>
            <w:tcW w:w="1812" w:type="dxa"/>
            <w:vAlign w:val="center"/>
          </w:tcPr>
          <w:p>
            <w:pPr>
              <w:jc w:val="center"/>
              <w:rPr>
                <w:rFonts w:ascii="Times New Roman" w:hAnsi="Times New Roman" w:eastAsia="仿宋_GB2312" w:cs="Times New Roman"/>
                <w:spacing w:val="20"/>
                <w:sz w:val="18"/>
                <w:szCs w:val="18"/>
              </w:rPr>
            </w:pPr>
            <w:r>
              <w:rPr>
                <w:rFonts w:ascii="Times New Roman" w:hAnsi="Times New Roman" w:eastAsia="仿宋_GB2312" w:cs="Times New Roman"/>
                <w:spacing w:val="20"/>
                <w:sz w:val="18"/>
                <w:szCs w:val="18"/>
              </w:rPr>
              <w:t>有条件、有经费时治理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343" w:type="dxa"/>
            <w:shd w:val="clear" w:color="auto" w:fill="00B0F0"/>
            <w:vAlign w:val="center"/>
          </w:tcPr>
          <w:p>
            <w:pPr>
              <w:jc w:val="center"/>
              <w:rPr>
                <w:rFonts w:ascii="Times New Roman" w:hAnsi="Times New Roman" w:eastAsia="仿宋_GB2312" w:cs="Times New Roman"/>
                <w:b/>
                <w:bCs/>
                <w:spacing w:val="20"/>
                <w:sz w:val="18"/>
                <w:szCs w:val="18"/>
              </w:rPr>
            </w:pPr>
            <w:r>
              <w:rPr>
                <w:rFonts w:ascii="Times New Roman" w:hAnsi="Times New Roman" w:eastAsia="仿宋_GB2312" w:cs="Times New Roman"/>
                <w:sz w:val="18"/>
                <w:szCs w:val="18"/>
              </w:rPr>
              <w:t>&lt;20</w:t>
            </w:r>
          </w:p>
        </w:tc>
        <w:tc>
          <w:tcPr>
            <w:tcW w:w="696"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4-2级</w:t>
            </w:r>
          </w:p>
        </w:tc>
        <w:tc>
          <w:tcPr>
            <w:tcW w:w="1134" w:type="dxa"/>
            <w:vAlign w:val="center"/>
          </w:tcPr>
          <w:p>
            <w:pPr>
              <w:autoSpaceDE w:val="0"/>
              <w:autoSpaceDN w:val="0"/>
              <w:adjustRightInd w:val="0"/>
              <w:snapToGrid w:val="0"/>
              <w:jc w:val="center"/>
              <w:rPr>
                <w:rFonts w:ascii="Times New Roman" w:hAnsi="Times New Roman" w:eastAsia="仿宋_GB2312" w:cs="Times New Roman"/>
                <w:sz w:val="18"/>
                <w:szCs w:val="18"/>
              </w:rPr>
            </w:pPr>
            <w:r>
              <w:rPr>
                <w:rFonts w:ascii="Times New Roman" w:hAnsi="Times New Roman" w:eastAsia="仿宋_GB2312" w:cs="Times New Roman"/>
                <w:sz w:val="18"/>
                <w:szCs w:val="18"/>
              </w:rPr>
              <w:t>稍有危险</w:t>
            </w:r>
          </w:p>
        </w:tc>
        <w:tc>
          <w:tcPr>
            <w:tcW w:w="3626" w:type="dxa"/>
            <w:vAlign w:val="center"/>
          </w:tcPr>
          <w:p>
            <w:pPr>
              <w:autoSpaceDE w:val="0"/>
              <w:autoSpaceDN w:val="0"/>
              <w:adjustRightInd w:val="0"/>
              <w:snapToGrid w:val="0"/>
              <w:spacing w:line="320" w:lineRule="exact"/>
              <w:rPr>
                <w:rFonts w:ascii="Times New Roman" w:hAnsi="Times New Roman" w:eastAsia="仿宋_GB2312" w:cs="Times New Roman"/>
                <w:sz w:val="18"/>
                <w:szCs w:val="18"/>
              </w:rPr>
            </w:pPr>
            <w:r>
              <w:rPr>
                <w:rFonts w:ascii="Times New Roman" w:hAnsi="Times New Roman" w:eastAsia="仿宋_GB2312" w:cs="Times New Roman"/>
                <w:sz w:val="18"/>
                <w:szCs w:val="18"/>
              </w:rPr>
              <w:t>无需采用控制措施，但需保存记录</w:t>
            </w:r>
            <w:r>
              <w:rPr>
                <w:rFonts w:hint="eastAsia" w:ascii="Times New Roman" w:hAnsi="Times New Roman" w:eastAsia="仿宋_GB2312" w:cs="Times New Roman"/>
                <w:sz w:val="18"/>
                <w:szCs w:val="18"/>
              </w:rPr>
              <w:t>。</w:t>
            </w:r>
          </w:p>
        </w:tc>
        <w:tc>
          <w:tcPr>
            <w:tcW w:w="1812" w:type="dxa"/>
            <w:vAlign w:val="center"/>
          </w:tcPr>
          <w:p>
            <w:pPr>
              <w:jc w:val="center"/>
              <w:rPr>
                <w:rFonts w:ascii="Times New Roman" w:hAnsi="Times New Roman" w:eastAsia="仿宋_GB2312" w:cs="Times New Roman"/>
                <w:spacing w:val="20"/>
                <w:sz w:val="18"/>
                <w:szCs w:val="18"/>
              </w:rPr>
            </w:pPr>
            <w:r>
              <w:rPr>
                <w:rFonts w:ascii="Times New Roman" w:hAnsi="Times New Roman" w:eastAsia="仿宋_GB2312" w:cs="Times New Roman"/>
                <w:spacing w:val="20"/>
                <w:sz w:val="18"/>
                <w:szCs w:val="18"/>
              </w:rPr>
              <w:t>/</w:t>
            </w:r>
          </w:p>
        </w:tc>
      </w:tr>
    </w:tbl>
    <w:p>
      <w:pPr>
        <w:pStyle w:val="5"/>
        <w:spacing w:before="120" w:after="120" w:line="240" w:lineRule="auto"/>
        <w:rPr>
          <w:rFonts w:ascii="Times New Roman" w:hAnsi="Times New Roman" w:eastAsia="仿宋_GB2312" w:cs="Times New Roman"/>
          <w:sz w:val="32"/>
          <w:szCs w:val="32"/>
        </w:rPr>
      </w:pPr>
      <w:bookmarkStart w:id="43" w:name="_Toc20830"/>
      <w:r>
        <w:rPr>
          <w:rFonts w:ascii="Times New Roman" w:hAnsi="Times New Roman" w:eastAsia="仿宋_GB2312" w:cs="Times New Roman"/>
          <w:sz w:val="32"/>
          <w:szCs w:val="32"/>
        </w:rPr>
        <w:t>2.1.4工作危害分析（JHA）法</w:t>
      </w:r>
      <w:bookmarkEnd w:id="43"/>
    </w:p>
    <w:p>
      <w:pPr>
        <w:pStyle w:val="5"/>
        <w:spacing w:before="120" w:after="120" w:line="240" w:lineRule="auto"/>
        <w:ind w:firstLine="281" w:firstLineChars="100"/>
        <w:rPr>
          <w:rFonts w:ascii="Times New Roman" w:hAnsi="Times New Roman" w:eastAsia="仿宋_GB2312" w:cs="Times New Roman"/>
        </w:rPr>
      </w:pPr>
      <w:bookmarkStart w:id="44" w:name="_Toc17028"/>
      <w:r>
        <w:rPr>
          <w:rFonts w:ascii="Times New Roman" w:hAnsi="Times New Roman" w:eastAsia="仿宋_GB2312" w:cs="Times New Roman"/>
        </w:rPr>
        <w:t>2.1.4.1工作危害分析方法概述</w:t>
      </w:r>
      <w:bookmarkEnd w:id="44"/>
    </w:p>
    <w:p>
      <w:pPr>
        <w:pStyle w:val="30"/>
        <w:ind w:firstLine="640"/>
        <w:rPr>
          <w:rFonts w:ascii="Times New Roman" w:eastAsia="仿宋_GB2312"/>
          <w:sz w:val="32"/>
          <w:szCs w:val="32"/>
        </w:rPr>
      </w:pPr>
      <w:r>
        <w:rPr>
          <w:rFonts w:ascii="Times New Roman" w:eastAsia="仿宋_GB2312"/>
          <w:sz w:val="32"/>
          <w:szCs w:val="32"/>
        </w:rPr>
        <w:t>工作危害分析方法(Job Hazard Analysis，简称JHA)，是一种比较细致的分析作业过程中存在危害的方法。它将一项工作活动分解为相关联的若干个步骤，识别出每个步骤中的危害，并设法控制事故的发生。</w:t>
      </w:r>
    </w:p>
    <w:p>
      <w:pPr>
        <w:pStyle w:val="30"/>
        <w:ind w:firstLine="640"/>
        <w:rPr>
          <w:rFonts w:ascii="Times New Roman" w:eastAsia="仿宋_GB2312"/>
          <w:sz w:val="28"/>
          <w:szCs w:val="28"/>
        </w:rPr>
      </w:pPr>
      <w:r>
        <w:rPr>
          <w:rFonts w:ascii="Times New Roman" w:eastAsia="仿宋_GB2312"/>
          <w:sz w:val="32"/>
          <w:szCs w:val="32"/>
        </w:rPr>
        <w:t>这是一种定量的方法，先辨识出工作中的危害，然后根据“风险度R=风险发生的概率L×后果S”的公式来计算出风险度数值，通过风险度数值大小来确定风险</w:t>
      </w:r>
      <w:r>
        <w:rPr>
          <w:rFonts w:hint="eastAsia" w:ascii="Times New Roman" w:eastAsia="仿宋_GB2312"/>
          <w:sz w:val="32"/>
          <w:szCs w:val="32"/>
        </w:rPr>
        <w:t>等级</w:t>
      </w:r>
      <w:r>
        <w:rPr>
          <w:rFonts w:ascii="Times New Roman" w:eastAsia="仿宋_GB2312"/>
          <w:sz w:val="32"/>
          <w:szCs w:val="32"/>
        </w:rPr>
        <w:t>，根据风险等级大小补充相应的控制缺少的控制措施。</w:t>
      </w:r>
    </w:p>
    <w:p>
      <w:pPr>
        <w:pStyle w:val="5"/>
        <w:spacing w:before="120" w:after="120" w:line="240" w:lineRule="auto"/>
        <w:ind w:firstLine="281" w:firstLineChars="100"/>
        <w:rPr>
          <w:rFonts w:ascii="Times New Roman" w:hAnsi="Times New Roman" w:eastAsia="仿宋_GB2312" w:cs="Times New Roman"/>
        </w:rPr>
      </w:pPr>
      <w:bookmarkStart w:id="45" w:name="_Toc20407"/>
      <w:r>
        <w:rPr>
          <w:rFonts w:ascii="Times New Roman" w:hAnsi="Times New Roman" w:eastAsia="仿宋_GB2312" w:cs="Times New Roman"/>
        </w:rPr>
        <w:t>2.1.4.2工作危害分析法各因素取值判定依据</w:t>
      </w:r>
      <w:bookmarkEnd w:id="45"/>
    </w:p>
    <w:p>
      <w:pPr>
        <w:pStyle w:val="37"/>
        <w:tabs>
          <w:tab w:val="clear" w:pos="180"/>
        </w:tabs>
        <w:spacing w:before="240" w:beforeLines="0" w:afterLines="0"/>
        <w:rPr>
          <w:rFonts w:ascii="Times New Roman" w:eastAsia="仿宋_GB2312"/>
        </w:rPr>
      </w:pPr>
      <w:r>
        <w:rPr>
          <w:rFonts w:ascii="Times New Roman" w:eastAsia="仿宋_GB2312"/>
        </w:rPr>
        <w:t>表2.1.4-1  危害发生的可能性（L）取值判定依据</w:t>
      </w:r>
    </w:p>
    <w:tbl>
      <w:tblPr>
        <w:tblStyle w:val="18"/>
        <w:tblW w:w="8647"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87"/>
        <w:gridCol w:w="1247"/>
        <w:gridCol w:w="1264"/>
        <w:gridCol w:w="1275"/>
        <w:gridCol w:w="1714"/>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trPr>
        <w:tc>
          <w:tcPr>
            <w:tcW w:w="887"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分数</w:t>
            </w:r>
          </w:p>
        </w:tc>
        <w:tc>
          <w:tcPr>
            <w:tcW w:w="1247"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偏差发生频率</w:t>
            </w:r>
          </w:p>
        </w:tc>
        <w:tc>
          <w:tcPr>
            <w:tcW w:w="1264"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安全检查</w:t>
            </w:r>
          </w:p>
        </w:tc>
        <w:tc>
          <w:tcPr>
            <w:tcW w:w="1275"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操作规程或有针对性的管理方案</w:t>
            </w:r>
          </w:p>
        </w:tc>
        <w:tc>
          <w:tcPr>
            <w:tcW w:w="1714"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员工胜任程度（意识、技能、经验）</w:t>
            </w:r>
          </w:p>
        </w:tc>
        <w:tc>
          <w:tcPr>
            <w:tcW w:w="2260"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监测、控制、报警、联锁、补救措施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8" w:hRule="atLeast"/>
        </w:trPr>
        <w:tc>
          <w:tcPr>
            <w:tcW w:w="88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5</w:t>
            </w:r>
          </w:p>
        </w:tc>
        <w:tc>
          <w:tcPr>
            <w:tcW w:w="124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每天、经常发生、几乎每次作业发生</w:t>
            </w:r>
          </w:p>
        </w:tc>
        <w:tc>
          <w:tcPr>
            <w:tcW w:w="126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从不按标准检查</w:t>
            </w:r>
          </w:p>
        </w:tc>
        <w:tc>
          <w:tcPr>
            <w:tcW w:w="127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没有</w:t>
            </w:r>
          </w:p>
        </w:tc>
        <w:tc>
          <w:tcPr>
            <w:tcW w:w="171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不胜任（无任何培训、无任何经验、无上岗资格证）</w:t>
            </w:r>
          </w:p>
        </w:tc>
        <w:tc>
          <w:tcPr>
            <w:tcW w:w="226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无任何措施，或有措施从未使用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5" w:hRule="atLeast"/>
        </w:trPr>
        <w:tc>
          <w:tcPr>
            <w:tcW w:w="88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4</w:t>
            </w:r>
          </w:p>
        </w:tc>
        <w:tc>
          <w:tcPr>
            <w:tcW w:w="124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每月发生</w:t>
            </w:r>
          </w:p>
        </w:tc>
        <w:tc>
          <w:tcPr>
            <w:tcW w:w="126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很少按标准检查、检查手段单一，走马观花</w:t>
            </w:r>
          </w:p>
        </w:tc>
        <w:tc>
          <w:tcPr>
            <w:tcW w:w="127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 xml:space="preserve">有，但不完善，但只是偶尔执行 </w:t>
            </w:r>
          </w:p>
        </w:tc>
        <w:tc>
          <w:tcPr>
            <w:tcW w:w="171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不够胜任（有上岗资格证，但没有接受有效培训）</w:t>
            </w:r>
          </w:p>
        </w:tc>
        <w:tc>
          <w:tcPr>
            <w:tcW w:w="226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有措施，但只是一部分，尚不完善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8" w:hRule="atLeast"/>
        </w:trPr>
        <w:tc>
          <w:tcPr>
            <w:tcW w:w="88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124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每季度发生</w:t>
            </w:r>
          </w:p>
        </w:tc>
        <w:tc>
          <w:tcPr>
            <w:tcW w:w="126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经常不按标准检查、检查手段一般</w:t>
            </w:r>
          </w:p>
        </w:tc>
        <w:tc>
          <w:tcPr>
            <w:tcW w:w="127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有，比较完善，但只是部分执行</w:t>
            </w:r>
          </w:p>
        </w:tc>
        <w:tc>
          <w:tcPr>
            <w:tcW w:w="171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一般胜任（有上岗证，有培训，但经验不足，多次出差错）</w:t>
            </w:r>
          </w:p>
        </w:tc>
        <w:tc>
          <w:tcPr>
            <w:tcW w:w="226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防范控制措施比较有效、全面、充分，但经常没有效使用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8" w:hRule="atLeast"/>
        </w:trPr>
        <w:tc>
          <w:tcPr>
            <w:tcW w:w="88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2</w:t>
            </w:r>
          </w:p>
        </w:tc>
        <w:tc>
          <w:tcPr>
            <w:tcW w:w="124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曾经发生</w:t>
            </w:r>
          </w:p>
        </w:tc>
        <w:tc>
          <w:tcPr>
            <w:tcW w:w="126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偶尔不按标准检查、检查手段较先进、充分、全面</w:t>
            </w:r>
          </w:p>
        </w:tc>
        <w:tc>
          <w:tcPr>
            <w:tcW w:w="127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有，详实、完善，但偶尔不执行</w:t>
            </w:r>
          </w:p>
        </w:tc>
        <w:tc>
          <w:tcPr>
            <w:tcW w:w="171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胜任，但偶然出差错</w:t>
            </w:r>
          </w:p>
        </w:tc>
        <w:tc>
          <w:tcPr>
            <w:tcW w:w="226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防范控制措施有效、全面、充分，偶尔失去作用或出差错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8" w:hRule="atLeast"/>
        </w:trPr>
        <w:tc>
          <w:tcPr>
            <w:tcW w:w="88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1</w:t>
            </w:r>
          </w:p>
        </w:tc>
        <w:tc>
          <w:tcPr>
            <w:tcW w:w="1247"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从未发生</w:t>
            </w:r>
          </w:p>
        </w:tc>
        <w:tc>
          <w:tcPr>
            <w:tcW w:w="126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严格按检查标准检查、检查手段先进、充分、全面</w:t>
            </w:r>
          </w:p>
        </w:tc>
        <w:tc>
          <w:tcPr>
            <w:tcW w:w="127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有详实、完善，而且严格执行</w:t>
            </w:r>
          </w:p>
        </w:tc>
        <w:tc>
          <w:tcPr>
            <w:tcW w:w="1714"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高度胜任（培训充分，经验丰富，安全意识强）</w:t>
            </w:r>
          </w:p>
        </w:tc>
        <w:tc>
          <w:tcPr>
            <w:tcW w:w="226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防范控制措施有效、全面、充分。</w:t>
            </w:r>
          </w:p>
        </w:tc>
      </w:tr>
    </w:tbl>
    <w:p>
      <w:pPr>
        <w:pStyle w:val="37"/>
        <w:tabs>
          <w:tab w:val="clear" w:pos="180"/>
        </w:tabs>
        <w:spacing w:before="240" w:beforeLines="0" w:afterLines="0"/>
        <w:rPr>
          <w:rFonts w:ascii="Times New Roman" w:eastAsia="仿宋_GB2312"/>
        </w:rPr>
      </w:pPr>
      <w:r>
        <w:rPr>
          <w:rFonts w:ascii="Times New Roman" w:eastAsia="仿宋_GB2312"/>
        </w:rPr>
        <w:t>表2.1.4-2  危害及影响后果的严重性（S）取值判定依据</w:t>
      </w:r>
    </w:p>
    <w:tbl>
      <w:tblPr>
        <w:tblStyle w:val="18"/>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1"/>
        <w:gridCol w:w="1338"/>
        <w:gridCol w:w="930"/>
        <w:gridCol w:w="992"/>
        <w:gridCol w:w="1663"/>
        <w:gridCol w:w="1395"/>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jc w:val="center"/>
        </w:trPr>
        <w:tc>
          <w:tcPr>
            <w:tcW w:w="851"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分值</w:t>
            </w:r>
          </w:p>
        </w:tc>
        <w:tc>
          <w:tcPr>
            <w:tcW w:w="1338"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法律、法规及其他要求</w:t>
            </w:r>
          </w:p>
        </w:tc>
        <w:tc>
          <w:tcPr>
            <w:tcW w:w="930"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人</w:t>
            </w:r>
          </w:p>
        </w:tc>
        <w:tc>
          <w:tcPr>
            <w:tcW w:w="992"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财产</w:t>
            </w:r>
          </w:p>
        </w:tc>
        <w:tc>
          <w:tcPr>
            <w:tcW w:w="1663"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停工</w:t>
            </w:r>
          </w:p>
        </w:tc>
        <w:tc>
          <w:tcPr>
            <w:tcW w:w="1395"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环境污染、资源消耗</w:t>
            </w:r>
          </w:p>
        </w:tc>
        <w:tc>
          <w:tcPr>
            <w:tcW w:w="1478" w:type="dxa"/>
            <w:tcMar>
              <w:top w:w="72" w:type="dxa"/>
              <w:left w:w="144" w:type="dxa"/>
              <w:bottom w:w="72" w:type="dxa"/>
              <w:right w:w="144" w:type="dxa"/>
            </w:tcMar>
            <w:vAlign w:val="center"/>
          </w:tcPr>
          <w:p>
            <w:pPr>
              <w:jc w:val="center"/>
              <w:rPr>
                <w:rFonts w:ascii="Times New Roman" w:hAnsi="Times New Roman" w:eastAsia="仿宋_GB2312" w:cs="Times New Roman"/>
                <w:b/>
                <w:sz w:val="18"/>
                <w:szCs w:val="18"/>
              </w:rPr>
            </w:pPr>
            <w:r>
              <w:rPr>
                <w:rFonts w:ascii="Times New Roman" w:hAnsi="Times New Roman" w:eastAsia="仿宋_GB2312" w:cs="Times New Roman"/>
                <w:b/>
                <w:sz w:val="18"/>
                <w:szCs w:val="18"/>
              </w:rPr>
              <w:t>公司形象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0" w:hRule="atLeast"/>
          <w:jc w:val="center"/>
        </w:trPr>
        <w:tc>
          <w:tcPr>
            <w:tcW w:w="851"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5</w:t>
            </w:r>
          </w:p>
        </w:tc>
        <w:tc>
          <w:tcPr>
            <w:tcW w:w="133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违反法律、法规</w:t>
            </w:r>
          </w:p>
        </w:tc>
        <w:tc>
          <w:tcPr>
            <w:tcW w:w="93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发生死亡</w:t>
            </w:r>
          </w:p>
        </w:tc>
        <w:tc>
          <w:tcPr>
            <w:tcW w:w="992"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&gt;50</w:t>
            </w:r>
          </w:p>
        </w:tc>
        <w:tc>
          <w:tcPr>
            <w:tcW w:w="1663"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主要装置停工</w:t>
            </w:r>
          </w:p>
        </w:tc>
        <w:tc>
          <w:tcPr>
            <w:tcW w:w="139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大规模、公司外</w:t>
            </w:r>
          </w:p>
        </w:tc>
        <w:tc>
          <w:tcPr>
            <w:tcW w:w="147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重大国内影响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0" w:hRule="atLeast"/>
          <w:jc w:val="center"/>
        </w:trPr>
        <w:tc>
          <w:tcPr>
            <w:tcW w:w="851"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4</w:t>
            </w:r>
          </w:p>
        </w:tc>
        <w:tc>
          <w:tcPr>
            <w:tcW w:w="133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潜在违反法规</w:t>
            </w:r>
          </w:p>
        </w:tc>
        <w:tc>
          <w:tcPr>
            <w:tcW w:w="93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丧失劳动</w:t>
            </w:r>
          </w:p>
        </w:tc>
        <w:tc>
          <w:tcPr>
            <w:tcW w:w="992"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&gt;30</w:t>
            </w:r>
          </w:p>
        </w:tc>
        <w:tc>
          <w:tcPr>
            <w:tcW w:w="1663"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主要装置或设备部分停工</w:t>
            </w:r>
          </w:p>
        </w:tc>
        <w:tc>
          <w:tcPr>
            <w:tcW w:w="139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企业内严重污染</w:t>
            </w:r>
          </w:p>
        </w:tc>
        <w:tc>
          <w:tcPr>
            <w:tcW w:w="147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行业内、省内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6" w:hRule="atLeast"/>
          <w:jc w:val="center"/>
        </w:trPr>
        <w:tc>
          <w:tcPr>
            <w:tcW w:w="851"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3</w:t>
            </w:r>
          </w:p>
        </w:tc>
        <w:tc>
          <w:tcPr>
            <w:tcW w:w="133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不符合企业的安全生产方针、制度、规定</w:t>
            </w:r>
          </w:p>
        </w:tc>
        <w:tc>
          <w:tcPr>
            <w:tcW w:w="93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6-10级工伤</w:t>
            </w:r>
          </w:p>
        </w:tc>
        <w:tc>
          <w:tcPr>
            <w:tcW w:w="992"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&gt;10</w:t>
            </w:r>
          </w:p>
        </w:tc>
        <w:tc>
          <w:tcPr>
            <w:tcW w:w="1663"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一般装置或设备停工</w:t>
            </w:r>
          </w:p>
        </w:tc>
        <w:tc>
          <w:tcPr>
            <w:tcW w:w="139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企业内范围内中等污染</w:t>
            </w:r>
          </w:p>
        </w:tc>
        <w:tc>
          <w:tcPr>
            <w:tcW w:w="147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市内影响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27" w:hRule="atLeast"/>
          <w:jc w:val="center"/>
        </w:trPr>
        <w:tc>
          <w:tcPr>
            <w:tcW w:w="851"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2</w:t>
            </w:r>
          </w:p>
        </w:tc>
        <w:tc>
          <w:tcPr>
            <w:tcW w:w="133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不符合企业的操作程序、规定</w:t>
            </w:r>
          </w:p>
        </w:tc>
        <w:tc>
          <w:tcPr>
            <w:tcW w:w="930"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轻微受伤、间歇不适</w:t>
            </w:r>
          </w:p>
        </w:tc>
        <w:tc>
          <w:tcPr>
            <w:tcW w:w="992"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&lt;10</w:t>
            </w:r>
          </w:p>
        </w:tc>
        <w:tc>
          <w:tcPr>
            <w:tcW w:w="1663"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受影响不大，几乎不停工</w:t>
            </w:r>
          </w:p>
        </w:tc>
        <w:tc>
          <w:tcPr>
            <w:tcW w:w="1395"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装置范围  污 染</w:t>
            </w:r>
          </w:p>
        </w:tc>
        <w:tc>
          <w:tcPr>
            <w:tcW w:w="1478" w:type="dxa"/>
            <w:tcMar>
              <w:top w:w="72" w:type="dxa"/>
              <w:left w:w="144" w:type="dxa"/>
              <w:bottom w:w="72" w:type="dxa"/>
              <w:right w:w="144" w:type="dxa"/>
            </w:tcMar>
            <w:vAlign w:val="center"/>
          </w:tcPr>
          <w:p>
            <w:pPr>
              <w:rPr>
                <w:rFonts w:ascii="Times New Roman" w:hAnsi="Times New Roman" w:eastAsia="仿宋_GB2312" w:cs="Times New Roman"/>
                <w:sz w:val="18"/>
                <w:szCs w:val="18"/>
              </w:rPr>
            </w:pPr>
            <w:r>
              <w:rPr>
                <w:rFonts w:ascii="Times New Roman" w:hAnsi="Times New Roman" w:eastAsia="仿宋_GB2312" w:cs="Times New Roman"/>
                <w:sz w:val="18"/>
                <w:szCs w:val="18"/>
              </w:rPr>
              <w:t>企业及周边区内影响</w:t>
            </w:r>
          </w:p>
        </w:tc>
      </w:tr>
    </w:tbl>
    <w:p>
      <w:pPr>
        <w:pStyle w:val="30"/>
        <w:ind w:firstLine="560"/>
        <w:rPr>
          <w:rFonts w:ascii="Times New Roman" w:eastAsia="仿宋_GB2312"/>
          <w:sz w:val="28"/>
          <w:szCs w:val="28"/>
        </w:rPr>
      </w:pPr>
      <w:r>
        <w:rPr>
          <w:rFonts w:ascii="Times New Roman" w:eastAsia="仿宋_GB2312"/>
          <w:sz w:val="28"/>
          <w:szCs w:val="28"/>
        </w:rPr>
        <w:t>3）风险度计算</w:t>
      </w:r>
    </w:p>
    <w:p>
      <w:pPr>
        <w:pStyle w:val="30"/>
        <w:ind w:firstLine="504"/>
        <w:rPr>
          <w:rFonts w:ascii="Times New Roman" w:eastAsia="仿宋_GB2312"/>
          <w:w w:val="90"/>
          <w:sz w:val="28"/>
          <w:szCs w:val="28"/>
        </w:rPr>
      </w:pPr>
      <w:r>
        <w:rPr>
          <w:rFonts w:ascii="Times New Roman" w:eastAsia="仿宋_GB2312"/>
          <w:w w:val="90"/>
          <w:sz w:val="28"/>
          <w:szCs w:val="28"/>
        </w:rPr>
        <w:t>风险度等于事故发生可能性与事故后果严重性的乘积，即R=L × S</w:t>
      </w:r>
    </w:p>
    <w:p>
      <w:pPr>
        <w:pStyle w:val="30"/>
        <w:jc w:val="center"/>
        <w:rPr>
          <w:rFonts w:ascii="Times New Roman" w:eastAsia="仿宋_GB2312"/>
          <w:w w:val="90"/>
          <w:sz w:val="28"/>
          <w:szCs w:val="28"/>
        </w:rPr>
      </w:pPr>
      <w:r>
        <w:rPr>
          <w:rFonts w:ascii="Times New Roman" w:eastAsia="仿宋_GB2312"/>
        </w:rPr>
        <w:t>表2.1.4-3  风险等级判定准则及控制措施</w:t>
      </w:r>
    </w:p>
    <w:tbl>
      <w:tblPr>
        <w:tblStyle w:val="18"/>
        <w:tblW w:w="8647" w:type="dxa"/>
        <w:tblInd w:w="-152" w:type="dxa"/>
        <w:tblLayout w:type="fixed"/>
        <w:tblCellMar>
          <w:top w:w="0" w:type="dxa"/>
          <w:left w:w="0" w:type="dxa"/>
          <w:bottom w:w="0" w:type="dxa"/>
          <w:right w:w="0" w:type="dxa"/>
        </w:tblCellMar>
      </w:tblPr>
      <w:tblGrid>
        <w:gridCol w:w="1289"/>
        <w:gridCol w:w="1134"/>
        <w:gridCol w:w="708"/>
        <w:gridCol w:w="3430"/>
        <w:gridCol w:w="2086"/>
      </w:tblGrid>
      <w:tr>
        <w:tblPrEx>
          <w:tblCellMar>
            <w:top w:w="0" w:type="dxa"/>
            <w:left w:w="0" w:type="dxa"/>
            <w:bottom w:w="0" w:type="dxa"/>
            <w:right w:w="0" w:type="dxa"/>
          </w:tblCellMar>
        </w:tblPrEx>
        <w:trPr>
          <w:trHeight w:val="425" w:hRule="atLeast"/>
        </w:trPr>
        <w:tc>
          <w:tcPr>
            <w:tcW w:w="1289"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rPr>
                <w:rFonts w:ascii="Times New Roman" w:hAnsi="Times New Roman" w:eastAsia="仿宋_GB2312" w:cs="Times New Roman"/>
              </w:rPr>
            </w:pPr>
            <w:r>
              <w:rPr>
                <w:rFonts w:ascii="Times New Roman" w:hAnsi="Times New Roman" w:eastAsia="仿宋_GB2312" w:cs="Times New Roman"/>
                <w:b/>
                <w:bCs/>
              </w:rPr>
              <w:t>风险度R</w:t>
            </w:r>
          </w:p>
        </w:tc>
        <w:tc>
          <w:tcPr>
            <w:tcW w:w="1842" w:type="dxa"/>
            <w:gridSpan w:val="2"/>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rPr>
                <w:rFonts w:ascii="Times New Roman" w:hAnsi="Times New Roman" w:eastAsia="仿宋_GB2312" w:cs="Times New Roman"/>
              </w:rPr>
            </w:pPr>
            <w:r>
              <w:rPr>
                <w:rFonts w:ascii="Times New Roman" w:hAnsi="Times New Roman" w:eastAsia="仿宋_GB2312" w:cs="Times New Roman"/>
                <w:b/>
                <w:bCs/>
              </w:rPr>
              <w:t>等级</w:t>
            </w:r>
          </w:p>
        </w:tc>
        <w:tc>
          <w:tcPr>
            <w:tcW w:w="343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rPr>
                <w:rFonts w:ascii="Times New Roman" w:hAnsi="Times New Roman" w:eastAsia="仿宋_GB2312" w:cs="Times New Roman"/>
              </w:rPr>
            </w:pPr>
            <w:r>
              <w:rPr>
                <w:rFonts w:ascii="Times New Roman" w:hAnsi="Times New Roman" w:eastAsia="仿宋_GB2312" w:cs="Times New Roman"/>
                <w:b/>
                <w:bCs/>
              </w:rPr>
              <w:t>应采取的行动/控制措施</w:t>
            </w:r>
          </w:p>
        </w:tc>
        <w:tc>
          <w:tcPr>
            <w:tcW w:w="2086"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rPr>
                <w:rFonts w:ascii="Times New Roman" w:hAnsi="Times New Roman" w:eastAsia="仿宋_GB2312" w:cs="Times New Roman"/>
              </w:rPr>
            </w:pPr>
            <w:r>
              <w:rPr>
                <w:rFonts w:ascii="Times New Roman" w:hAnsi="Times New Roman" w:eastAsia="仿宋_GB2312" w:cs="Times New Roman"/>
                <w:b/>
                <w:bCs/>
              </w:rPr>
              <w:t>实施期限</w:t>
            </w:r>
          </w:p>
        </w:tc>
      </w:tr>
      <w:tr>
        <w:tblPrEx>
          <w:tblCellMar>
            <w:top w:w="0" w:type="dxa"/>
            <w:left w:w="0" w:type="dxa"/>
            <w:bottom w:w="0" w:type="dxa"/>
            <w:right w:w="0" w:type="dxa"/>
          </w:tblCellMar>
        </w:tblPrEx>
        <w:trPr>
          <w:trHeight w:val="1073" w:hRule="atLeast"/>
        </w:trPr>
        <w:tc>
          <w:tcPr>
            <w:tcW w:w="1289"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20－25</w:t>
            </w:r>
          </w:p>
        </w:tc>
        <w:tc>
          <w:tcPr>
            <w:tcW w:w="1134"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不可容忍</w:t>
            </w:r>
          </w:p>
        </w:tc>
        <w:tc>
          <w:tcPr>
            <w:tcW w:w="708"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1</w:t>
            </w:r>
          </w:p>
        </w:tc>
        <w:tc>
          <w:tcPr>
            <w:tcW w:w="3430"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在采取措施降低危害前,不能继续作业,对改进措施进行评估</w:t>
            </w:r>
          </w:p>
        </w:tc>
        <w:tc>
          <w:tcPr>
            <w:tcW w:w="2086"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pPr>
              <w:rPr>
                <w:rFonts w:ascii="Times New Roman" w:hAnsi="Times New Roman" w:eastAsia="仿宋_GB2312" w:cs="Times New Roman"/>
                <w:b/>
                <w:bCs/>
              </w:rPr>
            </w:pPr>
            <w:r>
              <w:rPr>
                <w:rFonts w:ascii="Times New Roman" w:hAnsi="Times New Roman" w:eastAsia="仿宋_GB2312" w:cs="Times New Roman"/>
                <w:b/>
                <w:bCs/>
              </w:rPr>
              <w:t>立刻</w:t>
            </w:r>
            <w:r>
              <w:rPr>
                <w:rFonts w:hint="eastAsia" w:ascii="Times New Roman" w:hAnsi="Times New Roman" w:eastAsia="仿宋_GB2312" w:cs="Times New Roman"/>
                <w:b/>
                <w:bCs/>
              </w:rPr>
              <w:t>整改</w:t>
            </w:r>
          </w:p>
        </w:tc>
      </w:tr>
      <w:tr>
        <w:tblPrEx>
          <w:tblCellMar>
            <w:top w:w="0" w:type="dxa"/>
            <w:left w:w="0" w:type="dxa"/>
            <w:bottom w:w="0" w:type="dxa"/>
            <w:right w:w="0" w:type="dxa"/>
          </w:tblCellMar>
        </w:tblPrEx>
        <w:trPr>
          <w:trHeight w:val="748" w:hRule="atLeast"/>
        </w:trPr>
        <w:tc>
          <w:tcPr>
            <w:tcW w:w="1289"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13-16</w:t>
            </w:r>
          </w:p>
        </w:tc>
        <w:tc>
          <w:tcPr>
            <w:tcW w:w="1134"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重大风险</w:t>
            </w:r>
          </w:p>
        </w:tc>
        <w:tc>
          <w:tcPr>
            <w:tcW w:w="708"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2</w:t>
            </w:r>
          </w:p>
        </w:tc>
        <w:tc>
          <w:tcPr>
            <w:tcW w:w="3430"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制定计划，更改操作规程，降低风险，持续改进</w:t>
            </w:r>
          </w:p>
        </w:tc>
        <w:tc>
          <w:tcPr>
            <w:tcW w:w="2086"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pPr>
              <w:rPr>
                <w:rFonts w:ascii="Times New Roman" w:hAnsi="Times New Roman" w:eastAsia="仿宋_GB2312" w:cs="Times New Roman"/>
                <w:b/>
                <w:bCs/>
              </w:rPr>
            </w:pPr>
            <w:r>
              <w:rPr>
                <w:rFonts w:ascii="Times New Roman" w:hAnsi="Times New Roman" w:eastAsia="仿宋_GB2312" w:cs="Times New Roman"/>
                <w:b/>
                <w:bCs/>
              </w:rPr>
              <w:t>立即或近期整改</w:t>
            </w:r>
          </w:p>
        </w:tc>
      </w:tr>
      <w:tr>
        <w:tblPrEx>
          <w:tblCellMar>
            <w:top w:w="0" w:type="dxa"/>
            <w:left w:w="0" w:type="dxa"/>
            <w:bottom w:w="0" w:type="dxa"/>
            <w:right w:w="0" w:type="dxa"/>
          </w:tblCellMar>
        </w:tblPrEx>
        <w:trPr>
          <w:trHeight w:val="748" w:hRule="atLeast"/>
        </w:trPr>
        <w:tc>
          <w:tcPr>
            <w:tcW w:w="1289"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9—12</w:t>
            </w:r>
          </w:p>
        </w:tc>
        <w:tc>
          <w:tcPr>
            <w:tcW w:w="1134"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中等</w:t>
            </w:r>
          </w:p>
        </w:tc>
        <w:tc>
          <w:tcPr>
            <w:tcW w:w="708"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3</w:t>
            </w:r>
          </w:p>
        </w:tc>
        <w:tc>
          <w:tcPr>
            <w:tcW w:w="3430"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可考虑建立目标、建立操作规程，加强培训及沟通</w:t>
            </w:r>
          </w:p>
        </w:tc>
        <w:tc>
          <w:tcPr>
            <w:tcW w:w="2086"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pPr>
              <w:rPr>
                <w:rFonts w:ascii="Times New Roman" w:hAnsi="Times New Roman" w:eastAsia="仿宋_GB2312" w:cs="Times New Roman"/>
                <w:b/>
                <w:bCs/>
              </w:rPr>
            </w:pPr>
            <w:r>
              <w:rPr>
                <w:rFonts w:ascii="Times New Roman" w:hAnsi="Times New Roman" w:eastAsia="仿宋_GB2312" w:cs="Times New Roman"/>
                <w:b/>
                <w:bCs/>
              </w:rPr>
              <w:t>近期整改</w:t>
            </w:r>
          </w:p>
        </w:tc>
      </w:tr>
      <w:tr>
        <w:tblPrEx>
          <w:tblCellMar>
            <w:top w:w="0" w:type="dxa"/>
            <w:left w:w="0" w:type="dxa"/>
            <w:bottom w:w="0" w:type="dxa"/>
            <w:right w:w="0" w:type="dxa"/>
          </w:tblCellMar>
        </w:tblPrEx>
        <w:trPr>
          <w:trHeight w:val="748" w:hRule="atLeast"/>
        </w:trPr>
        <w:tc>
          <w:tcPr>
            <w:tcW w:w="1289"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4—8</w:t>
            </w:r>
          </w:p>
        </w:tc>
        <w:tc>
          <w:tcPr>
            <w:tcW w:w="1134"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可容忍</w:t>
            </w:r>
          </w:p>
        </w:tc>
        <w:tc>
          <w:tcPr>
            <w:tcW w:w="708"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4-1</w:t>
            </w:r>
          </w:p>
        </w:tc>
        <w:tc>
          <w:tcPr>
            <w:tcW w:w="3430"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可考虑建立操作规程、作业指导书但需定期检查</w:t>
            </w:r>
          </w:p>
        </w:tc>
        <w:tc>
          <w:tcPr>
            <w:tcW w:w="2086"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b/>
                <w:bCs/>
              </w:rPr>
            </w:pPr>
            <w:r>
              <w:rPr>
                <w:rFonts w:ascii="Times New Roman" w:hAnsi="Times New Roman" w:eastAsia="仿宋_GB2312" w:cs="Times New Roman"/>
                <w:b/>
                <w:bCs/>
              </w:rPr>
              <w:t>有条件、有经费时治理</w:t>
            </w:r>
          </w:p>
        </w:tc>
      </w:tr>
      <w:tr>
        <w:tblPrEx>
          <w:tblCellMar>
            <w:top w:w="0" w:type="dxa"/>
            <w:left w:w="0" w:type="dxa"/>
            <w:bottom w:w="0" w:type="dxa"/>
            <w:right w:w="0" w:type="dxa"/>
          </w:tblCellMar>
        </w:tblPrEx>
        <w:trPr>
          <w:trHeight w:val="1075" w:hRule="atLeast"/>
        </w:trPr>
        <w:tc>
          <w:tcPr>
            <w:tcW w:w="1289"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&lt;4</w:t>
            </w:r>
          </w:p>
        </w:tc>
        <w:tc>
          <w:tcPr>
            <w:tcW w:w="1134"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轻微或可忽略的风险</w:t>
            </w:r>
          </w:p>
        </w:tc>
        <w:tc>
          <w:tcPr>
            <w:tcW w:w="708"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4-2</w:t>
            </w:r>
          </w:p>
        </w:tc>
        <w:tc>
          <w:tcPr>
            <w:tcW w:w="3430"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rPr>
            </w:pPr>
            <w:r>
              <w:rPr>
                <w:rFonts w:ascii="Times New Roman" w:hAnsi="Times New Roman" w:eastAsia="仿宋_GB2312" w:cs="Times New Roman"/>
                <w:b/>
                <w:bCs/>
              </w:rPr>
              <w:t>无需采用控制措施，但需保存记录</w:t>
            </w:r>
          </w:p>
        </w:tc>
        <w:tc>
          <w:tcPr>
            <w:tcW w:w="2086"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pPr>
              <w:rPr>
                <w:rFonts w:ascii="Times New Roman" w:hAnsi="Times New Roman" w:eastAsia="仿宋_GB2312" w:cs="Times New Roman"/>
                <w:b/>
                <w:bCs/>
              </w:rPr>
            </w:pPr>
            <w:r>
              <w:rPr>
                <w:rFonts w:ascii="Times New Roman" w:hAnsi="Times New Roman" w:eastAsia="仿宋_GB2312" w:cs="Times New Roman"/>
                <w:b/>
                <w:bCs/>
              </w:rPr>
              <w:t>/</w:t>
            </w:r>
          </w:p>
        </w:tc>
      </w:tr>
    </w:tbl>
    <w:p>
      <w:pPr>
        <w:pStyle w:val="4"/>
        <w:rPr>
          <w:rFonts w:ascii="Times New Roman" w:hAnsi="Times New Roman" w:eastAsia="仿宋_GB2312"/>
        </w:rPr>
      </w:pPr>
      <w:bookmarkStart w:id="46" w:name="_Toc92909949"/>
      <w:r>
        <w:rPr>
          <w:rFonts w:ascii="Times New Roman" w:hAnsi="Times New Roman" w:eastAsia="仿宋_GB2312"/>
        </w:rPr>
        <w:t>2.2  风险评价准则</w:t>
      </w:r>
      <w:bookmarkEnd w:id="46"/>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工贸企业在对安全风险点风险评价时，应结合自身可接受风险实际，明确事故（事件）发生的可能性、严重性，对照风险度分级标准（即风险判定准则）进行风险评价。</w:t>
      </w:r>
      <w:r>
        <w:rPr>
          <w:rFonts w:ascii="Times New Roman" w:hAnsi="Times New Roman" w:eastAsia="仿宋_GB2312" w:cs="Times New Roman"/>
          <w:sz w:val="32"/>
          <w:szCs w:val="32"/>
        </w:rPr>
        <w:br w:type="page"/>
      </w:r>
    </w:p>
    <w:p>
      <w:pPr>
        <w:widowControl/>
        <w:jc w:val="left"/>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p>
      <w:pPr>
        <w:keepNext/>
        <w:keepLines/>
        <w:numPr>
          <w:ilvl w:val="0"/>
          <w:numId w:val="2"/>
        </w:numPr>
        <w:spacing w:line="416" w:lineRule="auto"/>
        <w:jc w:val="center"/>
        <w:outlineLvl w:val="1"/>
        <w:rPr>
          <w:rFonts w:ascii="Times New Roman" w:hAnsi="Times New Roman" w:eastAsia="仿宋_GB2312" w:cs="Times New Roman"/>
          <w:b/>
          <w:bCs/>
          <w:sz w:val="36"/>
          <w:szCs w:val="36"/>
        </w:rPr>
      </w:pPr>
      <w:bookmarkStart w:id="47" w:name="_Toc92909950"/>
      <w:r>
        <w:rPr>
          <w:rFonts w:ascii="Times New Roman" w:hAnsi="Times New Roman" w:eastAsia="仿宋_GB2312" w:cs="Times New Roman"/>
          <w:b/>
          <w:bCs/>
          <w:sz w:val="36"/>
          <w:szCs w:val="36"/>
        </w:rPr>
        <w:t>专项类和通用类安全风险点判别参考标准</w:t>
      </w:r>
      <w:bookmarkEnd w:id="47"/>
    </w:p>
    <w:p>
      <w:pPr>
        <w:keepNext/>
        <w:keepLines/>
        <w:spacing w:line="416" w:lineRule="auto"/>
        <w:ind w:firstLine="627" w:firstLineChars="196"/>
        <w:outlineLvl w:val="1"/>
        <w:rPr>
          <w:rFonts w:ascii="Times New Roman" w:hAnsi="Times New Roman" w:eastAsia="仿宋_GB2312" w:cs="Times New Roman"/>
          <w:b/>
          <w:bCs/>
          <w:sz w:val="32"/>
          <w:szCs w:val="32"/>
        </w:rPr>
      </w:pPr>
      <w:bookmarkStart w:id="48" w:name="_Toc92909951"/>
      <w:r>
        <w:rPr>
          <w:rFonts w:ascii="Times New Roman" w:hAnsi="Times New Roman" w:eastAsia="仿宋_GB2312" w:cs="Times New Roman"/>
          <w:b/>
          <w:bCs/>
          <w:sz w:val="32"/>
          <w:szCs w:val="32"/>
        </w:rPr>
        <w:t>3.1专项类</w:t>
      </w:r>
      <w:bookmarkEnd w:id="48"/>
    </w:p>
    <w:p>
      <w:pPr>
        <w:keepNext/>
        <w:keepLines/>
        <w:spacing w:line="416" w:lineRule="auto"/>
        <w:ind w:firstLine="627" w:firstLineChars="196"/>
        <w:outlineLvl w:val="2"/>
        <w:rPr>
          <w:rFonts w:ascii="Times New Roman" w:hAnsi="Times New Roman" w:eastAsia="仿宋_GB2312" w:cs="Times New Roman"/>
          <w:b/>
          <w:bCs/>
          <w:sz w:val="32"/>
          <w:szCs w:val="32"/>
        </w:rPr>
      </w:pPr>
      <w:bookmarkStart w:id="49" w:name="_Toc92909952"/>
      <w:r>
        <w:rPr>
          <w:rFonts w:ascii="Times New Roman" w:hAnsi="Times New Roman" w:eastAsia="仿宋_GB2312" w:cs="Times New Roman"/>
          <w:b/>
          <w:bCs/>
          <w:sz w:val="32"/>
          <w:szCs w:val="32"/>
        </w:rPr>
        <w:t>3.1.1有限空间</w:t>
      </w:r>
      <w:bookmarkEnd w:id="49"/>
    </w:p>
    <w:p>
      <w:pPr>
        <w:rPr>
          <w:rFonts w:ascii="Times New Roman" w:hAnsi="Times New Roman" w:eastAsia="仿宋_GB2312" w:cs="Times New Roman"/>
        </w:rPr>
      </w:pPr>
    </w:p>
    <w:tbl>
      <w:tblPr>
        <w:tblStyle w:val="19"/>
        <w:tblW w:w="13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938"/>
        <w:gridCol w:w="733"/>
        <w:gridCol w:w="3910"/>
        <w:gridCol w:w="761"/>
        <w:gridCol w:w="3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642"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一级安全风险点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二级安全风险点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三级安全风险点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5"/>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可能出现10人以上同时实施作业的有限空间场所</w:t>
            </w:r>
          </w:p>
        </w:tc>
        <w:tc>
          <w:tcPr>
            <w:tcW w:w="733" w:type="dxa"/>
            <w:vAlign w:val="center"/>
          </w:tcPr>
          <w:p>
            <w:pPr>
              <w:numPr>
                <w:ilvl w:val="0"/>
                <w:numId w:val="6"/>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可能出现3-9人同时实施作业的有限空间场所</w:t>
            </w:r>
          </w:p>
        </w:tc>
        <w:tc>
          <w:tcPr>
            <w:tcW w:w="761" w:type="dxa"/>
            <w:vAlign w:val="center"/>
          </w:tcPr>
          <w:p>
            <w:pPr>
              <w:numPr>
                <w:ilvl w:val="0"/>
                <w:numId w:val="7"/>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有限空间内需3人以下实施作业的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5"/>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存在或可能存在煤气、硫化氢、砷化氢、磷化氢、氯气、氨气、甲醛、氰化物等《高毒物品名录》中列明的物质的有限空间场所</w:t>
            </w:r>
          </w:p>
        </w:tc>
        <w:tc>
          <w:tcPr>
            <w:tcW w:w="733" w:type="dxa"/>
            <w:vAlign w:val="center"/>
          </w:tcPr>
          <w:p>
            <w:pPr>
              <w:numPr>
                <w:ilvl w:val="0"/>
                <w:numId w:val="6"/>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存在或可能存在氮气、二氧化碳、氩气等窒息性气体，氧含量小于19.5%或大于23.5%的有限空间场所</w:t>
            </w:r>
          </w:p>
        </w:tc>
        <w:tc>
          <w:tcPr>
            <w:tcW w:w="761" w:type="dxa"/>
            <w:vAlign w:val="center"/>
          </w:tcPr>
          <w:p>
            <w:pPr>
              <w:numPr>
                <w:ilvl w:val="0"/>
                <w:numId w:val="7"/>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有限空间内存在或可能存在导致人员伤亡的电能、热能、机械能、液压能或气压能等（含与存在相关能量的设备设施管道阀门等毗邻、直接或间接连接等情形）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5"/>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存在或可能存在天然气、氢气、乙炔、丙烷、汽油、柴油、稀释剂（香蕉水、天那水、松香水、二甲苯等）、可燃性粉尘（如煤粉、锌粉、木粉、淀粉等）等易燃易爆物质的有限空间场所</w:t>
            </w:r>
          </w:p>
        </w:tc>
        <w:tc>
          <w:tcPr>
            <w:tcW w:w="733" w:type="dxa"/>
            <w:vAlign w:val="center"/>
          </w:tcPr>
          <w:p>
            <w:pPr>
              <w:numPr>
                <w:ilvl w:val="0"/>
                <w:numId w:val="6"/>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存在或可能存在能够吞没或掩埋进入人员的物质（如液体、料浆、料场、料仓、筒仓、料坑等）的有限空间场所</w:t>
            </w:r>
          </w:p>
        </w:tc>
        <w:tc>
          <w:tcPr>
            <w:tcW w:w="761" w:type="dxa"/>
            <w:vAlign w:val="center"/>
          </w:tcPr>
          <w:p>
            <w:pPr>
              <w:numPr>
                <w:ilvl w:val="0"/>
                <w:numId w:val="7"/>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有限空间内部狭小或通风不良，可能会困住进入人员或使进入人员呼吸不畅等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p>
        </w:tc>
        <w:tc>
          <w:tcPr>
            <w:tcW w:w="733" w:type="dxa"/>
            <w:vAlign w:val="center"/>
          </w:tcPr>
          <w:p>
            <w:pPr>
              <w:numPr>
                <w:ilvl w:val="0"/>
                <w:numId w:val="6"/>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存在或可能存在《高毒物品名录》以外其他有毒有害物质的有限空间</w:t>
            </w: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bl>
    <w:p>
      <w:pPr>
        <w:widowControl/>
        <w:jc w:val="left"/>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keepNext/>
        <w:keepLines/>
        <w:spacing w:line="416" w:lineRule="auto"/>
        <w:ind w:firstLine="627" w:firstLineChars="196"/>
        <w:outlineLvl w:val="2"/>
        <w:rPr>
          <w:rFonts w:ascii="Times New Roman" w:hAnsi="Times New Roman" w:eastAsia="仿宋_GB2312" w:cs="Times New Roman"/>
          <w:b/>
          <w:bCs/>
          <w:sz w:val="32"/>
          <w:szCs w:val="32"/>
        </w:rPr>
      </w:pPr>
      <w:bookmarkStart w:id="50" w:name="_Toc92909953"/>
      <w:r>
        <w:rPr>
          <w:rFonts w:ascii="Times New Roman" w:hAnsi="Times New Roman" w:eastAsia="仿宋_GB2312" w:cs="Times New Roman"/>
          <w:b/>
          <w:bCs/>
          <w:sz w:val="32"/>
          <w:szCs w:val="32"/>
        </w:rPr>
        <w:t>3.1.2粉尘涉爆</w:t>
      </w:r>
      <w:bookmarkEnd w:id="50"/>
    </w:p>
    <w:tbl>
      <w:tblPr>
        <w:tblStyle w:val="19"/>
        <w:tblW w:w="13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796"/>
        <w:gridCol w:w="733"/>
        <w:gridCol w:w="3910"/>
        <w:gridCol w:w="761"/>
        <w:gridCol w:w="3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647"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一级安全风险点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二级安全风险点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三级安全风险点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1" w:type="dxa"/>
            <w:vAlign w:val="center"/>
          </w:tcPr>
          <w:p>
            <w:pPr>
              <w:numPr>
                <w:ilvl w:val="0"/>
                <w:numId w:val="8"/>
              </w:numPr>
              <w:rPr>
                <w:rFonts w:ascii="Times New Roman" w:hAnsi="Times New Roman" w:eastAsia="仿宋_GB2312" w:cs="Times New Roman"/>
                <w:sz w:val="24"/>
                <w:szCs w:val="24"/>
              </w:rPr>
            </w:pPr>
          </w:p>
        </w:tc>
        <w:tc>
          <w:tcPr>
            <w:tcW w:w="3796"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铝镁制品加工企业的抛光、打磨间</w:t>
            </w:r>
          </w:p>
        </w:tc>
        <w:tc>
          <w:tcPr>
            <w:tcW w:w="733" w:type="dxa"/>
            <w:vAlign w:val="center"/>
          </w:tcPr>
          <w:p>
            <w:pPr>
              <w:numPr>
                <w:ilvl w:val="0"/>
                <w:numId w:val="9"/>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设于室外的可燃性粉尘的除尘系统</w:t>
            </w:r>
          </w:p>
        </w:tc>
        <w:tc>
          <w:tcPr>
            <w:tcW w:w="761" w:type="dxa"/>
            <w:vAlign w:val="center"/>
          </w:tcPr>
          <w:p>
            <w:pPr>
              <w:numPr>
                <w:ilvl w:val="0"/>
                <w:numId w:val="10"/>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除铝镁制品加工企业的抛光、打磨间以及粮食、饲料等植物和煤加工系统的破碎、粉碎设备以外的可燃性粉尘的产尘点（有收尘系统）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numPr>
                <w:ilvl w:val="0"/>
                <w:numId w:val="8"/>
              </w:numPr>
              <w:rPr>
                <w:rFonts w:ascii="Times New Roman" w:hAnsi="Times New Roman" w:eastAsia="仿宋_GB2312" w:cs="Times New Roman"/>
                <w:sz w:val="24"/>
                <w:szCs w:val="24"/>
              </w:rPr>
            </w:pPr>
          </w:p>
        </w:tc>
        <w:tc>
          <w:tcPr>
            <w:tcW w:w="3796"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设于室内的可燃性粉尘干式除尘系统</w:t>
            </w:r>
          </w:p>
        </w:tc>
        <w:tc>
          <w:tcPr>
            <w:tcW w:w="733" w:type="dxa"/>
            <w:vAlign w:val="center"/>
          </w:tcPr>
          <w:p>
            <w:pPr>
              <w:numPr>
                <w:ilvl w:val="0"/>
                <w:numId w:val="9"/>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粮食、饲料加工企业的倒袋站</w:t>
            </w:r>
          </w:p>
        </w:tc>
        <w:tc>
          <w:tcPr>
            <w:tcW w:w="761" w:type="dxa"/>
            <w:vAlign w:val="center"/>
          </w:tcPr>
          <w:p>
            <w:pPr>
              <w:numPr>
                <w:ilvl w:val="0"/>
                <w:numId w:val="10"/>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铝镁屑室外存放点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1" w:type="dxa"/>
            <w:vAlign w:val="center"/>
          </w:tcPr>
          <w:p>
            <w:pPr>
              <w:numPr>
                <w:ilvl w:val="0"/>
                <w:numId w:val="8"/>
              </w:numPr>
              <w:rPr>
                <w:rFonts w:ascii="Times New Roman" w:hAnsi="Times New Roman" w:eastAsia="仿宋_GB2312" w:cs="Times New Roman"/>
                <w:sz w:val="24"/>
                <w:szCs w:val="24"/>
              </w:rPr>
            </w:pPr>
          </w:p>
        </w:tc>
        <w:tc>
          <w:tcPr>
            <w:tcW w:w="3796"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粮食、饲料等植物和煤加工系统的破碎、粉碎设备</w:t>
            </w:r>
          </w:p>
        </w:tc>
        <w:tc>
          <w:tcPr>
            <w:tcW w:w="733" w:type="dxa"/>
            <w:vAlign w:val="center"/>
          </w:tcPr>
          <w:p>
            <w:pPr>
              <w:numPr>
                <w:ilvl w:val="0"/>
                <w:numId w:val="9"/>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除铝镁制品加工企业的抛光、打磨间以及粮食、饲料等植物和煤加工系统的破碎、粉碎设备以外的可燃性粉尘的产尘点（无收尘系统）</w:t>
            </w: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pPr>
              <w:numPr>
                <w:ilvl w:val="0"/>
                <w:numId w:val="8"/>
              </w:numPr>
              <w:rPr>
                <w:rFonts w:ascii="Times New Roman" w:hAnsi="Times New Roman" w:eastAsia="仿宋_GB2312" w:cs="Times New Roman"/>
                <w:sz w:val="24"/>
                <w:szCs w:val="24"/>
              </w:rPr>
            </w:pPr>
          </w:p>
        </w:tc>
        <w:tc>
          <w:tcPr>
            <w:tcW w:w="3796"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湿法除尘金属粉尘存放点</w:t>
            </w:r>
          </w:p>
        </w:tc>
        <w:tc>
          <w:tcPr>
            <w:tcW w:w="733" w:type="dxa"/>
            <w:vAlign w:val="center"/>
          </w:tcPr>
          <w:p>
            <w:pPr>
              <w:numPr>
                <w:ilvl w:val="0"/>
                <w:numId w:val="9"/>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可燃性粉尘产尘点附近的明火源或火花散发点</w:t>
            </w: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1" w:type="dxa"/>
            <w:vAlign w:val="center"/>
          </w:tcPr>
          <w:p>
            <w:pPr>
              <w:numPr>
                <w:ilvl w:val="0"/>
                <w:numId w:val="8"/>
              </w:numPr>
              <w:rPr>
                <w:rFonts w:ascii="Times New Roman" w:hAnsi="Times New Roman" w:eastAsia="仿宋_GB2312" w:cs="Times New Roman"/>
                <w:sz w:val="24"/>
                <w:szCs w:val="24"/>
              </w:rPr>
            </w:pPr>
          </w:p>
        </w:tc>
        <w:tc>
          <w:tcPr>
            <w:tcW w:w="3796"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铝镁屑室内存放点</w:t>
            </w:r>
          </w:p>
        </w:tc>
        <w:tc>
          <w:tcPr>
            <w:tcW w:w="733" w:type="dxa"/>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bl>
    <w:p>
      <w:pPr>
        <w:widowControl/>
        <w:jc w:val="left"/>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keepNext/>
        <w:keepLines/>
        <w:spacing w:line="416" w:lineRule="auto"/>
        <w:ind w:firstLine="627" w:firstLineChars="196"/>
        <w:outlineLvl w:val="2"/>
        <w:rPr>
          <w:rFonts w:ascii="Times New Roman" w:hAnsi="Times New Roman" w:eastAsia="仿宋_GB2312" w:cs="Times New Roman"/>
          <w:b/>
          <w:bCs/>
          <w:sz w:val="32"/>
          <w:szCs w:val="32"/>
        </w:rPr>
      </w:pPr>
      <w:bookmarkStart w:id="51" w:name="_Toc92909954"/>
      <w:r>
        <w:rPr>
          <w:rFonts w:ascii="Times New Roman" w:hAnsi="Times New Roman" w:eastAsia="仿宋_GB2312" w:cs="Times New Roman"/>
          <w:b/>
          <w:bCs/>
          <w:sz w:val="32"/>
          <w:szCs w:val="32"/>
        </w:rPr>
        <w:t>3.1.3涉氨制冷</w:t>
      </w:r>
      <w:bookmarkEnd w:id="51"/>
    </w:p>
    <w:tbl>
      <w:tblPr>
        <w:tblStyle w:val="19"/>
        <w:tblW w:w="14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3938"/>
        <w:gridCol w:w="6"/>
        <w:gridCol w:w="727"/>
        <w:gridCol w:w="3910"/>
        <w:gridCol w:w="6"/>
        <w:gridCol w:w="755"/>
        <w:gridCol w:w="3882"/>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795" w:type="dxa"/>
            <w:gridSpan w:val="3"/>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一级安全风险点</w:t>
            </w:r>
          </w:p>
        </w:tc>
        <w:tc>
          <w:tcPr>
            <w:tcW w:w="4643" w:type="dxa"/>
            <w:gridSpan w:val="3"/>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二级安全风险点</w:t>
            </w:r>
          </w:p>
        </w:tc>
        <w:tc>
          <w:tcPr>
            <w:tcW w:w="4643" w:type="dxa"/>
            <w:gridSpan w:val="3"/>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三级安全风险点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jc w:val="center"/>
        </w:trPr>
        <w:tc>
          <w:tcPr>
            <w:tcW w:w="851" w:type="dxa"/>
            <w:vAlign w:val="center"/>
          </w:tcPr>
          <w:p>
            <w:pPr>
              <w:numPr>
                <w:ilvl w:val="0"/>
                <w:numId w:val="11"/>
              </w:numPr>
              <w:ind w:left="0" w:right="-394" w:rightChars="-188" w:firstLine="0"/>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氨压机</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冷冻间</w:t>
            </w:r>
          </w:p>
        </w:tc>
        <w:tc>
          <w:tcPr>
            <w:tcW w:w="761" w:type="dxa"/>
            <w:gridSpan w:val="2"/>
            <w:vAlign w:val="center"/>
          </w:tcPr>
          <w:p>
            <w:pPr>
              <w:numPr>
                <w:ilvl w:val="0"/>
                <w:numId w:val="13"/>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涉氨制冷企业的办公室、会议室及生活设施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冷凝器</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冷藏间</w:t>
            </w:r>
          </w:p>
        </w:tc>
        <w:tc>
          <w:tcPr>
            <w:tcW w:w="761" w:type="dxa"/>
            <w:gridSpan w:val="2"/>
            <w:vAlign w:val="center"/>
          </w:tcPr>
          <w:p>
            <w:pPr>
              <w:numPr>
                <w:ilvl w:val="0"/>
                <w:numId w:val="13"/>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涉氨制冷企业的污水处理设备（不含有限空间）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氨液分离器</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产品分割间</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低压循环贮液桶</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产品包装间</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贮氨器</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氨压机间控制室（机柜间）</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排液桶</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事故池</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加氨站</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放散管</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油分离器</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液氨泵</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集油器</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氨调节站</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中间冷却器</w:t>
            </w:r>
          </w:p>
        </w:tc>
        <w:tc>
          <w:tcPr>
            <w:tcW w:w="733" w:type="dxa"/>
            <w:gridSpan w:val="2"/>
            <w:vAlign w:val="center"/>
          </w:tcPr>
          <w:p>
            <w:pPr>
              <w:numPr>
                <w:ilvl w:val="0"/>
                <w:numId w:val="12"/>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配电室</w:t>
            </w: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空气分离器</w:t>
            </w:r>
          </w:p>
        </w:tc>
        <w:tc>
          <w:tcPr>
            <w:tcW w:w="733" w:type="dxa"/>
            <w:gridSpan w:val="2"/>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紧急泄氨器</w:t>
            </w:r>
          </w:p>
        </w:tc>
        <w:tc>
          <w:tcPr>
            <w:tcW w:w="733" w:type="dxa"/>
            <w:gridSpan w:val="2"/>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氨直接蒸发制冷的速冻装置</w:t>
            </w:r>
          </w:p>
        </w:tc>
        <w:tc>
          <w:tcPr>
            <w:tcW w:w="733" w:type="dxa"/>
            <w:gridSpan w:val="2"/>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jc w:val="center"/>
        </w:trPr>
        <w:tc>
          <w:tcPr>
            <w:tcW w:w="851" w:type="dxa"/>
            <w:vAlign w:val="center"/>
          </w:tcPr>
          <w:p>
            <w:pPr>
              <w:numPr>
                <w:ilvl w:val="0"/>
                <w:numId w:val="11"/>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制冰间</w:t>
            </w:r>
          </w:p>
        </w:tc>
        <w:tc>
          <w:tcPr>
            <w:tcW w:w="733" w:type="dxa"/>
            <w:gridSpan w:val="2"/>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gridSpan w:val="2"/>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bl>
    <w:p>
      <w:pPr>
        <w:widowControl/>
        <w:jc w:val="left"/>
        <w:rPr>
          <w:rFonts w:ascii="Times New Roman" w:hAnsi="Times New Roman" w:eastAsia="仿宋_GB2312" w:cs="Times New Roman"/>
        </w:rPr>
      </w:pPr>
    </w:p>
    <w:p>
      <w:pPr>
        <w:widowControl/>
        <w:jc w:val="left"/>
        <w:rPr>
          <w:rFonts w:ascii="Times New Roman" w:hAnsi="Times New Roman" w:eastAsia="仿宋_GB2312" w:cs="Times New Roman"/>
          <w:b/>
          <w:bCs/>
          <w:sz w:val="32"/>
          <w:szCs w:val="32"/>
        </w:rPr>
      </w:pPr>
      <w:r>
        <w:rPr>
          <w:rFonts w:ascii="Times New Roman" w:hAnsi="Times New Roman" w:eastAsia="仿宋_GB2312" w:cs="Times New Roman"/>
        </w:rPr>
        <w:br w:type="page"/>
      </w:r>
    </w:p>
    <w:p>
      <w:pPr>
        <w:keepNext/>
        <w:keepLines/>
        <w:spacing w:line="416" w:lineRule="auto"/>
        <w:ind w:firstLine="627" w:firstLineChars="196"/>
        <w:outlineLvl w:val="2"/>
        <w:rPr>
          <w:rFonts w:ascii="Times New Roman" w:hAnsi="Times New Roman" w:eastAsia="仿宋_GB2312" w:cs="Times New Roman"/>
          <w:b/>
          <w:bCs/>
          <w:sz w:val="32"/>
          <w:szCs w:val="32"/>
        </w:rPr>
      </w:pPr>
      <w:bookmarkStart w:id="52" w:name="_Toc92909955"/>
      <w:r>
        <w:rPr>
          <w:rFonts w:ascii="Times New Roman" w:hAnsi="Times New Roman" w:eastAsia="仿宋_GB2312" w:cs="Times New Roman"/>
          <w:b/>
          <w:bCs/>
          <w:sz w:val="32"/>
          <w:szCs w:val="32"/>
        </w:rPr>
        <w:t>3.1.4铝加工（深井铸造）</w:t>
      </w:r>
      <w:bookmarkEnd w:id="52"/>
    </w:p>
    <w:tbl>
      <w:tblPr>
        <w:tblStyle w:val="19"/>
        <w:tblW w:w="13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938"/>
        <w:gridCol w:w="733"/>
        <w:gridCol w:w="3910"/>
        <w:gridCol w:w="761"/>
        <w:gridCol w:w="3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642"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一级安全风险点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二级安全风险点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三级安全风险点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numPr>
                <w:ilvl w:val="0"/>
                <w:numId w:val="14"/>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熔炼炉、静置炉、保温炉、前置炉</w:t>
            </w:r>
          </w:p>
        </w:tc>
        <w:tc>
          <w:tcPr>
            <w:tcW w:w="733" w:type="dxa"/>
            <w:vAlign w:val="center"/>
          </w:tcPr>
          <w:p>
            <w:pPr>
              <w:numPr>
                <w:ilvl w:val="0"/>
                <w:numId w:val="15"/>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铝水包</w:t>
            </w:r>
          </w:p>
        </w:tc>
        <w:tc>
          <w:tcPr>
            <w:tcW w:w="761" w:type="dxa"/>
            <w:vAlign w:val="center"/>
          </w:tcPr>
          <w:p>
            <w:pPr>
              <w:numPr>
                <w:ilvl w:val="0"/>
                <w:numId w:val="16"/>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变配电系统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14"/>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铸造井（含铸造模盘、引锭机）</w:t>
            </w:r>
          </w:p>
        </w:tc>
        <w:tc>
          <w:tcPr>
            <w:tcW w:w="733" w:type="dxa"/>
            <w:vAlign w:val="center"/>
          </w:tcPr>
          <w:p>
            <w:pPr>
              <w:numPr>
                <w:ilvl w:val="0"/>
                <w:numId w:val="15"/>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铝液运输车辆</w:t>
            </w:r>
          </w:p>
        </w:tc>
        <w:tc>
          <w:tcPr>
            <w:tcW w:w="761" w:type="dxa"/>
            <w:vAlign w:val="center"/>
          </w:tcPr>
          <w:p>
            <w:pPr>
              <w:numPr>
                <w:ilvl w:val="0"/>
                <w:numId w:val="16"/>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循环水池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numPr>
                <w:ilvl w:val="0"/>
                <w:numId w:val="14"/>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铝液流槽</w:t>
            </w:r>
          </w:p>
        </w:tc>
        <w:tc>
          <w:tcPr>
            <w:tcW w:w="733" w:type="dxa"/>
            <w:vAlign w:val="center"/>
          </w:tcPr>
          <w:p>
            <w:pPr>
              <w:numPr>
                <w:ilvl w:val="0"/>
                <w:numId w:val="15"/>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炒灰间（含转锅、冷却器、球磨机、筛分机等）</w:t>
            </w:r>
          </w:p>
        </w:tc>
        <w:tc>
          <w:tcPr>
            <w:tcW w:w="761" w:type="dxa"/>
            <w:vAlign w:val="center"/>
          </w:tcPr>
          <w:p>
            <w:pPr>
              <w:numPr>
                <w:ilvl w:val="0"/>
                <w:numId w:val="16"/>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锯切设备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14"/>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铝灰暂存间</w:t>
            </w:r>
          </w:p>
        </w:tc>
        <w:tc>
          <w:tcPr>
            <w:tcW w:w="733" w:type="dxa"/>
            <w:vAlign w:val="center"/>
          </w:tcPr>
          <w:p>
            <w:pPr>
              <w:numPr>
                <w:ilvl w:val="0"/>
                <w:numId w:val="15"/>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高温熔体影响区域、煤气影响区域的办公室、休息室、值班室、会议室等</w:t>
            </w:r>
          </w:p>
        </w:tc>
        <w:tc>
          <w:tcPr>
            <w:tcW w:w="761" w:type="dxa"/>
            <w:vAlign w:val="center"/>
          </w:tcPr>
          <w:p>
            <w:pPr>
              <w:numPr>
                <w:ilvl w:val="0"/>
                <w:numId w:val="16"/>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室外</w:t>
            </w:r>
            <w:r>
              <w:rPr>
                <w:rFonts w:ascii="Times New Roman" w:hAnsi="Times New Roman" w:eastAsia="仿宋_GB2312" w:cs="Times New Roman"/>
                <w:sz w:val="24"/>
                <w:szCs w:val="24"/>
              </w:rPr>
              <w:t>铝屑存放点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numPr>
                <w:ilvl w:val="0"/>
                <w:numId w:val="14"/>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除气箱、过滤机</w:t>
            </w:r>
          </w:p>
        </w:tc>
        <w:tc>
          <w:tcPr>
            <w:tcW w:w="733" w:type="dxa"/>
            <w:vAlign w:val="center"/>
          </w:tcPr>
          <w:p>
            <w:pPr>
              <w:numPr>
                <w:ilvl w:val="0"/>
                <w:numId w:val="15"/>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14"/>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室内</w:t>
            </w:r>
            <w:r>
              <w:rPr>
                <w:rFonts w:ascii="Times New Roman" w:hAnsi="Times New Roman" w:eastAsia="仿宋_GB2312" w:cs="Times New Roman"/>
                <w:sz w:val="24"/>
                <w:szCs w:val="24"/>
              </w:rPr>
              <w:t>铝屑存放点</w:t>
            </w:r>
          </w:p>
        </w:tc>
        <w:tc>
          <w:tcPr>
            <w:tcW w:w="733" w:type="dxa"/>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bl>
    <w:p>
      <w:pPr>
        <w:widowControl/>
        <w:jc w:val="left"/>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widowControl/>
        <w:jc w:val="left"/>
        <w:rPr>
          <w:rFonts w:ascii="Times New Roman" w:hAnsi="Times New Roman" w:eastAsia="仿宋_GB2312" w:cs="Times New Roman"/>
        </w:rPr>
      </w:pPr>
    </w:p>
    <w:p>
      <w:pPr>
        <w:keepNext/>
        <w:keepLines/>
        <w:spacing w:line="416" w:lineRule="auto"/>
        <w:ind w:firstLine="627" w:firstLineChars="196"/>
        <w:outlineLvl w:val="1"/>
        <w:rPr>
          <w:rFonts w:ascii="Times New Roman" w:hAnsi="Times New Roman" w:eastAsia="仿宋_GB2312" w:cs="Times New Roman"/>
          <w:b/>
          <w:bCs/>
          <w:sz w:val="32"/>
          <w:szCs w:val="32"/>
        </w:rPr>
      </w:pPr>
      <w:bookmarkStart w:id="53" w:name="_Toc92909956"/>
      <w:r>
        <w:rPr>
          <w:rFonts w:ascii="Times New Roman" w:hAnsi="Times New Roman" w:eastAsia="仿宋_GB2312" w:cs="Times New Roman"/>
          <w:b/>
          <w:bCs/>
          <w:sz w:val="32"/>
          <w:szCs w:val="32"/>
        </w:rPr>
        <w:t>3.2.通用类</w:t>
      </w:r>
      <w:bookmarkEnd w:id="53"/>
    </w:p>
    <w:p>
      <w:pPr>
        <w:keepNext/>
        <w:keepLines/>
        <w:spacing w:line="416" w:lineRule="auto"/>
        <w:ind w:firstLine="627" w:firstLineChars="196"/>
        <w:outlineLvl w:val="2"/>
        <w:rPr>
          <w:rFonts w:ascii="Times New Roman" w:hAnsi="Times New Roman" w:eastAsia="仿宋_GB2312" w:cs="Times New Roman"/>
          <w:b/>
          <w:bCs/>
          <w:sz w:val="32"/>
          <w:szCs w:val="32"/>
        </w:rPr>
      </w:pPr>
      <w:bookmarkStart w:id="54" w:name="_Toc92909957"/>
      <w:r>
        <w:rPr>
          <w:rFonts w:ascii="Times New Roman" w:hAnsi="Times New Roman" w:eastAsia="仿宋_GB2312" w:cs="Times New Roman"/>
          <w:b/>
          <w:bCs/>
          <w:sz w:val="32"/>
          <w:szCs w:val="32"/>
        </w:rPr>
        <w:t>3.2.1特种设备</w:t>
      </w:r>
      <w:bookmarkEnd w:id="54"/>
    </w:p>
    <w:tbl>
      <w:tblPr>
        <w:tblStyle w:val="19"/>
        <w:tblW w:w="13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938"/>
        <w:gridCol w:w="733"/>
        <w:gridCol w:w="3910"/>
        <w:gridCol w:w="761"/>
        <w:gridCol w:w="3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642" w:type="dxa"/>
            <w:gridSpan w:val="2"/>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一级安全风险点</w:t>
            </w:r>
          </w:p>
        </w:tc>
        <w:tc>
          <w:tcPr>
            <w:tcW w:w="4643" w:type="dxa"/>
            <w:gridSpan w:val="2"/>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二级安全风险点</w:t>
            </w:r>
          </w:p>
        </w:tc>
        <w:tc>
          <w:tcPr>
            <w:tcW w:w="4643" w:type="dxa"/>
            <w:gridSpan w:val="2"/>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三级安全风险点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numPr>
                <w:ilvl w:val="0"/>
                <w:numId w:val="17"/>
              </w:num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吊运高温熔体或液渣的起重设备</w:t>
            </w:r>
          </w:p>
        </w:tc>
        <w:tc>
          <w:tcPr>
            <w:tcW w:w="733" w:type="dxa"/>
          </w:tcPr>
          <w:p>
            <w:pPr>
              <w:numPr>
                <w:ilvl w:val="0"/>
                <w:numId w:val="18"/>
              </w:num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吊运除高温熔体或液渣以外的其他起重设备</w:t>
            </w:r>
          </w:p>
        </w:tc>
        <w:tc>
          <w:tcPr>
            <w:tcW w:w="761" w:type="dxa"/>
          </w:tcPr>
          <w:p>
            <w:pPr>
              <w:numPr>
                <w:ilvl w:val="0"/>
                <w:numId w:val="19"/>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numPr>
                <w:ilvl w:val="0"/>
                <w:numId w:val="17"/>
              </w:num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燃气锅炉（含锅炉本体、汽包、蓄热器、分汽缸、除氧器）</w:t>
            </w:r>
          </w:p>
        </w:tc>
        <w:tc>
          <w:tcPr>
            <w:tcW w:w="733" w:type="dxa"/>
          </w:tcPr>
          <w:p>
            <w:pPr>
              <w:numPr>
                <w:ilvl w:val="0"/>
                <w:numId w:val="18"/>
              </w:num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非燃气蒸汽锅炉（含余热锅炉）</w:t>
            </w:r>
          </w:p>
        </w:tc>
        <w:tc>
          <w:tcPr>
            <w:tcW w:w="761" w:type="dxa"/>
          </w:tcPr>
          <w:p>
            <w:pPr>
              <w:numPr>
                <w:ilvl w:val="0"/>
                <w:numId w:val="19"/>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非燃气热水锅炉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numPr>
                <w:ilvl w:val="0"/>
                <w:numId w:val="17"/>
              </w:num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储存、盛装毒性程度为极度、高度危害的化学介质、易爆介质、液化气体的压力容器或压力等级为中压、高压和超高压的压力容器（设计压力≥1.6MPa）</w:t>
            </w:r>
          </w:p>
        </w:tc>
        <w:tc>
          <w:tcPr>
            <w:tcW w:w="733" w:type="dxa"/>
          </w:tcPr>
          <w:p>
            <w:pPr>
              <w:numPr>
                <w:ilvl w:val="0"/>
                <w:numId w:val="18"/>
              </w:num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储存、盛装介质不属于毒性程度为极度、高度危害的化学介质、易爆介质、液化气体的压力容器或压力等级为低压的压力容器（设计压力≥0.1 MPa 且&lt;1.6MPa）</w:t>
            </w:r>
          </w:p>
        </w:tc>
        <w:tc>
          <w:tcPr>
            <w:tcW w:w="761" w:type="dxa"/>
          </w:tcPr>
          <w:p>
            <w:pPr>
              <w:numPr>
                <w:ilvl w:val="0"/>
                <w:numId w:val="19"/>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简单压力容器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numPr>
                <w:ilvl w:val="0"/>
                <w:numId w:val="17"/>
              </w:num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储存量超过20瓶或总质量超过1t的易燃气体、液化气体、助燃气体、毒性气体气瓶存放点</w:t>
            </w:r>
          </w:p>
        </w:tc>
        <w:tc>
          <w:tcPr>
            <w:tcW w:w="733" w:type="dxa"/>
          </w:tcPr>
          <w:p>
            <w:pPr>
              <w:numPr>
                <w:ilvl w:val="0"/>
                <w:numId w:val="18"/>
              </w:num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储存量超过5瓶不足20瓶或总质量超过0.5t不足1t的易燃气体、液化气体、助燃气体、毒性气体气瓶存放点</w:t>
            </w:r>
          </w:p>
        </w:tc>
        <w:tc>
          <w:tcPr>
            <w:tcW w:w="761" w:type="dxa"/>
          </w:tcPr>
          <w:p>
            <w:pPr>
              <w:numPr>
                <w:ilvl w:val="0"/>
                <w:numId w:val="19"/>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bookmarkStart w:id="55" w:name="_Hlk57453370"/>
            <w:r>
              <w:rPr>
                <w:rFonts w:ascii="Times New Roman" w:hAnsi="Times New Roman" w:eastAsia="仿宋_GB2312" w:cs="Times New Roman"/>
                <w:sz w:val="24"/>
                <w:szCs w:val="24"/>
              </w:rPr>
              <w:t>储存量不超过5瓶或总质量不超过0.5t的易燃气体、液化气体、助燃气体、毒性气体气瓶存放点</w:t>
            </w:r>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19"/>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厂内机动车辆（含工程机械）</w:t>
            </w:r>
          </w:p>
        </w:tc>
      </w:tr>
    </w:tbl>
    <w:p>
      <w:pPr>
        <w:widowControl/>
        <w:jc w:val="left"/>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widowControl/>
        <w:jc w:val="left"/>
        <w:rPr>
          <w:rFonts w:ascii="Times New Roman" w:hAnsi="Times New Roman" w:eastAsia="仿宋_GB2312" w:cs="Times New Roman"/>
        </w:rPr>
      </w:pPr>
    </w:p>
    <w:p>
      <w:pPr>
        <w:keepNext/>
        <w:keepLines/>
        <w:spacing w:line="416" w:lineRule="auto"/>
        <w:ind w:firstLine="627" w:firstLineChars="196"/>
        <w:outlineLvl w:val="2"/>
        <w:rPr>
          <w:rFonts w:ascii="Times New Roman" w:hAnsi="Times New Roman" w:eastAsia="仿宋_GB2312" w:cs="Times New Roman"/>
          <w:b/>
          <w:bCs/>
          <w:sz w:val="32"/>
          <w:szCs w:val="32"/>
        </w:rPr>
      </w:pPr>
      <w:bookmarkStart w:id="56" w:name="_Toc92909958"/>
      <w:r>
        <w:rPr>
          <w:rFonts w:ascii="Times New Roman" w:hAnsi="Times New Roman" w:eastAsia="仿宋_GB2312" w:cs="Times New Roman"/>
          <w:b/>
          <w:bCs/>
          <w:sz w:val="32"/>
          <w:szCs w:val="32"/>
        </w:rPr>
        <w:t>3.2.2煤气设施</w:t>
      </w:r>
      <w:bookmarkEnd w:id="56"/>
    </w:p>
    <w:tbl>
      <w:tblPr>
        <w:tblStyle w:val="19"/>
        <w:tblW w:w="13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938"/>
        <w:gridCol w:w="733"/>
        <w:gridCol w:w="3910"/>
        <w:gridCol w:w="761"/>
        <w:gridCol w:w="3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642"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一级安全风险点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二级安全风险点</w:t>
            </w:r>
          </w:p>
        </w:tc>
        <w:tc>
          <w:tcPr>
            <w:tcW w:w="4643" w:type="dxa"/>
            <w:gridSpan w:val="2"/>
            <w:vAlign w:val="center"/>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三级安全风险点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煤气发生炉及上料系统</w:t>
            </w:r>
          </w:p>
        </w:tc>
        <w:tc>
          <w:tcPr>
            <w:tcW w:w="733" w:type="dxa"/>
            <w:vAlign w:val="center"/>
          </w:tcPr>
          <w:p>
            <w:pPr>
              <w:numPr>
                <w:ilvl w:val="0"/>
                <w:numId w:val="21"/>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煤气排水器</w:t>
            </w:r>
          </w:p>
        </w:tc>
        <w:tc>
          <w:tcPr>
            <w:tcW w:w="761" w:type="dxa"/>
            <w:vAlign w:val="center"/>
          </w:tcPr>
          <w:p>
            <w:pPr>
              <w:numPr>
                <w:ilvl w:val="0"/>
                <w:numId w:val="22"/>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煤气净化系统（含除尘系统）</w:t>
            </w:r>
          </w:p>
        </w:tc>
        <w:tc>
          <w:tcPr>
            <w:tcW w:w="733" w:type="dxa"/>
            <w:vAlign w:val="center"/>
          </w:tcPr>
          <w:p>
            <w:pPr>
              <w:numPr>
                <w:ilvl w:val="0"/>
                <w:numId w:val="21"/>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煤气放散管、吹扫管</w:t>
            </w:r>
          </w:p>
        </w:tc>
        <w:tc>
          <w:tcPr>
            <w:tcW w:w="761" w:type="dxa"/>
            <w:vAlign w:val="center"/>
          </w:tcPr>
          <w:p>
            <w:pPr>
              <w:numPr>
                <w:ilvl w:val="0"/>
                <w:numId w:val="22"/>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酚水池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煤气柜</w:t>
            </w:r>
          </w:p>
        </w:tc>
        <w:tc>
          <w:tcPr>
            <w:tcW w:w="733" w:type="dxa"/>
            <w:vAlign w:val="center"/>
          </w:tcPr>
          <w:p>
            <w:pPr>
              <w:numPr>
                <w:ilvl w:val="0"/>
                <w:numId w:val="21"/>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未跨越厂内主要道路的煤气管道</w:t>
            </w:r>
          </w:p>
        </w:tc>
        <w:tc>
          <w:tcPr>
            <w:tcW w:w="761" w:type="dxa"/>
            <w:vAlign w:val="center"/>
          </w:tcPr>
          <w:p>
            <w:pPr>
              <w:numPr>
                <w:ilvl w:val="0"/>
                <w:numId w:val="22"/>
              </w:num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煤气防护站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煤气加压机、混合站</w:t>
            </w:r>
          </w:p>
        </w:tc>
        <w:tc>
          <w:tcPr>
            <w:tcW w:w="733" w:type="dxa"/>
            <w:vAlign w:val="center"/>
          </w:tcPr>
          <w:p>
            <w:pPr>
              <w:numPr>
                <w:ilvl w:val="0"/>
                <w:numId w:val="21"/>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煤气管道可靠隔断装置操作平台</w:t>
            </w: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煤气站、煤气加压站（加压机房）休息室、控制室</w:t>
            </w:r>
          </w:p>
        </w:tc>
        <w:tc>
          <w:tcPr>
            <w:tcW w:w="733" w:type="dxa"/>
            <w:vAlign w:val="center"/>
          </w:tcPr>
          <w:p>
            <w:pPr>
              <w:numPr>
                <w:ilvl w:val="0"/>
                <w:numId w:val="21"/>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煤气区域的变配电装置</w:t>
            </w: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以煤气为燃料的燃烧装置</w:t>
            </w:r>
          </w:p>
        </w:tc>
        <w:tc>
          <w:tcPr>
            <w:tcW w:w="733" w:type="dxa"/>
            <w:vAlign w:val="center"/>
          </w:tcPr>
          <w:p>
            <w:pPr>
              <w:numPr>
                <w:ilvl w:val="0"/>
                <w:numId w:val="21"/>
              </w:num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蒸汽汽包</w:t>
            </w: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煤气隔断装置</w:t>
            </w:r>
          </w:p>
        </w:tc>
        <w:tc>
          <w:tcPr>
            <w:tcW w:w="733" w:type="dxa"/>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numPr>
                <w:ilvl w:val="0"/>
                <w:numId w:val="20"/>
              </w:num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跨越厂内主要道路的煤气管道</w:t>
            </w:r>
          </w:p>
        </w:tc>
        <w:tc>
          <w:tcPr>
            <w:tcW w:w="733" w:type="dxa"/>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vAlign w:val="center"/>
          </w:tcPr>
          <w:p>
            <w:p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p>
        </w:tc>
        <w:tc>
          <w:tcPr>
            <w:tcW w:w="733" w:type="dxa"/>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rPr>
                <w:rFonts w:ascii="Times New Roman" w:hAnsi="Times New Roman" w:eastAsia="仿宋_GB2312" w:cs="Times New Roman"/>
                <w:sz w:val="24"/>
                <w:szCs w:val="24"/>
              </w:rPr>
            </w:pPr>
          </w:p>
        </w:tc>
        <w:tc>
          <w:tcPr>
            <w:tcW w:w="3938" w:type="dxa"/>
            <w:vAlign w:val="center"/>
          </w:tcPr>
          <w:p>
            <w:pPr>
              <w:rPr>
                <w:rFonts w:ascii="Times New Roman" w:hAnsi="Times New Roman" w:eastAsia="仿宋_GB2312" w:cs="Times New Roman"/>
                <w:sz w:val="24"/>
                <w:szCs w:val="24"/>
              </w:rPr>
            </w:pPr>
          </w:p>
        </w:tc>
        <w:tc>
          <w:tcPr>
            <w:tcW w:w="733" w:type="dxa"/>
            <w:vAlign w:val="center"/>
          </w:tcPr>
          <w:p>
            <w:pPr>
              <w:rPr>
                <w:rFonts w:ascii="Times New Roman" w:hAnsi="Times New Roman" w:eastAsia="仿宋_GB2312" w:cs="Times New Roman"/>
                <w:sz w:val="24"/>
                <w:szCs w:val="24"/>
              </w:rPr>
            </w:pPr>
          </w:p>
        </w:tc>
        <w:tc>
          <w:tcPr>
            <w:tcW w:w="3910" w:type="dxa"/>
            <w:vAlign w:val="center"/>
          </w:tcPr>
          <w:p>
            <w:pPr>
              <w:rPr>
                <w:rFonts w:ascii="Times New Roman" w:hAnsi="Times New Roman" w:eastAsia="仿宋_GB2312" w:cs="Times New Roman"/>
                <w:sz w:val="24"/>
                <w:szCs w:val="24"/>
              </w:rPr>
            </w:pPr>
          </w:p>
        </w:tc>
        <w:tc>
          <w:tcPr>
            <w:tcW w:w="761" w:type="dxa"/>
            <w:vAlign w:val="center"/>
          </w:tcPr>
          <w:p>
            <w:pPr>
              <w:rPr>
                <w:rFonts w:ascii="Times New Roman" w:hAnsi="Times New Roman" w:eastAsia="仿宋_GB2312" w:cs="Times New Roman"/>
                <w:sz w:val="24"/>
                <w:szCs w:val="24"/>
              </w:rPr>
            </w:pPr>
          </w:p>
        </w:tc>
        <w:tc>
          <w:tcPr>
            <w:tcW w:w="3882" w:type="dxa"/>
            <w:vAlign w:val="center"/>
          </w:tcPr>
          <w:p>
            <w:pPr>
              <w:rPr>
                <w:rFonts w:ascii="Times New Roman" w:hAnsi="Times New Roman" w:eastAsia="仿宋_GB2312" w:cs="Times New Roman"/>
                <w:sz w:val="24"/>
                <w:szCs w:val="24"/>
              </w:rPr>
            </w:pPr>
          </w:p>
        </w:tc>
      </w:tr>
    </w:tbl>
    <w:p>
      <w:pPr>
        <w:widowControl/>
        <w:jc w:val="left"/>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t xml:space="preserve">  </w:t>
      </w:r>
      <w:r>
        <w:rPr>
          <w:rFonts w:ascii="Times New Roman" w:hAnsi="Times New Roman" w:eastAsia="仿宋_GB2312" w:cs="Times New Roman"/>
        </w:rPr>
        <w:br w:type="page"/>
      </w:r>
    </w:p>
    <w:p>
      <w:pPr>
        <w:keepNext/>
        <w:keepLines/>
        <w:spacing w:line="416" w:lineRule="auto"/>
        <w:ind w:firstLine="627" w:firstLineChars="196"/>
        <w:outlineLvl w:val="2"/>
        <w:rPr>
          <w:rFonts w:ascii="Times New Roman" w:hAnsi="Times New Roman" w:eastAsia="仿宋_GB2312" w:cs="Times New Roman"/>
          <w:b/>
          <w:bCs/>
          <w:sz w:val="32"/>
          <w:szCs w:val="32"/>
        </w:rPr>
      </w:pPr>
      <w:bookmarkStart w:id="57" w:name="_Toc92909959"/>
      <w:r>
        <w:rPr>
          <w:rFonts w:ascii="Times New Roman" w:hAnsi="Times New Roman" w:eastAsia="仿宋_GB2312" w:cs="Times New Roman"/>
          <w:b/>
          <w:bCs/>
          <w:sz w:val="32"/>
          <w:szCs w:val="32"/>
        </w:rPr>
        <w:t>3.2.3危险品仓库及公辅系统</w:t>
      </w:r>
      <w:bookmarkEnd w:id="57"/>
    </w:p>
    <w:tbl>
      <w:tblPr>
        <w:tblStyle w:val="19"/>
        <w:tblW w:w="13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938"/>
        <w:gridCol w:w="733"/>
        <w:gridCol w:w="3910"/>
        <w:gridCol w:w="761"/>
        <w:gridCol w:w="3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642" w:type="dxa"/>
            <w:gridSpan w:val="2"/>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一级安全风险点</w:t>
            </w:r>
          </w:p>
        </w:tc>
        <w:tc>
          <w:tcPr>
            <w:tcW w:w="4643" w:type="dxa"/>
            <w:gridSpan w:val="2"/>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二级安全风险点</w:t>
            </w:r>
          </w:p>
        </w:tc>
        <w:tc>
          <w:tcPr>
            <w:tcW w:w="4643" w:type="dxa"/>
            <w:gridSpan w:val="2"/>
          </w:tcPr>
          <w:p>
            <w:pPr>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三级安全风险点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numPr>
                <w:ilvl w:val="0"/>
                <w:numId w:val="23"/>
              </w:num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储存易燃、易爆、剧毒、易制毒化学品的仓库或储罐（区）</w:t>
            </w:r>
          </w:p>
        </w:tc>
        <w:tc>
          <w:tcPr>
            <w:tcW w:w="733" w:type="dxa"/>
          </w:tcPr>
          <w:p>
            <w:pPr>
              <w:numPr>
                <w:ilvl w:val="0"/>
                <w:numId w:val="24"/>
              </w:num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储存除易燃、易爆、剧毒、易制毒化学品以外的其他化学品仓库或储罐（区）</w:t>
            </w: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工业梯台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numPr>
                <w:ilvl w:val="0"/>
                <w:numId w:val="23"/>
              </w:num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柴油（罐）库</w:t>
            </w:r>
          </w:p>
        </w:tc>
        <w:tc>
          <w:tcPr>
            <w:tcW w:w="733" w:type="dxa"/>
          </w:tcPr>
          <w:p>
            <w:pPr>
              <w:numPr>
                <w:ilvl w:val="0"/>
                <w:numId w:val="24"/>
              </w:num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润滑油库</w:t>
            </w: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移动平台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空压机（站、水冷却系统）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工业管道（不含煤气管道）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变配电系统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临时低压电气线路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动力（照明）配电箱（柜、板）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雷电防护系统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电焊设备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手持电动工具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移动电气设备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电气试验站（台、室）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给排水系统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发电机、汽轮机及其油系统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4" w:type="dxa"/>
          </w:tcPr>
          <w:p>
            <w:pPr>
              <w:rPr>
                <w:rFonts w:ascii="Times New Roman" w:hAnsi="Times New Roman" w:eastAsia="仿宋_GB2312" w:cs="Times New Roman"/>
                <w:sz w:val="24"/>
                <w:szCs w:val="24"/>
              </w:rPr>
            </w:pPr>
          </w:p>
        </w:tc>
        <w:tc>
          <w:tcPr>
            <w:tcW w:w="3938" w:type="dxa"/>
          </w:tcPr>
          <w:p>
            <w:pPr>
              <w:rPr>
                <w:rFonts w:ascii="Times New Roman" w:hAnsi="Times New Roman" w:eastAsia="仿宋_GB2312" w:cs="Times New Roman"/>
                <w:sz w:val="24"/>
                <w:szCs w:val="24"/>
              </w:rPr>
            </w:pPr>
          </w:p>
        </w:tc>
        <w:tc>
          <w:tcPr>
            <w:tcW w:w="733" w:type="dxa"/>
          </w:tcPr>
          <w:p>
            <w:pPr>
              <w:rPr>
                <w:rFonts w:ascii="Times New Roman" w:hAnsi="Times New Roman" w:eastAsia="仿宋_GB2312" w:cs="Times New Roman"/>
                <w:sz w:val="24"/>
                <w:szCs w:val="24"/>
              </w:rPr>
            </w:pPr>
          </w:p>
        </w:tc>
        <w:tc>
          <w:tcPr>
            <w:tcW w:w="3910" w:type="dxa"/>
          </w:tcPr>
          <w:p>
            <w:pPr>
              <w:rPr>
                <w:rFonts w:ascii="Times New Roman" w:hAnsi="Times New Roman" w:eastAsia="仿宋_GB2312" w:cs="Times New Roman"/>
                <w:sz w:val="24"/>
                <w:szCs w:val="24"/>
              </w:rPr>
            </w:pPr>
          </w:p>
        </w:tc>
        <w:tc>
          <w:tcPr>
            <w:tcW w:w="761" w:type="dxa"/>
          </w:tcPr>
          <w:p>
            <w:pPr>
              <w:numPr>
                <w:ilvl w:val="0"/>
                <w:numId w:val="25"/>
              </w:numPr>
              <w:rPr>
                <w:rFonts w:ascii="Times New Roman" w:hAnsi="Times New Roman" w:eastAsia="仿宋_GB2312" w:cs="Times New Roman"/>
                <w:sz w:val="24"/>
                <w:szCs w:val="24"/>
              </w:rPr>
            </w:pPr>
          </w:p>
        </w:tc>
        <w:tc>
          <w:tcPr>
            <w:tcW w:w="3882" w:type="dxa"/>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砂轮机</w:t>
            </w:r>
          </w:p>
        </w:tc>
      </w:tr>
    </w:tbl>
    <w:p>
      <w:pPr>
        <w:widowControl/>
        <w:jc w:val="left"/>
        <w:rPr>
          <w:rFonts w:ascii="Times New Roman" w:hAnsi="Times New Roman" w:eastAsia="仿宋_GB2312" w:cs="Times New Roman"/>
          <w:sz w:val="32"/>
          <w:szCs w:val="32"/>
        </w:rPr>
      </w:pPr>
    </w:p>
    <w:p>
      <w:pPr>
        <w:ind w:firstLine="640" w:firstLineChars="200"/>
        <w:rPr>
          <w:rFonts w:ascii="Times New Roman" w:hAnsi="Times New Roman" w:eastAsia="仿宋_GB2312" w:cs="Times New Roman"/>
          <w:sz w:val="32"/>
          <w:szCs w:val="32"/>
        </w:rPr>
      </w:pPr>
    </w:p>
    <w:p>
      <w:pPr>
        <w:pStyle w:val="3"/>
        <w:numPr>
          <w:ilvl w:val="0"/>
          <w:numId w:val="2"/>
        </w:numPr>
        <w:spacing w:before="0" w:after="0"/>
        <w:ind w:left="420" w:hanging="420"/>
        <w:jc w:val="center"/>
        <w:rPr>
          <w:rFonts w:ascii="Times New Roman" w:hAnsi="Times New Roman" w:eastAsia="仿宋_GB2312"/>
          <w:sz w:val="36"/>
          <w:szCs w:val="36"/>
        </w:rPr>
      </w:pPr>
      <w:bookmarkStart w:id="58" w:name="_Toc92909960"/>
      <w:r>
        <w:rPr>
          <w:rFonts w:ascii="Times New Roman" w:hAnsi="Times New Roman" w:eastAsia="仿宋_GB2312"/>
          <w:sz w:val="36"/>
          <w:szCs w:val="36"/>
        </w:rPr>
        <w:t>行业类安全风险点判别参考标准</w:t>
      </w:r>
      <w:bookmarkEnd w:id="58"/>
    </w:p>
    <w:p>
      <w:pPr>
        <w:pStyle w:val="4"/>
        <w:spacing w:before="0" w:after="0"/>
        <w:ind w:firstLine="627" w:firstLineChars="196"/>
        <w:rPr>
          <w:rFonts w:ascii="Times New Roman" w:hAnsi="Times New Roman" w:eastAsia="仿宋_GB2312"/>
        </w:rPr>
      </w:pPr>
      <w:bookmarkStart w:id="59" w:name="_Toc92909961"/>
      <w:r>
        <w:rPr>
          <w:rFonts w:ascii="Times New Roman" w:hAnsi="Times New Roman" w:eastAsia="仿宋_GB2312"/>
        </w:rPr>
        <w:t>4.1冶金行业</w:t>
      </w:r>
      <w:bookmarkEnd w:id="59"/>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4.1.1烧结球团</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15"/>
                <w:szCs w:val="15"/>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11"/>
                <w:szCs w:val="11"/>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15"/>
                <w:szCs w:val="15"/>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15"/>
                <w:szCs w:val="15"/>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center"/>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竖（炉）窑、回转窑、干燥窑</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中毒和窒息、火灾、其他爆炸、高处坠落、机械伤害、坍塌</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旋转（传动）部位采取防护隔离措施；</w:t>
            </w:r>
          </w:p>
          <w:p>
            <w:pPr>
              <w:pStyle w:val="26"/>
              <w:numPr>
                <w:ilvl w:val="0"/>
                <w:numId w:val="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可能产生一氧化碳等有毒气体的场所设置检测报警装置；</w:t>
            </w:r>
          </w:p>
          <w:p>
            <w:pPr>
              <w:pStyle w:val="26"/>
              <w:numPr>
                <w:ilvl w:val="0"/>
                <w:numId w:val="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严格执行有限空间作业、高处作业等危险作业审批与监护制度。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4" w:space="0"/>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烧结机、预热炉</w:t>
            </w:r>
          </w:p>
        </w:tc>
        <w:tc>
          <w:tcPr>
            <w:tcW w:w="1864" w:type="dxa"/>
            <w:tcBorders>
              <w:top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4" w:space="0"/>
              <w:right w:val="single" w:color="auto" w:sz="12" w:space="0"/>
            </w:tcBorders>
            <w:vAlign w:val="center"/>
          </w:tcPr>
          <w:p>
            <w:pPr>
              <w:pStyle w:val="26"/>
              <w:numPr>
                <w:ilvl w:val="0"/>
                <w:numId w:val="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旋转（传动）部位采取防护隔离措施；</w:t>
            </w:r>
          </w:p>
          <w:p>
            <w:pPr>
              <w:pStyle w:val="26"/>
              <w:numPr>
                <w:ilvl w:val="0"/>
                <w:numId w:val="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燃烧装置区域设置一氧化碳检测报警装置；</w:t>
            </w:r>
          </w:p>
          <w:p>
            <w:pPr>
              <w:pStyle w:val="26"/>
              <w:numPr>
                <w:ilvl w:val="0"/>
                <w:numId w:val="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严格执行有限空间作业、高处作业等危险作业审批与监护制度。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烟气氨法脱硫液氨站、氨水站（含储罐、卸氨点和稀释点）</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释放源点附近及屋顶设置氨气浓度检测报警装置；</w:t>
            </w:r>
          </w:p>
          <w:p>
            <w:pPr>
              <w:pStyle w:val="26"/>
              <w:numPr>
                <w:ilvl w:val="0"/>
                <w:numId w:val="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设置罐体、管道防雷防静电接地装置，设置人体和车辆导除静电接地装置；</w:t>
            </w:r>
          </w:p>
          <w:p>
            <w:pPr>
              <w:pStyle w:val="26"/>
              <w:numPr>
                <w:ilvl w:val="0"/>
                <w:numId w:val="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严禁烟火，加强火种管理；</w:t>
            </w:r>
          </w:p>
          <w:p>
            <w:pPr>
              <w:pStyle w:val="26"/>
              <w:numPr>
                <w:ilvl w:val="0"/>
                <w:numId w:val="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按GB38144规定设置洗眼喷淋装置；</w:t>
            </w:r>
          </w:p>
          <w:p>
            <w:pPr>
              <w:pStyle w:val="26"/>
              <w:numPr>
                <w:ilvl w:val="0"/>
                <w:numId w:val="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严格执行有限空间作业等危险作业审批与监护制度。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烧结燃料破碎除尘系统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除尘系统采取泄爆等</w:t>
            </w:r>
            <w:r>
              <w:rPr>
                <w:rFonts w:hint="eastAsia" w:ascii="Times New Roman" w:hAnsi="Times New Roman" w:eastAsia="仿宋_GB2312" w:cs="Times New Roman"/>
                <w:sz w:val="24"/>
                <w:szCs w:val="24"/>
              </w:rPr>
              <w:t>粉尘</w:t>
            </w:r>
            <w:r>
              <w:rPr>
                <w:rFonts w:ascii="Times New Roman" w:hAnsi="Times New Roman" w:eastAsia="仿宋_GB2312" w:cs="Times New Roman"/>
                <w:sz w:val="24"/>
                <w:szCs w:val="24"/>
              </w:rPr>
              <w:t>防爆安全措施；</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除尘器设置锁气卸灰装置；</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电气设备应满足粉尘防爆的要求；</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管道连接处（法兰或软连接）应采取导静电跨接；</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严禁烟火，加强火种管理；</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制定粉尘清理制度，并定期规范清理积尘；</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严格执行有限空间作业等危险作业审批与监护制度。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烧结煤粉制备系统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煤粉制备系统规范设置温度、氧含量、一氧化碳监测装置；并设置惰性气体灭火装置；</w:t>
            </w:r>
          </w:p>
          <w:p>
            <w:pPr>
              <w:pStyle w:val="26"/>
              <w:numPr>
                <w:ilvl w:val="0"/>
                <w:numId w:val="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磨机、煤粉仓、除尘器应采取泄爆等控爆措施；</w:t>
            </w:r>
          </w:p>
          <w:p>
            <w:pPr>
              <w:pStyle w:val="26"/>
              <w:numPr>
                <w:ilvl w:val="0"/>
                <w:numId w:val="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除尘器设置锁气卸灰装置；</w:t>
            </w:r>
          </w:p>
          <w:p>
            <w:pPr>
              <w:pStyle w:val="26"/>
              <w:numPr>
                <w:ilvl w:val="0"/>
                <w:numId w:val="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电气设备应满足粉尘防爆的要求；</w:t>
            </w:r>
          </w:p>
          <w:p>
            <w:pPr>
              <w:pStyle w:val="26"/>
              <w:numPr>
                <w:ilvl w:val="0"/>
                <w:numId w:val="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管道连接处（法兰或软连接）应采取导静电跨接；</w:t>
            </w:r>
          </w:p>
          <w:p>
            <w:pPr>
              <w:pStyle w:val="26"/>
              <w:numPr>
                <w:ilvl w:val="0"/>
                <w:numId w:val="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原煤输送系统，应设除铁器和杂物筛；</w:t>
            </w:r>
          </w:p>
          <w:p>
            <w:pPr>
              <w:pStyle w:val="26"/>
              <w:numPr>
                <w:ilvl w:val="0"/>
                <w:numId w:val="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制定粉尘清理制度，并定期规范清理积尘；</w:t>
            </w:r>
          </w:p>
          <w:p>
            <w:pPr>
              <w:pStyle w:val="26"/>
              <w:numPr>
                <w:ilvl w:val="0"/>
                <w:numId w:val="31"/>
              </w:numPr>
              <w:tabs>
                <w:tab w:val="left" w:pos="877"/>
              </w:tabs>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1"/>
              </w:numPr>
              <w:tabs>
                <w:tab w:val="left" w:pos="877"/>
              </w:tabs>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1"/>
              </w:numPr>
              <w:tabs>
                <w:tab w:val="left" w:pos="877"/>
              </w:tabs>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严格执行有限空间作业等危险作业审批与监护制度。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烧结一次、二次混料筒</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规范设置隔离措施；</w:t>
            </w:r>
          </w:p>
          <w:p>
            <w:pPr>
              <w:pStyle w:val="26"/>
              <w:numPr>
                <w:ilvl w:val="0"/>
                <w:numId w:val="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就地控制箱应有能量锁定功能；</w:t>
            </w:r>
          </w:p>
          <w:p>
            <w:pPr>
              <w:pStyle w:val="26"/>
              <w:numPr>
                <w:ilvl w:val="0"/>
                <w:numId w:val="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烧结球团、活性石灰原料场的料仓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料仓规范设置安全车挡和格栅；</w:t>
            </w:r>
          </w:p>
          <w:p>
            <w:pPr>
              <w:pStyle w:val="26"/>
              <w:numPr>
                <w:ilvl w:val="0"/>
                <w:numId w:val="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球团圆盘造粒机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规范设置隔离防护措施；</w:t>
            </w:r>
          </w:p>
          <w:p>
            <w:pPr>
              <w:pStyle w:val="26"/>
              <w:numPr>
                <w:ilvl w:val="0"/>
                <w:numId w:val="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就地控制箱应有能量锁定功能；</w:t>
            </w:r>
          </w:p>
          <w:p>
            <w:pPr>
              <w:pStyle w:val="26"/>
              <w:numPr>
                <w:ilvl w:val="0"/>
                <w:numId w:val="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带式输送机（含带式称重装置、热返矿皮带等）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w:t>
            </w:r>
            <w:r>
              <w:rPr>
                <w:rFonts w:hint="eastAsia" w:ascii="Times New Roman" w:hAnsi="Times New Roman" w:eastAsia="仿宋_GB2312" w:cs="Times New Roman"/>
                <w:sz w:val="24"/>
                <w:szCs w:val="24"/>
              </w:rPr>
              <w:t>的</w:t>
            </w:r>
            <w:r>
              <w:rPr>
                <w:rFonts w:ascii="Times New Roman" w:hAnsi="Times New Roman" w:eastAsia="仿宋_GB2312" w:cs="Times New Roman"/>
                <w:sz w:val="24"/>
                <w:szCs w:val="24"/>
              </w:rPr>
              <w:t>要求</w:t>
            </w:r>
            <w:r>
              <w:rPr>
                <w:rFonts w:hint="eastAsia" w:ascii="Times New Roman" w:hAnsi="Times New Roman" w:eastAsia="仿宋_GB2312" w:cs="Times New Roman"/>
                <w:sz w:val="24"/>
                <w:szCs w:val="24"/>
              </w:rPr>
              <w:t>，在</w:t>
            </w:r>
            <w:r>
              <w:rPr>
                <w:rFonts w:ascii="Times New Roman" w:hAnsi="Times New Roman" w:eastAsia="仿宋_GB2312" w:cs="Times New Roman"/>
                <w:sz w:val="24"/>
                <w:szCs w:val="24"/>
              </w:rPr>
              <w:t>头轮、尾轮、拉紧装置、托辊等处规范设置隔离防护措施；</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设置热返矿温度监测报警装置，矿料温度不超过120℃；</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就地控制箱应有能量锁定功能；</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各料仓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32"/>
                <w:szCs w:val="32"/>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料仓下料口规范设置安全车挡和格栅；</w:t>
            </w:r>
          </w:p>
          <w:p>
            <w:pPr>
              <w:pStyle w:val="26"/>
              <w:numPr>
                <w:ilvl w:val="0"/>
                <w:numId w:val="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26"/>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烧结球团炉（窑）控制室和煤气区域的休息室、会议室、值班室</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煤气影响区域的控制室、休息室、会议室、值班室设置固定式一氧化碳检测报警装置；</w:t>
            </w:r>
          </w:p>
          <w:p>
            <w:pPr>
              <w:pStyle w:val="26"/>
              <w:numPr>
                <w:ilvl w:val="0"/>
                <w:numId w:val="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b/>
          <w:sz w:val="32"/>
          <w:szCs w:val="32"/>
        </w:rPr>
        <w:t>烧结球团3级安全风险点主要包括：烧结原料场堆、取料机、运输车辆；铁路运输卸料处的翻车机；烧结破碎机、环冷机等。</w:t>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4.1.2炼铁</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center"/>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高炉本体、炉基、炉底</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中毒和窒息、火灾、其他爆炸、高处坠落、坍塌</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炉基周围应保持干燥，不应积水和堆积废料；炉基水槽应保持畅通；</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热电偶应对整个炉底进行自动、连续测温，其结果应正确显示于中控室（值班室）；采用强制通风冷却炉底时，炉基温度不宜高于 250℃；采用水冷却炉底时，炉基温度不宜高于 100℃；</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高炉应有事故供水设施；</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高炉应安装环绕炉身的检修平台，平台与炉壳之间应留有间隙，检修平台之间宜设两个走梯；</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煤气管道应设置吹扫、放散和可靠隔断装置；</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煤气区域应悬挂醒目的警示标志；</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p>
            <w:pPr>
              <w:pStyle w:val="26"/>
              <w:numPr>
                <w:ilvl w:val="0"/>
                <w:numId w:val="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应组成生产厂长（总工程师）为首的领导小组，负责指挥开、停炉，并负责制定开、停炉方案、工作细则和安全技术措施；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4" w:space="0"/>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tcBorders>
              <w:top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高炉风口及以上工作平台</w:t>
            </w:r>
          </w:p>
        </w:tc>
        <w:tc>
          <w:tcPr>
            <w:tcW w:w="1864" w:type="dxa"/>
            <w:tcBorders>
              <w:top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4" w:space="0"/>
              <w:right w:val="single" w:color="auto" w:sz="12" w:space="0"/>
            </w:tcBorders>
            <w:vAlign w:val="center"/>
          </w:tcPr>
          <w:p>
            <w:pPr>
              <w:pStyle w:val="26"/>
              <w:numPr>
                <w:ilvl w:val="0"/>
                <w:numId w:val="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高炉风口（及以上</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平台等易产生煤气泄漏而人员作业频率较高的区域，设固定式一氧化碳监测报警装置；</w:t>
            </w:r>
          </w:p>
          <w:p>
            <w:pPr>
              <w:pStyle w:val="26"/>
              <w:numPr>
                <w:ilvl w:val="0"/>
                <w:numId w:val="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无关人员未经许可禁止进入风口平台及以上的地点。通往炉顶的各类入口，应设立</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煤气危险区，禁止单独工作！</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的警示标志；</w:t>
            </w:r>
          </w:p>
          <w:p>
            <w:pPr>
              <w:pStyle w:val="26"/>
              <w:numPr>
                <w:ilvl w:val="0"/>
                <w:numId w:val="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高炉炉前出铁场及受铁口</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炉前出铁场，应设防雨棚；渣口和渣铁罐上面，应设防雨棚和排烟罩；防雨屋面下沿檐口高度应大于17 m；</w:t>
            </w:r>
          </w:p>
          <w:p>
            <w:pPr>
              <w:pStyle w:val="26"/>
              <w:numPr>
                <w:ilvl w:val="0"/>
                <w:numId w:val="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炉前出铁场地面严禁有非生产性积水；</w:t>
            </w:r>
          </w:p>
          <w:p>
            <w:pPr>
              <w:pStyle w:val="26"/>
              <w:numPr>
                <w:ilvl w:val="0"/>
                <w:numId w:val="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渣、铁沟应有供横跨用的活动小桥或盖板。撇渣器上应设防护罩，渣口正前方应设挡渣墙；</w:t>
            </w:r>
          </w:p>
          <w:p>
            <w:pPr>
              <w:pStyle w:val="26"/>
              <w:numPr>
                <w:ilvl w:val="0"/>
                <w:numId w:val="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高炉出铁场上应设置通风除尘设施；</w:t>
            </w:r>
          </w:p>
          <w:p>
            <w:pPr>
              <w:pStyle w:val="26"/>
              <w:numPr>
                <w:ilvl w:val="0"/>
                <w:numId w:val="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炼铁的高炉炉前休息室（含看水工休息室）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设置固定式一氧化碳检测报警装置；</w:t>
            </w:r>
          </w:p>
          <w:p>
            <w:pPr>
              <w:pStyle w:val="26"/>
              <w:numPr>
                <w:ilvl w:val="0"/>
                <w:numId w:val="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泥炮机操作室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设置固定式一氧化碳检测报警装置；</w:t>
            </w:r>
          </w:p>
          <w:p>
            <w:pPr>
              <w:pStyle w:val="26"/>
              <w:numPr>
                <w:ilvl w:val="0"/>
                <w:numId w:val="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操作室观察窗不应正对出铁口；</w:t>
            </w:r>
          </w:p>
          <w:p>
            <w:pPr>
              <w:pStyle w:val="26"/>
              <w:numPr>
                <w:ilvl w:val="0"/>
                <w:numId w:val="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泥炮应由专人操作，炮泥应按规定标准配制；</w:t>
            </w:r>
          </w:p>
          <w:p>
            <w:pPr>
              <w:pStyle w:val="26"/>
              <w:numPr>
                <w:ilvl w:val="0"/>
                <w:numId w:val="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热风炉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热风炉煤气总管应有符合 GB6222 要求的可靠隔断装置；</w:t>
            </w:r>
          </w:p>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热风炉与鼓风机站之间、热风炉各部位之间，设有必要的安全联锁；</w:t>
            </w:r>
          </w:p>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热风炉的平台及走道，应经常清扫，不应堆放杂物，主要操作平台应设两条通道；</w:t>
            </w:r>
          </w:p>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热风炉操作平台等易产生煤气泄漏而人员作业频率较高的区域，应设固定式一氧化碳监测报警装置；</w:t>
            </w:r>
          </w:p>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高炉煤气回收除尘器（含重力除尘、布袋除尘）</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煤气管道规范设置吹扫、放散和可靠隔断装置；</w:t>
            </w:r>
          </w:p>
          <w:p>
            <w:pPr>
              <w:pStyle w:val="26"/>
              <w:numPr>
                <w:ilvl w:val="0"/>
                <w:numId w:val="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除尘器规范设置锁气卸灰装置；</w:t>
            </w:r>
          </w:p>
          <w:p>
            <w:pPr>
              <w:pStyle w:val="26"/>
              <w:numPr>
                <w:ilvl w:val="0"/>
                <w:numId w:val="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卸灰装置平台应设置固定式一氧化碳检测仪；</w:t>
            </w:r>
          </w:p>
          <w:p>
            <w:pPr>
              <w:pStyle w:val="26"/>
              <w:numPr>
                <w:ilvl w:val="0"/>
                <w:numId w:val="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高炉煤气余压透平发电装置（TRT）、高炉煤气余压透平鼓风装置（BPRT）</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TRT（BPRT）装置在靠近煤气主管的入口侧、出口侧煤气管道应设可靠隔断装置；</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发电机及电力系统发生故障时连锁透平机组停机；</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安装在主厂房的电气设备满足GB50058的要求；</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TRT（BPRT）装置的操作控制室、润滑油站、液压站、变压器室等设置火灾自动报警系统；</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设在主厂房的TRT（BPRT）装置透平机，应设在线煤气泄漏报警设施，封闭厂房必须设置事故排风机；</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TRT（BPRT）透平膨胀机停机的危急保安、厂房机械排风机开机在现场设有操作控制设施；</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高炉煤粉制备及喷吹系统（含煤磨机、煤粉仓、除尘器、喷吹罐、木屑分离器、混合器等）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煤粉制备系统规范设置温度、氧含量、一氧化碳监测装置；并设置惰性气体灭火装置；</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磨机、煤粉仓、除尘器应采取泄爆等控爆措施；</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除尘器设置锁气卸灰装置；</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电气设备应满足粉尘防爆的要求；</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管道连接处（法兰或软连接）应采取导静电跨接；</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原煤输送系统，应设除铁器和杂物筛；</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煤粉、空气的混合器，不应安设在风口平台上；</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制定粉尘清理制度，并定期规范清理积尘；</w:t>
            </w:r>
          </w:p>
          <w:p>
            <w:pPr>
              <w:pStyle w:val="26"/>
              <w:numPr>
                <w:ilvl w:val="0"/>
                <w:numId w:val="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采用爆破法拆除炉墙砖衬、炉瘤和死铁层的高炉炉内</w:t>
            </w:r>
          </w:p>
        </w:tc>
        <w:tc>
          <w:tcPr>
            <w:tcW w:w="186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委托具有爆破资质的单位进行爆破，并与其签订安全协议；</w:t>
            </w:r>
          </w:p>
          <w:p>
            <w:pPr>
              <w:pStyle w:val="26"/>
              <w:numPr>
                <w:ilvl w:val="0"/>
                <w:numId w:val="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协助爆破单位按 GB6722 的有关规定进行爆破；</w:t>
            </w:r>
          </w:p>
          <w:p>
            <w:pPr>
              <w:pStyle w:val="26"/>
              <w:numPr>
                <w:ilvl w:val="0"/>
                <w:numId w:val="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铸铁机</w:t>
            </w:r>
          </w:p>
        </w:tc>
        <w:tc>
          <w:tcPr>
            <w:tcW w:w="186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火灾、其他爆炸、高处坠落、机械伤害、物体打击</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铸铁机地坑内不应有积水；</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铸模内不应有水，模耳磨损不应大于 5%，不应使用开裂及内表面有缺陷的铸模；</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铸铁车间的铁水罐道两侧，应设带栏杆的人行道，行人应在线界以外行走；</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铸铁机链带下面（有人出入的地方），应设置防护格网；</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翻罐提升机和移动小车，应有电动极限控制装置；</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铸铁机应专人操作，启动前应发出声光信号；</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剩余煤气放散装置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炉顶放散阀，应比卷扬机顶部绳轮平台至少高出3m，并能在中控室或卷扬机室控制操作；</w:t>
            </w:r>
          </w:p>
          <w:p>
            <w:pPr>
              <w:pStyle w:val="26"/>
              <w:numPr>
                <w:ilvl w:val="0"/>
                <w:numId w:val="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巡检人员应携带一氧化碳检测报警仪；</w:t>
            </w:r>
          </w:p>
          <w:p>
            <w:pPr>
              <w:pStyle w:val="26"/>
              <w:numPr>
                <w:ilvl w:val="0"/>
                <w:numId w:val="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高炉煤气余压透平发电装置（TRT）、高炉煤气余压透平鼓风装置（BPRT）控制室、休息室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设置固定式一氧化碳检测报警装置；</w:t>
            </w:r>
          </w:p>
          <w:p>
            <w:pPr>
              <w:pStyle w:val="26"/>
              <w:numPr>
                <w:ilvl w:val="0"/>
                <w:numId w:val="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铁水罐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火灾、其他爆炸、起重伤害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铁水罐的壳体上，应有排气孔；</w:t>
            </w:r>
          </w:p>
          <w:p>
            <w:pPr>
              <w:pStyle w:val="26"/>
              <w:numPr>
                <w:ilvl w:val="0"/>
                <w:numId w:val="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罐体耳轴，应位于罐体合成重心以上 0.2m~0.4m 的对称中心，其安全系数应不小于8；</w:t>
            </w:r>
          </w:p>
          <w:p>
            <w:pPr>
              <w:pStyle w:val="26"/>
              <w:numPr>
                <w:ilvl w:val="0"/>
                <w:numId w:val="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应对罐体和耳轴进行探伤检测，耳轴每年检测一次，罐体</w:t>
            </w:r>
            <w:r>
              <w:rPr>
                <w:rFonts w:hint="eastAsia" w:ascii="Times New Roman" w:hAnsi="Times New Roman" w:eastAsia="仿宋_GB2312" w:cs="Times New Roman"/>
                <w:sz w:val="24"/>
                <w:szCs w:val="24"/>
              </w:rPr>
              <w:t>每</w:t>
            </w:r>
            <w:r>
              <w:rPr>
                <w:rFonts w:ascii="Times New Roman" w:hAnsi="Times New Roman" w:eastAsia="仿宋_GB2312" w:cs="Times New Roman"/>
                <w:sz w:val="24"/>
                <w:szCs w:val="24"/>
              </w:rPr>
              <w:t>2年检测一次，做好记录，并存档；凡耳轴出现内裂纹、壳体焊缝开裂、明显变形、耳轴磨损大于直径的 10%、机械失灵、衬砖损坏超过规定，均应报修或报废；</w:t>
            </w:r>
          </w:p>
          <w:p>
            <w:pPr>
              <w:pStyle w:val="26"/>
              <w:numPr>
                <w:ilvl w:val="0"/>
                <w:numId w:val="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建立铁罐内衬定期监测和检查制度，不应使用轴耳开裂、内衬损坏的铁罐，重罐不应落地；</w:t>
            </w:r>
          </w:p>
          <w:p>
            <w:pPr>
              <w:pStyle w:val="26"/>
              <w:numPr>
                <w:ilvl w:val="0"/>
                <w:numId w:val="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使用的铁水罐应烘干，不应有水、潮湿杂物和易燃易爆物；</w:t>
            </w:r>
          </w:p>
          <w:p>
            <w:pPr>
              <w:pStyle w:val="26"/>
              <w:numPr>
                <w:ilvl w:val="0"/>
                <w:numId w:val="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铁水罐内的铁液面，应低于罐沿 0.3m，铁水罐受料时，不应移动；</w:t>
            </w:r>
          </w:p>
          <w:p>
            <w:pPr>
              <w:pStyle w:val="26"/>
              <w:numPr>
                <w:ilvl w:val="0"/>
                <w:numId w:val="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高炉上料系统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火灾、其他爆炸、高处坠落、机械伤害、物体打击</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单料车的高炉料坑，料车至周围构筑物的距离应大于 1.2m；大、中型高炉料车至周围构筑物的距离则应大于 2.5m；</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料坑上面应有装料指示灯，料坑底应设料车缓冲挡木和坡度为 1%～3%的斜坡；</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料坑应设有两个出入口，出入口不应正对料车轨道；</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斜桥下面应设有防护板或防护网，斜桥一侧应设通往炉顶的走梯；</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运行中的料车和平衡车，不应乘人；</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料车应用两条钢丝绳牵引；其每条钢丝绳的安全系数应不小于 6，钢丝绳定期检查和更新应按 GB/T 6067.1 执行；</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主卷扬机应有钢丝绳松</w:t>
            </w:r>
            <w:r>
              <w:rPr>
                <w:rFonts w:hint="eastAsia" w:ascii="Times New Roman" w:hAnsi="Times New Roman" w:eastAsia="仿宋_GB2312" w:cs="Times New Roman"/>
                <w:sz w:val="24"/>
                <w:szCs w:val="24"/>
                <w:lang w:eastAsia="zh-CN"/>
              </w:rPr>
              <w:t>弛</w:t>
            </w:r>
            <w:bookmarkStart w:id="67" w:name="_GoBack"/>
            <w:bookmarkEnd w:id="67"/>
            <w:r>
              <w:rPr>
                <w:rFonts w:ascii="Times New Roman" w:hAnsi="Times New Roman" w:eastAsia="仿宋_GB2312" w:cs="Times New Roman"/>
                <w:sz w:val="24"/>
                <w:szCs w:val="24"/>
              </w:rPr>
              <w:t>保护和极限张力保护装置。料车应有行程极限、超极限双重保护装置和高速区、低速区的限速保护装置；</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卷扬机运转部件，应有防护罩或栏杆；</w:t>
            </w:r>
          </w:p>
          <w:p>
            <w:pPr>
              <w:pStyle w:val="26"/>
              <w:numPr>
                <w:ilvl w:val="0"/>
                <w:numId w:val="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沿皮带全长设置手动复位的拉绳开关或急停开关；</w:t>
            </w:r>
          </w:p>
          <w:p>
            <w:pPr>
              <w:pStyle w:val="26"/>
              <w:numPr>
                <w:ilvl w:val="0"/>
                <w:numId w:val="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矿槽、焦槽等料槽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矿槽、料斗、中间仓、焦粉仓、矿粉仓及称量斗等的侧壁和衬板，应有不小于 50°的倾角，以保证正常放料；</w:t>
            </w:r>
          </w:p>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焦粉仓下部的温度，宜在 0℃以上；</w:t>
            </w:r>
          </w:p>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矿槽、焦槽槽面卸料口应设有网孔不大于 300mm×300mm 的格栅；打开格栅应经批准，并采取防护措施；格栅损坏应立即修复；</w:t>
            </w:r>
          </w:p>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原、燃料卸料车在矿槽、焦槽卸料区间的运行速度，不应超过 1m/s，且运行时有声光报警信号；</w:t>
            </w:r>
          </w:p>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进入槽内工作，应佩戴安全带、氧气检测仪，设置警示标志；</w:t>
            </w:r>
          </w:p>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严格执行有限空间作业等危险作业审批制度。、高处作业。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高炉、热风炉控制室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设置在煤气影响区域内的控制室应设置固定式一氧化碳检测报警装置；</w:t>
            </w:r>
          </w:p>
          <w:p>
            <w:pPr>
              <w:pStyle w:val="26"/>
              <w:numPr>
                <w:ilvl w:val="0"/>
                <w:numId w:val="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干渣坑</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干渣坑应有可靠的排水设施并保持干燥，不应存在积水；</w:t>
            </w:r>
          </w:p>
          <w:p>
            <w:pPr>
              <w:pStyle w:val="26"/>
              <w:numPr>
                <w:ilvl w:val="0"/>
                <w:numId w:val="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不应摆放易燃、易爆及可燃物品；</w:t>
            </w:r>
          </w:p>
          <w:p>
            <w:pPr>
              <w:pStyle w:val="26"/>
              <w:numPr>
                <w:ilvl w:val="0"/>
                <w:numId w:val="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靠高炉平台临边应设置防护栏。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道路运输铁水车辆</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火灾、其他爆炸、车辆伤害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厂内铁水采用汽车运输时，应采用特种专用车辆，尽量减少铁水运输距离；</w:t>
            </w:r>
          </w:p>
          <w:p>
            <w:pPr>
              <w:pStyle w:val="26"/>
              <w:numPr>
                <w:ilvl w:val="0"/>
                <w:numId w:val="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厂外铁水运输应遵守交通管理部门的有关规定；</w:t>
            </w:r>
          </w:p>
          <w:p>
            <w:pPr>
              <w:pStyle w:val="26"/>
              <w:numPr>
                <w:ilvl w:val="0"/>
                <w:numId w:val="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载运炽热物体应使用专用的柴油车，其油箱应采取隔热措施；</w:t>
            </w:r>
          </w:p>
          <w:p>
            <w:pPr>
              <w:pStyle w:val="26"/>
              <w:numPr>
                <w:ilvl w:val="0"/>
                <w:numId w:val="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车辆运行时，应发出声光信号；</w:t>
            </w:r>
          </w:p>
          <w:p>
            <w:pPr>
              <w:pStyle w:val="26"/>
              <w:numPr>
                <w:ilvl w:val="0"/>
                <w:numId w:val="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渣、铁重罐车的行驶速度，不应大于 10km/h；在高炉下行驶、倒调时不应大于 5km/h；</w:t>
            </w:r>
          </w:p>
          <w:p>
            <w:pPr>
              <w:pStyle w:val="26"/>
              <w:numPr>
                <w:ilvl w:val="0"/>
                <w:numId w:val="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定期进行运输车辆的检查维护；</w:t>
            </w:r>
          </w:p>
          <w:p>
            <w:pPr>
              <w:pStyle w:val="26"/>
              <w:numPr>
                <w:ilvl w:val="0"/>
                <w:numId w:val="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严禁经由国家或地区公交线路运输铁水。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8"/>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铁路运输铁路与道路的平交道口</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火灾、其他爆炸、车辆伤害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应设置交通指挥信号；</w:t>
            </w:r>
          </w:p>
          <w:p>
            <w:pPr>
              <w:pStyle w:val="26"/>
              <w:numPr>
                <w:ilvl w:val="0"/>
                <w:numId w:val="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必要时应有专人监视。</w:t>
            </w:r>
          </w:p>
        </w:tc>
      </w:tr>
    </w:tbl>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widowControl/>
        <w:ind w:firstLine="640" w:firstLineChars="200"/>
        <w:jc w:val="left"/>
        <w:rPr>
          <w:rFonts w:ascii="Times New Roman" w:hAnsi="Times New Roman" w:eastAsia="仿宋_GB2312" w:cs="Times New Roman"/>
        </w:rPr>
      </w:pPr>
      <w:r>
        <w:rPr>
          <w:rFonts w:ascii="Times New Roman" w:hAnsi="Times New Roman" w:eastAsia="仿宋_GB2312" w:cs="Times New Roman"/>
          <w:b/>
          <w:sz w:val="32"/>
          <w:szCs w:val="32"/>
        </w:rPr>
        <w:t>炼铁系统3级安全风险点主要包括：工业梯台</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移动平台</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空压机（站、水冷却系统）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工业管道（不含煤气管道）</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变配电系统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临时低压电气线路</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动力（照明）配电箱（柜、板）</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雷电防护系统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电焊设备</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手持电动工具</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移动电气设备</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电气试验站（台、室）</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给排水系统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发电机、汽轮机及其油系统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砂轮机</w:t>
      </w:r>
      <w:r>
        <w:rPr>
          <w:rFonts w:hint="eastAsia" w:ascii="Times New Roman" w:hAnsi="Times New Roman" w:eastAsia="仿宋_GB2312" w:cs="Times New Roman"/>
          <w:b/>
          <w:sz w:val="32"/>
          <w:szCs w:val="32"/>
        </w:rPr>
        <w:t>等</w:t>
      </w:r>
      <w:r>
        <w:rPr>
          <w:rFonts w:ascii="Times New Roman" w:hAnsi="Times New Roman" w:eastAsia="仿宋_GB2312" w:cs="Times New Roman"/>
          <w:b/>
          <w:sz w:val="32"/>
          <w:szCs w:val="32"/>
        </w:rPr>
        <w:t>。</w:t>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4.1.3炼钢</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转炉、混铁炉、精炼炉、电炉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氧枪等设备的水冷元件应规范设置出水温度、进出水流量差监测报警装置，且与炉体倾动、氧气开闭等联锁；</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转炉氧枪、副枪升降装置，应配备钢绳张力测定、钢绳断裂防坠、事故驱动等安全装置；</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转炉氧枪各枪位停靠点，应与转炉倾动、氧气开闭、冷却水流量和温度等联锁；</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从转炉工作平台至上层平台之间，应设置转炉围护结构；炉前炉后应设活动挡火门；</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废钢配料，应防止带入爆炸物、有毒物或密闭容器、有水有潮物；废钢料高不应超过料槽上口，宽度不应超过料槽两侧；</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电炉倾动机械应设零位锁定，电极升降应有上限位锁定；</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电炉炉盖升降与旋转、电极升降与旋转、炉子倾动等动作的机械之间，应设有可靠的安全联锁；</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氧气阀门站至氧燃烧咀和碳氧喷枪的氧气管线，应采用不锈钢制作，并应在软管接头前焊接长 1.5m 以上的铜管；</w:t>
            </w:r>
          </w:p>
          <w:p>
            <w:pPr>
              <w:pStyle w:val="26"/>
              <w:numPr>
                <w:ilvl w:val="0"/>
                <w:numId w:val="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水冷炉壁与炉盖的水冷板、Consteel 炉连接小车水套、竖井水冷件等，应配置出水温度与进出水流量差检测、报警装置；</w:t>
            </w:r>
          </w:p>
          <w:p>
            <w:pPr>
              <w:pStyle w:val="26"/>
              <w:numPr>
                <w:ilvl w:val="0"/>
                <w:numId w:val="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废钢预热段废气出口，应设置废气成分连续分析系统；</w:t>
            </w:r>
          </w:p>
          <w:p>
            <w:pPr>
              <w:pStyle w:val="26"/>
              <w:numPr>
                <w:ilvl w:val="0"/>
                <w:numId w:val="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上电炉炉顶维护梯口应设安全门；</w:t>
            </w:r>
          </w:p>
          <w:p>
            <w:pPr>
              <w:pStyle w:val="26"/>
              <w:numPr>
                <w:ilvl w:val="0"/>
                <w:numId w:val="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采用煤气烧嘴时，应设置煤气低压报警及与之联锁的快速切断阀等防回火设施，还应设置煤气吹扫与放散设施；煤气管道应设置吹扫、放散和可靠隔断装置；</w:t>
            </w:r>
          </w:p>
          <w:p>
            <w:pPr>
              <w:pStyle w:val="26"/>
              <w:numPr>
                <w:ilvl w:val="0"/>
                <w:numId w:val="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煤气区域应悬挂醒目的警示标志；</w:t>
            </w:r>
          </w:p>
          <w:p>
            <w:pPr>
              <w:pStyle w:val="26"/>
              <w:numPr>
                <w:ilvl w:val="0"/>
                <w:numId w:val="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连铸机</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火灾、其他爆炸、高处坠落、机械伤害、灼烫、坍塌</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1</w:t>
            </w:r>
          </w:p>
        </w:tc>
        <w:tc>
          <w:tcPr>
            <w:tcW w:w="4100" w:type="dxa"/>
            <w:tcBorders>
              <w:top w:val="single" w:color="auto" w:sz="8" w:space="0"/>
              <w:bottom w:val="single" w:color="auto" w:sz="4" w:space="0"/>
              <w:right w:val="single" w:color="auto" w:sz="12" w:space="0"/>
            </w:tcBorders>
            <w:vAlign w:val="center"/>
          </w:tcPr>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钢水罐回转台旋转时，包括钢水罐的运动设备与固定构筑物的净距，应大于 0.5m；</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钢水罐回转台应配置安全制动与停电事故驱动装置；</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连铸浇铸区，应设事故钢水罐、溢流槽、中间溢流罐、钢水罐漏钢回转溜槽、中间罐漏钢坑及钢水罐滑板事故关闭系统；</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钢水罐漏钢回转溜槽应覆盖整个旋转半径；</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应急设施应保持干燥，不得存放其它物品，以保证流通或容量；</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连铸平台上漏钢事故波及的区域，不应有水与潮湿物品；</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中间罐车应设置事故撤离功能；</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结晶器、二次喷淋冷却装置应配备事故供水系统；</w:t>
            </w:r>
          </w:p>
          <w:p>
            <w:pPr>
              <w:pStyle w:val="26"/>
              <w:numPr>
                <w:ilvl w:val="0"/>
                <w:numId w:val="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采用煤气、氢气、丙烷等和氧气切割铸坯时，应安装煤气和氧气的快速切断阀，氢气和丙烷的管路上需要增设阻火器；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炼钢用活性石灰生产系统的竖窑、回转窑</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采用煤气烧嘴时，应设置煤气低压报警及与之联锁的快速切断阀等防回火设施，还应设置煤气吹扫与放散设施；</w:t>
            </w:r>
          </w:p>
          <w:p>
            <w:pPr>
              <w:pStyle w:val="26"/>
              <w:numPr>
                <w:ilvl w:val="0"/>
                <w:numId w:val="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燃烧装置应设置固定式一氧化碳检测报警装置；</w:t>
            </w:r>
          </w:p>
          <w:p>
            <w:pPr>
              <w:pStyle w:val="26"/>
              <w:numPr>
                <w:ilvl w:val="0"/>
                <w:numId w:val="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旋转部位应采取隔离防护措施；</w:t>
            </w:r>
          </w:p>
          <w:p>
            <w:pPr>
              <w:pStyle w:val="26"/>
              <w:numPr>
                <w:ilvl w:val="0"/>
                <w:numId w:val="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炼钢的转炉塔楼</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转炉炉子跨炉口以上的各层平台，应设固定式煤气检测与报警装置，除就地报警外，煤气检测和报警应在转炉主控室集中显示；</w:t>
            </w:r>
          </w:p>
          <w:p>
            <w:pPr>
              <w:pStyle w:val="26"/>
              <w:numPr>
                <w:ilvl w:val="0"/>
                <w:numId w:val="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作业应携带便携式煤气报警仪，并采取可靠的安全措施；</w:t>
            </w:r>
          </w:p>
          <w:p>
            <w:pPr>
              <w:pStyle w:val="26"/>
              <w:numPr>
                <w:ilvl w:val="0"/>
                <w:numId w:val="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用于连铸坯火焰切割用气的丙烷站、氢氧站、燃气站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中毒和窒息、火灾、其他爆炸、容器爆炸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设置固定式可燃气体（或氢气）检测报警装置和防爆型事故风机；</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爆炸危险区域电气设备、电气线路及照明应满足GB50028的规定；</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防雷、防静电应满足规范要求；</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汇流排设置防回火装置和静电导除装置；</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汇流排设置放空管、安全阀、压力表；</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严禁烟火并加强火种管理；</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钢包热修区、冷修区（在浇铸跨、精炼跨或出钢跨）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火灾、其他爆炸、高处坠落、起重伤害、灼烫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不应设置在高温熔融金属吊运影响范围内；</w:t>
            </w:r>
          </w:p>
          <w:p>
            <w:pPr>
              <w:pStyle w:val="26"/>
              <w:numPr>
                <w:ilvl w:val="0"/>
                <w:numId w:val="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与大包回转台保持足够的距离，并设置实体墙隔离；</w:t>
            </w:r>
          </w:p>
          <w:p>
            <w:pPr>
              <w:pStyle w:val="26"/>
              <w:numPr>
                <w:ilvl w:val="0"/>
                <w:numId w:val="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铁水罐、钢水罐、中间罐烘烤器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烘烤器应装备完善的介质参数检测仪表与熄火检测仪；</w:t>
            </w:r>
          </w:p>
          <w:p>
            <w:pPr>
              <w:pStyle w:val="26"/>
              <w:numPr>
                <w:ilvl w:val="0"/>
                <w:numId w:val="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采用煤气燃料时，应设置煤气低压报警及与煤气低压信号联锁的快速切断阀等防回火设施；</w:t>
            </w:r>
          </w:p>
          <w:p>
            <w:pPr>
              <w:pStyle w:val="26"/>
              <w:numPr>
                <w:ilvl w:val="0"/>
                <w:numId w:val="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煤气烘烤作业区域应设固定式一氧化碳检测报警装置；</w:t>
            </w:r>
          </w:p>
          <w:p>
            <w:pPr>
              <w:pStyle w:val="26"/>
              <w:numPr>
                <w:ilvl w:val="0"/>
                <w:numId w:val="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煤气管道规范设置吹扫、放散和可靠隔断装置；</w:t>
            </w:r>
          </w:p>
          <w:p>
            <w:pPr>
              <w:pStyle w:val="26"/>
              <w:numPr>
                <w:ilvl w:val="0"/>
                <w:numId w:val="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煤气管道不应厂房内直排冷凝水；</w:t>
            </w:r>
          </w:p>
          <w:p>
            <w:pPr>
              <w:pStyle w:val="26"/>
              <w:numPr>
                <w:ilvl w:val="0"/>
                <w:numId w:val="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强制送风风机、空气管道设置可靠静电接地装置；</w:t>
            </w:r>
          </w:p>
          <w:p>
            <w:pPr>
              <w:pStyle w:val="26"/>
              <w:numPr>
                <w:ilvl w:val="0"/>
                <w:numId w:val="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烘烤器区域应悬挂“禁止烟火”、“当心煤气中毒”等安全标志。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水口预热器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预热器应装备完善的介质参数检测仪表与熄火检测仪；</w:t>
            </w:r>
          </w:p>
          <w:p>
            <w:pPr>
              <w:pStyle w:val="26"/>
              <w:numPr>
                <w:ilvl w:val="0"/>
                <w:numId w:val="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采用煤气燃料时，应设置煤气低压报警及与煤气低压信号联锁的快速切断阀等防回火设施；</w:t>
            </w:r>
          </w:p>
          <w:p>
            <w:pPr>
              <w:pStyle w:val="26"/>
              <w:numPr>
                <w:ilvl w:val="0"/>
                <w:numId w:val="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作业区域应设固定式一氧化碳检测报警装置；</w:t>
            </w:r>
          </w:p>
          <w:p>
            <w:pPr>
              <w:pStyle w:val="26"/>
              <w:numPr>
                <w:ilvl w:val="0"/>
                <w:numId w:val="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煤气管道规范设置吹扫、放散和可靠隔断装置；</w:t>
            </w:r>
          </w:p>
          <w:p>
            <w:pPr>
              <w:pStyle w:val="26"/>
              <w:numPr>
                <w:ilvl w:val="0"/>
                <w:numId w:val="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煤气管道不应厂房内直排冷凝水；</w:t>
            </w:r>
          </w:p>
          <w:p>
            <w:pPr>
              <w:pStyle w:val="26"/>
              <w:numPr>
                <w:ilvl w:val="0"/>
                <w:numId w:val="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区域应悬挂“禁止烟火”、“当心煤气中毒”等安全标志。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转炉、精炼炉、电炉炉下区域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炉下区域，应采取防止积水的措施，炉下漏钢坑应按防水要求设计施工，其内表</w:t>
            </w:r>
            <w:r>
              <w:rPr>
                <w:rFonts w:hint="eastAsia" w:ascii="Times New Roman" w:hAnsi="Times New Roman" w:eastAsia="仿宋_GB2312" w:cs="Times New Roman"/>
                <w:sz w:val="24"/>
                <w:szCs w:val="24"/>
              </w:rPr>
              <w:t>面</w:t>
            </w:r>
            <w:r>
              <w:rPr>
                <w:rFonts w:ascii="Times New Roman" w:hAnsi="Times New Roman" w:eastAsia="仿宋_GB2312" w:cs="Times New Roman"/>
                <w:sz w:val="24"/>
                <w:szCs w:val="24"/>
              </w:rPr>
              <w:t>应砌相应防护材料保护，且干燥后方可使用；</w:t>
            </w:r>
          </w:p>
          <w:p>
            <w:pPr>
              <w:pStyle w:val="26"/>
              <w:numPr>
                <w:ilvl w:val="0"/>
                <w:numId w:val="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炉下钢水罐车、渣罐车运行区域，地面应保持干燥；</w:t>
            </w:r>
          </w:p>
          <w:p>
            <w:pPr>
              <w:pStyle w:val="26"/>
              <w:numPr>
                <w:ilvl w:val="0"/>
                <w:numId w:val="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炉下热泼渣区，周围应设隔热防护结构，其地坪应防止积水：</w:t>
            </w:r>
          </w:p>
          <w:p>
            <w:pPr>
              <w:pStyle w:val="26"/>
              <w:numPr>
                <w:ilvl w:val="0"/>
                <w:numId w:val="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炉渣冲击与挖掘机铲渣地点，应在耐热混凝土基础上铺砌厚铸铁板或采取其他措施保护；</w:t>
            </w:r>
          </w:p>
          <w:p>
            <w:pPr>
              <w:pStyle w:val="26"/>
              <w:numPr>
                <w:ilvl w:val="0"/>
                <w:numId w:val="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渣跨热泼渣区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火灾、其他爆炸、灼烫、物体打击、起重伤害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应防止热泼区地坪积水；</w:t>
            </w:r>
          </w:p>
          <w:p>
            <w:pPr>
              <w:pStyle w:val="26"/>
              <w:numPr>
                <w:ilvl w:val="0"/>
                <w:numId w:val="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渣跨线应保持干燥；</w:t>
            </w:r>
          </w:p>
          <w:p>
            <w:pPr>
              <w:pStyle w:val="26"/>
              <w:numPr>
                <w:ilvl w:val="0"/>
                <w:numId w:val="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中间渣场(炉渣跨)吊运液体渣罐，应采用铸造起重机；</w:t>
            </w:r>
          </w:p>
          <w:p>
            <w:pPr>
              <w:pStyle w:val="26"/>
              <w:numPr>
                <w:ilvl w:val="0"/>
                <w:numId w:val="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采用渣罐倾翻固体渣工艺的中间渣场，翻渣罐前要确认液态渣已凝固，翻罐区地面不得有积水；</w:t>
            </w:r>
          </w:p>
          <w:p>
            <w:pPr>
              <w:pStyle w:val="26"/>
              <w:numPr>
                <w:ilvl w:val="0"/>
                <w:numId w:val="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塔楼</w:t>
            </w: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r>
              <w:rPr>
                <w:rFonts w:hint="eastAsia" w:ascii="Times New Roman" w:hAnsi="Times New Roman" w:eastAsia="仿宋_GB2312" w:cs="Times New Roman"/>
                <w:sz w:val="24"/>
                <w:szCs w:val="24"/>
              </w:rPr>
              <w:t>、中毒和窒息、触电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区域设置固定式一氧化碳检测报警装置；</w:t>
            </w:r>
          </w:p>
          <w:p>
            <w:pPr>
              <w:pStyle w:val="26"/>
              <w:numPr>
                <w:ilvl w:val="0"/>
                <w:numId w:val="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铁合金烘烤装置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烘烤装置应装备完善的介质参数检测仪表与熄火检测仪；</w:t>
            </w:r>
          </w:p>
          <w:p>
            <w:pPr>
              <w:pStyle w:val="26"/>
              <w:numPr>
                <w:ilvl w:val="0"/>
                <w:numId w:val="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采用煤气燃料时，应设置煤气低压报警及与煤气低压信号联锁的快速切断阀等防回火设施；</w:t>
            </w:r>
          </w:p>
          <w:p>
            <w:pPr>
              <w:pStyle w:val="26"/>
              <w:numPr>
                <w:ilvl w:val="0"/>
                <w:numId w:val="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煤气烘烤作业区域应设固定式一氧化碳检测报警装置；</w:t>
            </w:r>
          </w:p>
          <w:p>
            <w:pPr>
              <w:pStyle w:val="26"/>
              <w:numPr>
                <w:ilvl w:val="0"/>
                <w:numId w:val="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煤气管道规范设置吹扫、放散和可靠隔断装置；</w:t>
            </w:r>
          </w:p>
          <w:p>
            <w:pPr>
              <w:pStyle w:val="26"/>
              <w:numPr>
                <w:ilvl w:val="0"/>
                <w:numId w:val="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煤气管道不应厂房内直排冷凝水；</w:t>
            </w:r>
          </w:p>
          <w:p>
            <w:pPr>
              <w:pStyle w:val="26"/>
              <w:numPr>
                <w:ilvl w:val="0"/>
                <w:numId w:val="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强制送风风机、空气管道设置可靠静电接地装置；</w:t>
            </w:r>
          </w:p>
          <w:p>
            <w:pPr>
              <w:pStyle w:val="26"/>
              <w:numPr>
                <w:ilvl w:val="0"/>
                <w:numId w:val="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烘烤区域应悬挂“禁止烟火”、“当心煤气中毒”等安全标志。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吊运高温熔体的起重设备</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火灾、其他爆炸、起重伤害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吊运铁水、钢水或液渣，应使用铸造起重机，铸造起重机额定能力应符合 GB50439的规定；</w:t>
            </w:r>
          </w:p>
          <w:p>
            <w:pPr>
              <w:pStyle w:val="26"/>
              <w:numPr>
                <w:ilvl w:val="0"/>
                <w:numId w:val="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铁水罐、钢水罐龙门钩的横梁、耳轴销和吊钩、钢丝绳及其端头固定零件，应定期进行检查，发现问题及时处理；应定期对吊钩本体作超声波探伤检查；</w:t>
            </w:r>
          </w:p>
          <w:p>
            <w:pPr>
              <w:pStyle w:val="26"/>
              <w:numPr>
                <w:ilvl w:val="0"/>
                <w:numId w:val="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应装有能从地面辨别额定荷重的标识，安装起重量限制器，不应超负荷作业；</w:t>
            </w:r>
          </w:p>
          <w:p>
            <w:pPr>
              <w:pStyle w:val="26"/>
              <w:numPr>
                <w:ilvl w:val="0"/>
                <w:numId w:val="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起重机启动和移动时，应发出声响与灯光信号，吊物不应从人员头顶和重要设备上方越过；</w:t>
            </w:r>
          </w:p>
          <w:p>
            <w:pPr>
              <w:pStyle w:val="26"/>
              <w:numPr>
                <w:ilvl w:val="0"/>
                <w:numId w:val="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起重机吊运通道下方不应设操作室、休息室等。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转炉控制室、混铁炉控制室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主控室应设置出现大喷事故的必要防护措施；转炉炉旁操作室应采取隔热防喷溅措施；</w:t>
            </w:r>
          </w:p>
          <w:p>
            <w:pPr>
              <w:pStyle w:val="26"/>
              <w:numPr>
                <w:ilvl w:val="0"/>
                <w:numId w:val="77"/>
              </w:numPr>
              <w:ind w:firstLineChars="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设置固定式一氧化碳检测报警装置；</w:t>
            </w:r>
          </w:p>
          <w:p>
            <w:pPr>
              <w:pStyle w:val="26"/>
              <w:numPr>
                <w:ilvl w:val="0"/>
                <w:numId w:val="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控制室的门应向外开启；</w:t>
            </w:r>
          </w:p>
          <w:p>
            <w:pPr>
              <w:pStyle w:val="26"/>
              <w:numPr>
                <w:ilvl w:val="0"/>
                <w:numId w:val="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主控室应设置紧急出口；</w:t>
            </w:r>
          </w:p>
          <w:p>
            <w:pPr>
              <w:pStyle w:val="26"/>
              <w:numPr>
                <w:ilvl w:val="0"/>
                <w:numId w:val="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铁水预处理系统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铁水预处理设施，应布置在地坪以上；若因条件限制采用坑式布置，则应采取防水、排水措施，保证坑内干燥；</w:t>
            </w:r>
          </w:p>
          <w:p>
            <w:pPr>
              <w:pStyle w:val="26"/>
              <w:numPr>
                <w:ilvl w:val="0"/>
                <w:numId w:val="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铁水预处理粉料发送罐的设计、制造与使用，应严格执行压力容器有关规范的规定；</w:t>
            </w:r>
          </w:p>
          <w:p>
            <w:pPr>
              <w:pStyle w:val="26"/>
              <w:numPr>
                <w:ilvl w:val="0"/>
                <w:numId w:val="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采用CaC</w:t>
            </w:r>
            <w:r>
              <w:rPr>
                <w:rFonts w:ascii="Times New Roman" w:hAnsi="Times New Roman" w:eastAsia="仿宋_GB2312" w:cs="Times New Roman"/>
                <w:sz w:val="24"/>
                <w:szCs w:val="24"/>
                <w:vertAlign w:val="subscript"/>
              </w:rPr>
              <w:t>2</w:t>
            </w:r>
            <w:r>
              <w:rPr>
                <w:rFonts w:ascii="Times New Roman" w:hAnsi="Times New Roman" w:eastAsia="仿宋_GB2312" w:cs="Times New Roman"/>
                <w:sz w:val="24"/>
                <w:szCs w:val="24"/>
              </w:rPr>
              <w:t>与钝化镁作脱硫剂时，其贮粉仓应采用氮气保护；该区域应防水、防火，脱硫站氮气供应源应有湿气分析和报警装置；</w:t>
            </w:r>
          </w:p>
          <w:p>
            <w:pPr>
              <w:pStyle w:val="26"/>
              <w:numPr>
                <w:ilvl w:val="0"/>
                <w:numId w:val="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CaC</w:t>
            </w:r>
            <w:r>
              <w:rPr>
                <w:rFonts w:ascii="Times New Roman" w:hAnsi="Times New Roman" w:eastAsia="仿宋_GB2312" w:cs="Times New Roman"/>
                <w:sz w:val="24"/>
                <w:szCs w:val="24"/>
                <w:vertAlign w:val="subscript"/>
              </w:rPr>
              <w:t xml:space="preserve"> 2</w:t>
            </w:r>
            <w:r>
              <w:rPr>
                <w:rFonts w:ascii="Times New Roman" w:hAnsi="Times New Roman" w:eastAsia="仿宋_GB2312" w:cs="Times New Roman"/>
                <w:sz w:val="24"/>
                <w:szCs w:val="24"/>
              </w:rPr>
              <w:t>仓附近区域，应设乙炔检测和报警装置；钝化镁仓应设氧气检测和报警装置；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铁合金预热炉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铁合金料应严格分类保管，并应防止混料和沾水；</w:t>
            </w:r>
          </w:p>
          <w:p>
            <w:pPr>
              <w:pStyle w:val="26"/>
              <w:numPr>
                <w:ilvl w:val="0"/>
                <w:numId w:val="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采用煤气燃料时，应设置煤气低压报警及与煤气低压信号联锁的快速切断阀等防回火设施。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连铸控制室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连铸主控室不应正对中间罐；</w:t>
            </w:r>
          </w:p>
          <w:p>
            <w:pPr>
              <w:pStyle w:val="26"/>
              <w:numPr>
                <w:ilvl w:val="0"/>
                <w:numId w:val="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设置固定式一氧化碳检测报警装置；</w:t>
            </w:r>
          </w:p>
          <w:p>
            <w:pPr>
              <w:pStyle w:val="26"/>
              <w:numPr>
                <w:ilvl w:val="0"/>
                <w:numId w:val="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控制室的门应向外开启；</w:t>
            </w:r>
          </w:p>
          <w:p>
            <w:pPr>
              <w:pStyle w:val="26"/>
              <w:numPr>
                <w:ilvl w:val="0"/>
                <w:numId w:val="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主控室应设置紧急出口；</w:t>
            </w:r>
          </w:p>
          <w:p>
            <w:pPr>
              <w:pStyle w:val="26"/>
              <w:numPr>
                <w:ilvl w:val="0"/>
                <w:numId w:val="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不合格煤气或剩余煤气放散塔</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转炉煤气回收，应设一氧化碳和氧含量连续测定和自动控制系统，当氧含量不合格时，三通阀应能自动打到放散状态；</w:t>
            </w:r>
          </w:p>
          <w:p>
            <w:pPr>
              <w:pStyle w:val="26"/>
              <w:numPr>
                <w:ilvl w:val="0"/>
                <w:numId w:val="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煤气不能回收而向大气排放</w:t>
            </w:r>
            <w:r>
              <w:rPr>
                <w:rFonts w:hint="eastAsia" w:ascii="Times New Roman" w:hAnsi="Times New Roman" w:eastAsia="仿宋_GB2312" w:cs="Times New Roman"/>
                <w:sz w:val="24"/>
                <w:szCs w:val="24"/>
              </w:rPr>
              <w:t>时</w:t>
            </w:r>
            <w:r>
              <w:rPr>
                <w:rFonts w:ascii="Times New Roman" w:hAnsi="Times New Roman" w:eastAsia="仿宋_GB2312" w:cs="Times New Roman"/>
                <w:sz w:val="24"/>
                <w:szCs w:val="24"/>
              </w:rPr>
              <w:t>，烟囱上部应设自动点火装置。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热闷渣处理场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应防止热焖区地坪积水；</w:t>
            </w:r>
          </w:p>
          <w:p>
            <w:pPr>
              <w:pStyle w:val="26"/>
              <w:numPr>
                <w:ilvl w:val="0"/>
                <w:numId w:val="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吊运液体渣罐，应采用铸造起重机；</w:t>
            </w:r>
          </w:p>
          <w:p>
            <w:pPr>
              <w:pStyle w:val="26"/>
              <w:numPr>
                <w:ilvl w:val="0"/>
                <w:numId w:val="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采用渣罐倾翻固体渣工艺的中间渣场，翻渣罐前要确认液态渣已凝固，翻罐区地面不得有积水；</w:t>
            </w:r>
          </w:p>
          <w:p>
            <w:pPr>
              <w:pStyle w:val="26"/>
              <w:numPr>
                <w:ilvl w:val="0"/>
                <w:numId w:val="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转炉出渣、出钢口操作岗位</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出钢（出渣）操作室，不应正对出钢（出渣）方向开门，其窗户应采取防喷溅措施；</w:t>
            </w:r>
          </w:p>
          <w:p>
            <w:pPr>
              <w:pStyle w:val="26"/>
              <w:numPr>
                <w:ilvl w:val="0"/>
                <w:numId w:val="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设置固定式一氧化碳检测报警装置；</w:t>
            </w:r>
          </w:p>
          <w:p>
            <w:pPr>
              <w:pStyle w:val="26"/>
              <w:numPr>
                <w:ilvl w:val="0"/>
                <w:numId w:val="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控制室的门应向外开启；</w:t>
            </w:r>
          </w:p>
          <w:p>
            <w:pPr>
              <w:pStyle w:val="26"/>
              <w:numPr>
                <w:ilvl w:val="0"/>
                <w:numId w:val="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废钢堆、废钢分拣区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火灾、其他爆炸、起重伤害、车辆伤害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进厂的社会废钢，应进行分选，捡出有色金属件、易燃易爆及有毒等物品；对密闭容器应进行切割处理；</w:t>
            </w:r>
          </w:p>
          <w:p>
            <w:pPr>
              <w:pStyle w:val="26"/>
              <w:numPr>
                <w:ilvl w:val="0"/>
                <w:numId w:val="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废钢应按来源、形态、成分等分类、分堆存放；人工堆料时，地面以上料堆高度不应超过1.5m；</w:t>
            </w:r>
          </w:p>
          <w:p>
            <w:pPr>
              <w:pStyle w:val="26"/>
              <w:numPr>
                <w:ilvl w:val="0"/>
                <w:numId w:val="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废钢堆场应部分带有房盖，以供雨、雪天配料；混有冰雪与积水的废钢，不应入炉；</w:t>
            </w:r>
          </w:p>
          <w:p>
            <w:pPr>
              <w:pStyle w:val="26"/>
              <w:numPr>
                <w:ilvl w:val="0"/>
                <w:numId w:val="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废钢配料间与废钢堆场，应设置必要的纵向与横向贯通的人行安全走道；</w:t>
            </w:r>
          </w:p>
          <w:p>
            <w:pPr>
              <w:pStyle w:val="26"/>
              <w:numPr>
                <w:ilvl w:val="0"/>
                <w:numId w:val="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废钢坑沿应高出地面0.3~1.0m，露天废钢坑应设集排水设施，地面废钢料堆应距运输轨道外侧 1.5m以上；</w:t>
            </w:r>
          </w:p>
          <w:p>
            <w:pPr>
              <w:pStyle w:val="26"/>
              <w:numPr>
                <w:ilvl w:val="0"/>
                <w:numId w:val="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废钢装卸作业时，电磁盘或液压抓斗下不应有人，起重机的大车或小车启动、移动时，应发出声光报警信号。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电炉炉前热泼渣区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热泼渣区域周围的建、构筑物与地坪、上方的管线或电缆，应有可靠的防护措施，防止因作业区内积水酿成爆炸事故。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吹氩站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中毒和窒息、容器爆炸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应设氧浓度监测装置，浓度偏低时应有人工或自动联锁排气扇开启的保护措施；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光谱分析室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中毒和窒息、容器爆炸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应设氧浓度监测装置，浓度偏低时应有人工或自动联锁排气扇开启的保护措施；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61"/>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连铸液压站、连铸平台以下各层平台</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高压油泵发生故障或发生停电事故时，液压系统蓄势器应能维持拉矫机压下辊继续夹持钢坯 30min~40min，并停止浇注；</w:t>
            </w:r>
          </w:p>
          <w:p>
            <w:pPr>
              <w:pStyle w:val="26"/>
              <w:numPr>
                <w:ilvl w:val="0"/>
                <w:numId w:val="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连铸主平台以下各层，不应设置油罐、气瓶等易燃、易爆品仓库或存放点；</w:t>
            </w:r>
          </w:p>
        </w:tc>
      </w:tr>
    </w:tbl>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炼钢系统3级安全风险点主要包括：炼钢循环水系统；炼钢钢坯存放点；钢包热修区、冷修区（不在浇铸跨、精炼跨或出钢跨）；火焰切割用气阀门箱；各氧气点阀箱等。</w:t>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4.1.4轧钢</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煤（燃）气加热炉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采用煤气烧嘴时，应设置煤气低压报警及与之联锁的快速切断阀等防回火设施，还应设置煤气吹扫与放散设施；煤气管道应设置吹扫、放散和可靠隔断装置；</w:t>
            </w:r>
          </w:p>
          <w:p>
            <w:pPr>
              <w:pStyle w:val="26"/>
              <w:numPr>
                <w:ilvl w:val="0"/>
                <w:numId w:val="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煤气区域应悬挂醒目的警示标志；</w:t>
            </w:r>
          </w:p>
          <w:p>
            <w:pPr>
              <w:pStyle w:val="26"/>
              <w:numPr>
                <w:ilvl w:val="0"/>
                <w:numId w:val="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加热炉炉区应设置一定数量固定式一氧化碳检测仪，并配有声光报警指示，操作台应有煤气报警终端显示；</w:t>
            </w:r>
          </w:p>
          <w:p>
            <w:pPr>
              <w:pStyle w:val="26"/>
              <w:numPr>
                <w:ilvl w:val="0"/>
                <w:numId w:val="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汽化冷却汽包、蓄热器</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容器爆炸、高处坠落、灼烫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设置安全阀、压力表、液位计；</w:t>
            </w:r>
          </w:p>
          <w:p>
            <w:pPr>
              <w:pStyle w:val="26"/>
              <w:numPr>
                <w:ilvl w:val="0"/>
                <w:numId w:val="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事故供水用的柴油泵或柴油发电机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设置可靠接地装置；</w:t>
            </w:r>
          </w:p>
          <w:p>
            <w:pPr>
              <w:pStyle w:val="26"/>
              <w:numPr>
                <w:ilvl w:val="0"/>
                <w:numId w:val="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排烟管应引至安全地带，管口设置阻火器；</w:t>
            </w:r>
          </w:p>
          <w:p>
            <w:pPr>
              <w:pStyle w:val="26"/>
              <w:numPr>
                <w:ilvl w:val="0"/>
                <w:numId w:val="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油箱应设置防止油品流散的安全设施；应设带阻火器的呼吸口并引至室外安全地点；</w:t>
            </w:r>
          </w:p>
          <w:p>
            <w:pPr>
              <w:pStyle w:val="26"/>
              <w:numPr>
                <w:ilvl w:val="0"/>
                <w:numId w:val="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旋转部位应采取隔离防护措施；</w:t>
            </w:r>
          </w:p>
          <w:p>
            <w:pPr>
              <w:pStyle w:val="26"/>
              <w:numPr>
                <w:ilvl w:val="0"/>
                <w:numId w:val="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定期试运行，并记录；</w:t>
            </w:r>
          </w:p>
          <w:p>
            <w:pPr>
              <w:pStyle w:val="26"/>
              <w:numPr>
                <w:ilvl w:val="0"/>
                <w:numId w:val="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地下液压站、润滑站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应按 GB50414 的要求设置灭火装置和自动报警装置；</w:t>
            </w:r>
          </w:p>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应有通风措施；设有通风、自动报警和灭火设施的场所，风机与消防设施之间，应设安全联锁装置；</w:t>
            </w:r>
          </w:p>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出入口应不少于两个（室内面积符合 GB50414 的规定时，可设一个），门应向外开；</w:t>
            </w:r>
          </w:p>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液压系统和润滑系统的油箱，应设液位上下限、压力上下限、油温上限和油泵过滤器堵塞的显示和警报装置，油箱和油泵之间应有安全联锁装置；</w:t>
            </w:r>
          </w:p>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液压站和液压管路应有安全阀；</w:t>
            </w:r>
          </w:p>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煤（燃）气加热炉控制室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地上液压站、润滑站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应按GB50414的要求设置灭火装置和自动报警装置；</w:t>
            </w:r>
          </w:p>
          <w:p>
            <w:pPr>
              <w:pStyle w:val="26"/>
              <w:numPr>
                <w:ilvl w:val="0"/>
                <w:numId w:val="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应有通风措施；设有通风、自动报警和灭火设施的场所，风机与消防设施之间，应设安全联锁装置；</w:t>
            </w:r>
          </w:p>
          <w:p>
            <w:pPr>
              <w:pStyle w:val="26"/>
              <w:numPr>
                <w:ilvl w:val="0"/>
                <w:numId w:val="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液压系统和润滑系统的油箱，应设液位上下限、压力上下限、油温上限和油泵过滤器堵塞的显示和警报装置，油箱和油泵之间应有安全联锁装置；</w:t>
            </w:r>
          </w:p>
          <w:p>
            <w:pPr>
              <w:pStyle w:val="26"/>
              <w:numPr>
                <w:ilvl w:val="0"/>
                <w:numId w:val="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液压站和液压管路应有安全阀；</w:t>
            </w:r>
          </w:p>
          <w:p>
            <w:pPr>
              <w:pStyle w:val="26"/>
              <w:numPr>
                <w:ilvl w:val="0"/>
                <w:numId w:val="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加热炉风机房</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应设固定式一氧化碳检测报警装置；</w:t>
            </w:r>
          </w:p>
          <w:p>
            <w:pPr>
              <w:pStyle w:val="26"/>
              <w:numPr>
                <w:ilvl w:val="0"/>
                <w:numId w:val="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风机设置可靠静电接地装置；</w:t>
            </w:r>
          </w:p>
          <w:p>
            <w:pPr>
              <w:pStyle w:val="26"/>
              <w:numPr>
                <w:ilvl w:val="0"/>
                <w:numId w:val="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加热设备与风机之间应设安全联锁、泄爆装置，并采取</w:t>
            </w:r>
            <w:r>
              <w:rPr>
                <w:rFonts w:hint="eastAsia" w:ascii="Times New Roman" w:hAnsi="Times New Roman" w:eastAsia="仿宋_GB2312" w:cs="Times New Roman"/>
                <w:sz w:val="24"/>
                <w:szCs w:val="24"/>
              </w:rPr>
              <w:t>防止</w:t>
            </w:r>
            <w:r>
              <w:rPr>
                <w:rFonts w:ascii="Times New Roman" w:hAnsi="Times New Roman" w:eastAsia="仿宋_GB2312" w:cs="Times New Roman"/>
                <w:sz w:val="24"/>
                <w:szCs w:val="24"/>
              </w:rPr>
              <w:t>煤气倒灌的措施；</w:t>
            </w:r>
          </w:p>
          <w:p>
            <w:pPr>
              <w:pStyle w:val="26"/>
              <w:numPr>
                <w:ilvl w:val="0"/>
                <w:numId w:val="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在区域作业时应携带便携式一氧化碳报警仪；</w:t>
            </w:r>
          </w:p>
          <w:p>
            <w:pPr>
              <w:pStyle w:val="26"/>
              <w:numPr>
                <w:ilvl w:val="0"/>
                <w:numId w:val="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89"/>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连轧生产线</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火灾、机械伤害、灼烫</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经过辊道、冷床、移送机和运输机等设备的人行通道桥宽不小于 0.8m，两侧设不低于1.05m的防护栏杆；跨越输送灼热金属的天桥，应设隔热桥板，两侧设不低于1.5m的防护挡板；有可能发生飞溅金属屑、渣或氧化铁皮处的人行天桥，两侧应设置不低于 2.0m的防护挡板；</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轧机与前后辊道或升降台、推床、翻钢机等辅助设施之间，应设安全联锁装置；</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轧机的机架、轧辊和传动轴，应设过载保护装置；</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轧机的润滑和液压系统，应设置各种监测和保险装置；</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轧机的操作区域应设置防滑措施；</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热锯机应有防止锯屑飞溅的设施，在有人员通行的方向应设防护挡板；</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轧线上的切头尾事故飞剪，应设安全护栏和防护；</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设备裸露的转动或快速移动部分，应设结构可靠的安全防护罩、防护栏杆或防护挡板；</w:t>
            </w:r>
          </w:p>
          <w:p>
            <w:pPr>
              <w:pStyle w:val="26"/>
              <w:numPr>
                <w:ilvl w:val="0"/>
                <w:numId w:val="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正常轧制时，任何人不得进入连轧机机架中和机架上；</w:t>
            </w:r>
          </w:p>
          <w:p>
            <w:pPr>
              <w:pStyle w:val="26"/>
              <w:numPr>
                <w:ilvl w:val="0"/>
                <w:numId w:val="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线材精轧机后不应设置人行天桥；</w:t>
            </w:r>
          </w:p>
          <w:p>
            <w:pPr>
              <w:pStyle w:val="26"/>
              <w:numPr>
                <w:ilvl w:val="0"/>
                <w:numId w:val="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rPr>
          <w:rFonts w:ascii="Times New Roman" w:hAnsi="Times New Roman" w:eastAsia="仿宋_GB2312" w:cs="Times New Roman"/>
        </w:rPr>
      </w:pPr>
    </w:p>
    <w:p>
      <w:pPr>
        <w:widowControl/>
        <w:ind w:firstLine="640" w:firstLineChars="200"/>
        <w:jc w:val="left"/>
        <w:rPr>
          <w:rFonts w:ascii="Times New Roman" w:hAnsi="Times New Roman" w:eastAsia="仿宋_GB2312" w:cs="Times New Roman"/>
        </w:rPr>
      </w:pPr>
      <w:r>
        <w:rPr>
          <w:rFonts w:ascii="Times New Roman" w:hAnsi="Times New Roman" w:eastAsia="仿宋_GB2312" w:cs="Times New Roman"/>
          <w:b/>
          <w:sz w:val="32"/>
          <w:szCs w:val="32"/>
        </w:rPr>
        <w:t>轧钢系统3级安全风险点主要包括：火焰切割用气阀门箱；各氧气点阀箱；轧辊检修区等。</w:t>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4.1.5铁合金</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电炉（含炉底、变压器、水冷构件、油系统、电极等）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炉底应保持干燥，不应有积水；</w:t>
            </w:r>
          </w:p>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水冷元件应设置水温、水压、流量监测报警装置；</w:t>
            </w:r>
          </w:p>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液压油应采用阻燃液压油；</w:t>
            </w:r>
          </w:p>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炉眼开口机处应采取防喷溅措施；</w:t>
            </w:r>
          </w:p>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电炉附属水冷烟道</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水冷元件应设置水温、水压、流量监测报警装置；</w:t>
            </w:r>
          </w:p>
          <w:p>
            <w:pPr>
              <w:pStyle w:val="26"/>
              <w:numPr>
                <w:ilvl w:val="0"/>
                <w:numId w:val="1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1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电炉电极壳焊接（接装）平台</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电极壳焊接平台应设置固定式一氧化碳检测报警装置；</w:t>
            </w:r>
          </w:p>
          <w:p>
            <w:pPr>
              <w:pStyle w:val="26"/>
              <w:numPr>
                <w:ilvl w:val="0"/>
                <w:numId w:val="1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电极壳焊接平台应铺设绝缘材料；</w:t>
            </w:r>
          </w:p>
          <w:p>
            <w:pPr>
              <w:pStyle w:val="26"/>
              <w:numPr>
                <w:ilvl w:val="0"/>
                <w:numId w:val="1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1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电炉加料平台</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中毒和窒息、火灾、其他爆炸、机械伤害、车辆伤害、触电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人工加料车辆应有防喷溅措施；</w:t>
            </w:r>
          </w:p>
          <w:p>
            <w:pPr>
              <w:pStyle w:val="26"/>
              <w:numPr>
                <w:ilvl w:val="0"/>
                <w:numId w:val="1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自动加料小车电源滑触线应采取隔离措施；</w:t>
            </w:r>
          </w:p>
          <w:p>
            <w:pPr>
              <w:pStyle w:val="26"/>
              <w:numPr>
                <w:ilvl w:val="0"/>
                <w:numId w:val="1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下料口应设置防护格栅；</w:t>
            </w:r>
          </w:p>
          <w:p>
            <w:pPr>
              <w:pStyle w:val="26"/>
              <w:numPr>
                <w:ilvl w:val="0"/>
                <w:numId w:val="1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电炉控制室应设置固定式一氧化碳检测报警装置；</w:t>
            </w:r>
          </w:p>
          <w:p>
            <w:pPr>
              <w:pStyle w:val="26"/>
              <w:numPr>
                <w:ilvl w:val="0"/>
                <w:numId w:val="1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电炉控制室门、窗不应正对炉口；</w:t>
            </w:r>
          </w:p>
          <w:p>
            <w:pPr>
              <w:pStyle w:val="26"/>
              <w:numPr>
                <w:ilvl w:val="0"/>
                <w:numId w:val="1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熔融金属盛装容器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应对容器和耳轴进行探伤检测，耳轴每年检测一次，做好记录，并存档；凡耳轴出现内裂纹、壳体焊缝开裂、明显变形、耳轴磨损大于直径的10%的均应报修或报废；</w:t>
            </w:r>
          </w:p>
          <w:p>
            <w:pPr>
              <w:pStyle w:val="26"/>
              <w:numPr>
                <w:ilvl w:val="0"/>
                <w:numId w:val="1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使用的容器应烘干，不应有水、潮湿杂物和易燃易爆物；</w:t>
            </w:r>
          </w:p>
          <w:p>
            <w:pPr>
              <w:pStyle w:val="26"/>
              <w:numPr>
                <w:ilvl w:val="0"/>
                <w:numId w:val="1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建立容器定期监测和检查制度。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1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1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1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1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99"/>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浇铸区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1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地面不存在非生产性积水；</w:t>
            </w:r>
          </w:p>
          <w:p>
            <w:pPr>
              <w:pStyle w:val="26"/>
              <w:numPr>
                <w:ilvl w:val="0"/>
                <w:numId w:val="1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禁止使用水冷锭模；</w:t>
            </w:r>
          </w:p>
          <w:p>
            <w:pPr>
              <w:pStyle w:val="26"/>
              <w:numPr>
                <w:ilvl w:val="0"/>
                <w:numId w:val="1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浇铸时严禁跨越流槽；</w:t>
            </w:r>
          </w:p>
          <w:p>
            <w:pPr>
              <w:pStyle w:val="26"/>
              <w:numPr>
                <w:ilvl w:val="0"/>
                <w:numId w:val="1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rPr>
          <w:rFonts w:ascii="Times New Roman" w:hAnsi="Times New Roman" w:eastAsia="仿宋_GB2312" w:cs="Times New Roman"/>
        </w:rPr>
      </w:pPr>
    </w:p>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铁合金企业3级安全风险点主要包括：精整区域；破碎区域；除尘系统；水渣池；原料储存区域；成品区等。</w:t>
      </w:r>
    </w:p>
    <w:p>
      <w:pPr>
        <w:pStyle w:val="4"/>
        <w:spacing w:before="0" w:after="0"/>
        <w:ind w:firstLine="627" w:firstLineChars="196"/>
        <w:rPr>
          <w:rFonts w:ascii="Times New Roman" w:hAnsi="Times New Roman" w:eastAsia="仿宋_GB2312"/>
        </w:rPr>
      </w:pPr>
      <w:bookmarkStart w:id="60" w:name="_Toc92909962"/>
      <w:r>
        <w:rPr>
          <w:rFonts w:ascii="Times New Roman" w:hAnsi="Times New Roman" w:eastAsia="仿宋_GB2312"/>
        </w:rPr>
        <w:t>4.2有色行业</w:t>
      </w:r>
      <w:bookmarkEnd w:id="60"/>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4.2.1铜冶炼</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铜冶炼的熔炼炉（如艾萨炉、奥斯麦特炉等）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具有相应的紧急停车系统、监控系、报警系统、联锁系统、冷却系统、安全自动控制系统、防爆装置；</w:t>
            </w:r>
          </w:p>
          <w:p>
            <w:pPr>
              <w:pStyle w:val="26"/>
              <w:numPr>
                <w:ilvl w:val="0"/>
                <w:numId w:val="1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1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1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1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铜冶炼的精炼炉、电炉、转炉、阳极炉等炉窑</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中毒和窒息、火灾、其他爆炸、灼烫、触电、高处坠落、机械伤害</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具有相应的紧急停车系统、监控系、报警系统、联锁系统、冷却系统、安全自动控制系统、防爆装置；</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应急设施应保持干燥，不得存放其它物品，以保证流通或容量；</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冶炼炉窑的闭路循环水冷元件应设置出水温度、进出水流量差监测报警装置；开路水冷元件应设置进水流量、压力监测报警装置，实施出水温度定期人工检测或自动检测；</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设置应急水源或配备应急备用泵；</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燃油、燃气系统应能满足燃油、燃气的安全要求；</w:t>
            </w:r>
          </w:p>
          <w:p>
            <w:pPr>
              <w:pStyle w:val="26"/>
              <w:numPr>
                <w:ilvl w:val="0"/>
                <w:numId w:val="1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铜冶炼阳极浇铸系统的溜槽、圆盘浇铸机、中间包、浇包、铜模</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应烘烤干燥无水分；</w:t>
            </w:r>
          </w:p>
          <w:p>
            <w:pPr>
              <w:pStyle w:val="26"/>
              <w:numPr>
                <w:ilvl w:val="0"/>
                <w:numId w:val="1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出铜过程中，模内不得积水，脱模剂应干燥，并控制好出铜速度；</w:t>
            </w:r>
          </w:p>
          <w:p>
            <w:pPr>
              <w:pStyle w:val="26"/>
              <w:numPr>
                <w:ilvl w:val="0"/>
                <w:numId w:val="1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1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1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铜湿法精炼的电积脱砷厂房</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厂房应设抽风系统，槽面抽风系统与硅整流应设联锁装置；</w:t>
            </w:r>
          </w:p>
          <w:p>
            <w:pPr>
              <w:pStyle w:val="26"/>
              <w:numPr>
                <w:ilvl w:val="0"/>
                <w:numId w:val="1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作业人员应携带便携式报警仪；</w:t>
            </w:r>
          </w:p>
          <w:p>
            <w:pPr>
              <w:pStyle w:val="26"/>
              <w:numPr>
                <w:ilvl w:val="0"/>
                <w:numId w:val="1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硫化法污酸处理站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作业人员应携带便携式报警仪；</w:t>
            </w:r>
          </w:p>
          <w:p>
            <w:pPr>
              <w:pStyle w:val="26"/>
              <w:numPr>
                <w:ilvl w:val="0"/>
                <w:numId w:val="1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煤粉制备及喷吹系统的煤磨机、煤粉仓、除尘器、喷吹罐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煤粉制备系统规范设置温度、氧含量、一氧化碳监测装置；并设置惰性气体灭火装置；</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磨机、煤粉仓、除尘器应采取泄爆等控爆措施；</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除尘器设置锁气卸灰装置；</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电气设备应满足粉尘防爆的要求；</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管道连接处（法兰或软连接）应采取导静电跨接；</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原煤输送系统，应设除铁器和杂物筛；</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制定粉尘清理制度，并定期规范清理积尘；</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湿法冶炼置换提铜过程中可能产生砷化氢或氢气的装置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设置机械通风；</w:t>
            </w:r>
          </w:p>
          <w:p>
            <w:pPr>
              <w:pStyle w:val="26"/>
              <w:numPr>
                <w:ilvl w:val="0"/>
                <w:numId w:val="1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作业人员应携带便携式报警仪；</w:t>
            </w:r>
          </w:p>
          <w:p>
            <w:pPr>
              <w:pStyle w:val="26"/>
              <w:numPr>
                <w:ilvl w:val="0"/>
                <w:numId w:val="1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熔炼、精炼控制室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主控室应设置出现大喷事故的必要防护措施；操作室应采取隔热防喷溅措施；</w:t>
            </w:r>
          </w:p>
          <w:p>
            <w:pPr>
              <w:pStyle w:val="26"/>
              <w:numPr>
                <w:ilvl w:val="0"/>
                <w:numId w:val="117"/>
              </w:numPr>
              <w:ind w:firstLineChars="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依据实际</w:t>
            </w:r>
            <w:r>
              <w:rPr>
                <w:rFonts w:ascii="Times New Roman" w:hAnsi="Times New Roman" w:eastAsia="仿宋_GB2312" w:cs="Times New Roman"/>
                <w:sz w:val="24"/>
                <w:szCs w:val="24"/>
              </w:rPr>
              <w:t>设置固定式一氧化碳</w:t>
            </w:r>
            <w:r>
              <w:rPr>
                <w:rFonts w:hint="eastAsia" w:ascii="Times New Roman" w:hAnsi="Times New Roman" w:eastAsia="仿宋_GB2312" w:cs="Times New Roman"/>
                <w:sz w:val="24"/>
                <w:szCs w:val="24"/>
              </w:rPr>
              <w:t>或</w:t>
            </w:r>
            <w:r>
              <w:rPr>
                <w:rFonts w:ascii="Times New Roman" w:hAnsi="Times New Roman" w:eastAsia="仿宋_GB2312" w:cs="Times New Roman"/>
                <w:sz w:val="24"/>
                <w:szCs w:val="24"/>
              </w:rPr>
              <w:t>二氧化硫检测报警装置；</w:t>
            </w:r>
          </w:p>
          <w:p>
            <w:pPr>
              <w:pStyle w:val="26"/>
              <w:numPr>
                <w:ilvl w:val="0"/>
                <w:numId w:val="1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控制室的门应向外开启；</w:t>
            </w:r>
          </w:p>
          <w:p>
            <w:pPr>
              <w:pStyle w:val="26"/>
              <w:numPr>
                <w:ilvl w:val="0"/>
                <w:numId w:val="1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主控室应设置紧急出口；</w:t>
            </w:r>
          </w:p>
          <w:p>
            <w:pPr>
              <w:pStyle w:val="26"/>
              <w:numPr>
                <w:ilvl w:val="0"/>
                <w:numId w:val="1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盛装高温熔体的铜水包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铜水包耳轴每年探伤检查一次，罐体每2年至少进行一次</w:t>
            </w:r>
            <w:r>
              <w:rPr>
                <w:rFonts w:hint="eastAsia" w:ascii="Times New Roman" w:hAnsi="Times New Roman" w:eastAsia="仿宋_GB2312" w:cs="Times New Roman"/>
                <w:sz w:val="24"/>
                <w:szCs w:val="24"/>
              </w:rPr>
              <w:t>检查</w:t>
            </w:r>
            <w:r>
              <w:rPr>
                <w:rFonts w:ascii="Times New Roman" w:hAnsi="Times New Roman" w:eastAsia="仿宋_GB2312" w:cs="Times New Roman"/>
                <w:sz w:val="24"/>
                <w:szCs w:val="24"/>
              </w:rPr>
              <w:t>，做好记录，并存档；凡耳轴出现内裂纹、壳体焊缝开裂、明显变形、耳轴磨损大于直径的10%</w:t>
            </w:r>
            <w:r>
              <w:rPr>
                <w:rFonts w:hint="eastAsia" w:ascii="Times New Roman" w:hAnsi="Times New Roman" w:eastAsia="仿宋_GB2312" w:cs="Times New Roman"/>
                <w:sz w:val="24"/>
                <w:szCs w:val="24"/>
              </w:rPr>
              <w:t>的</w:t>
            </w:r>
            <w:r>
              <w:rPr>
                <w:rFonts w:ascii="Times New Roman" w:hAnsi="Times New Roman" w:eastAsia="仿宋_GB2312" w:cs="Times New Roman"/>
                <w:sz w:val="24"/>
                <w:szCs w:val="24"/>
              </w:rPr>
              <w:t>，均应报修或报废；</w:t>
            </w:r>
          </w:p>
          <w:p>
            <w:pPr>
              <w:pStyle w:val="26"/>
              <w:numPr>
                <w:ilvl w:val="0"/>
                <w:numId w:val="1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建立定期监测和检查制度；</w:t>
            </w:r>
          </w:p>
          <w:p>
            <w:pPr>
              <w:pStyle w:val="26"/>
              <w:numPr>
                <w:ilvl w:val="0"/>
                <w:numId w:val="1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使用的铜水包应烘干，不应有水、潮湿杂物和易燃易爆物；</w:t>
            </w:r>
          </w:p>
          <w:p>
            <w:pPr>
              <w:pStyle w:val="26"/>
              <w:numPr>
                <w:ilvl w:val="0"/>
                <w:numId w:val="1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铜包盛装高温熔体时，液面距包沿应大于150mm；</w:t>
            </w:r>
          </w:p>
          <w:p>
            <w:pPr>
              <w:pStyle w:val="26"/>
              <w:numPr>
                <w:ilvl w:val="0"/>
                <w:numId w:val="1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柴油罐或柴油储存点</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罐体应接地；</w:t>
            </w:r>
          </w:p>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应设置液位计、带阻火器的呼吸阀；</w:t>
            </w:r>
          </w:p>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采取防止液体流散的设施；</w:t>
            </w:r>
          </w:p>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设置人体和车辆导除静电装置；</w:t>
            </w:r>
          </w:p>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存放区电气设备应防爆；</w:t>
            </w:r>
          </w:p>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配备相应消防器材；</w:t>
            </w:r>
          </w:p>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圆盘给料机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机械伤害、高处坠落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规范设置隔离防护措施；</w:t>
            </w:r>
          </w:p>
          <w:p>
            <w:pPr>
              <w:pStyle w:val="26"/>
              <w:numPr>
                <w:ilvl w:val="0"/>
                <w:numId w:val="1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1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1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1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1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圆盘造粒机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机械伤害、高处坠落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规范设置隔离防护措施；</w:t>
            </w:r>
          </w:p>
          <w:p>
            <w:pPr>
              <w:pStyle w:val="26"/>
              <w:numPr>
                <w:ilvl w:val="0"/>
                <w:numId w:val="1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渣缓冷场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应采取隔离防护措施；</w:t>
            </w:r>
          </w:p>
          <w:p>
            <w:pPr>
              <w:pStyle w:val="26"/>
              <w:numPr>
                <w:ilvl w:val="0"/>
                <w:numId w:val="1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各料仓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料仓下料口规范设置安全车挡和格栅；</w:t>
            </w:r>
          </w:p>
          <w:p>
            <w:pPr>
              <w:pStyle w:val="26"/>
              <w:numPr>
                <w:ilvl w:val="0"/>
                <w:numId w:val="1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1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1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1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汽包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设置安全阀、压力表、液位计；</w:t>
            </w:r>
          </w:p>
          <w:p>
            <w:pPr>
              <w:pStyle w:val="26"/>
              <w:numPr>
                <w:ilvl w:val="0"/>
                <w:numId w:val="1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1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蓄热器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w:t>
            </w:r>
          </w:p>
          <w:p>
            <w:pPr>
              <w:pStyle w:val="26"/>
              <w:numPr>
                <w:ilvl w:val="0"/>
                <w:numId w:val="1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1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电解槽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中毒和窒息、灼烫（化学）、淹溺、触电、高处坠落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导电母排应设绝缘设施；</w:t>
            </w:r>
          </w:p>
          <w:p>
            <w:pPr>
              <w:pStyle w:val="26"/>
              <w:numPr>
                <w:ilvl w:val="0"/>
                <w:numId w:val="1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电解车间槽面应按GB38144设置应急冲洗装置；</w:t>
            </w:r>
          </w:p>
          <w:p>
            <w:pPr>
              <w:pStyle w:val="26"/>
              <w:numPr>
                <w:ilvl w:val="0"/>
                <w:numId w:val="1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电解槽面需配置防止酸雾超标设施；</w:t>
            </w:r>
          </w:p>
          <w:p>
            <w:pPr>
              <w:pStyle w:val="26"/>
              <w:numPr>
                <w:ilvl w:val="0"/>
                <w:numId w:val="1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0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电解母液、废液储存设施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应采取防止液体流散的措施；</w:t>
            </w:r>
          </w:p>
          <w:p>
            <w:pPr>
              <w:pStyle w:val="26"/>
              <w:numPr>
                <w:ilvl w:val="0"/>
                <w:numId w:val="1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应设置液位计；</w:t>
            </w:r>
          </w:p>
          <w:p>
            <w:pPr>
              <w:pStyle w:val="26"/>
              <w:numPr>
                <w:ilvl w:val="0"/>
                <w:numId w:val="1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应设置应急冲洗装置；</w:t>
            </w:r>
          </w:p>
          <w:p>
            <w:pPr>
              <w:pStyle w:val="26"/>
              <w:numPr>
                <w:ilvl w:val="0"/>
                <w:numId w:val="1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应定期检查，发现跑、冒、滴、漏现象应及时处理；</w:t>
            </w:r>
          </w:p>
          <w:p>
            <w:pPr>
              <w:pStyle w:val="26"/>
              <w:numPr>
                <w:ilvl w:val="0"/>
                <w:numId w:val="1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40" w:firstLineChars="200"/>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铜冶炼系统3级安全风险点主要包括：风机房；发电机、汽轮机及其油系统等。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4.2.2铅锌冶炼</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铅锌冶炼的熔炼炉（如艾萨炉、奥斯麦特炉等）、烟化炉、阳极炉、电炉、中（工）频炉、还原炉、熔铅锅等炉窑</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中毒和窒息、火灾、其他爆炸、灼烫、高处坠落、机械伤害</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w:t>
            </w:r>
            <w:r>
              <w:rPr>
                <w:rFonts w:hint="eastAsia" w:ascii="Times New Roman" w:hAnsi="Times New Roman" w:eastAsia="仿宋_GB2312" w:cs="Times New Roman"/>
                <w:sz w:val="24"/>
                <w:szCs w:val="24"/>
              </w:rPr>
              <w:t>统</w:t>
            </w:r>
            <w:r>
              <w:rPr>
                <w:rFonts w:ascii="Times New Roman" w:hAnsi="Times New Roman" w:eastAsia="仿宋_GB2312" w:cs="Times New Roman"/>
                <w:sz w:val="24"/>
                <w:szCs w:val="24"/>
              </w:rPr>
              <w:t>、报警系统、联锁系统、冷却系统、安全自动控制系统、防爆装置；</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应急设施应保持干燥，不得存放其它物品，以保证流通或容量；</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冶炼炉窑的闭路循环水冷元件应设置出水温度、进出水流量差监测报警装置；开路水冷元件应设置进水流量、压力监测报警装置，实施出水温度定期人工检测或自动检测；</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设置应急水源或配备应急备用泵；</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湿法锌冶炼的净化工序净化槽及槽下部区域</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中毒和窒息、火灾、其他爆炸、淹溺</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厂房应设抽风系统；</w:t>
            </w:r>
          </w:p>
          <w:p>
            <w:pPr>
              <w:pStyle w:val="26"/>
              <w:numPr>
                <w:ilvl w:val="0"/>
                <w:numId w:val="1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应设置应急冲洗装置；</w:t>
            </w:r>
          </w:p>
          <w:p>
            <w:pPr>
              <w:pStyle w:val="26"/>
              <w:numPr>
                <w:ilvl w:val="0"/>
                <w:numId w:val="1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湿法锌冶炼镉回收工序的搅拌槽及槽下部区域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设置氢气检测报警装置；</w:t>
            </w:r>
          </w:p>
          <w:p>
            <w:pPr>
              <w:pStyle w:val="26"/>
              <w:numPr>
                <w:ilvl w:val="0"/>
                <w:numId w:val="1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厂房应设抽风系统；</w:t>
            </w:r>
          </w:p>
          <w:p>
            <w:pPr>
              <w:pStyle w:val="26"/>
              <w:numPr>
                <w:ilvl w:val="0"/>
                <w:numId w:val="1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应按GB38144设置应急冲洗装置；</w:t>
            </w:r>
          </w:p>
          <w:p>
            <w:pPr>
              <w:pStyle w:val="26"/>
              <w:numPr>
                <w:ilvl w:val="0"/>
                <w:numId w:val="1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湿法锌冶炼综合回收工序净化槽及槽下部区域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厂房应设抽风系统；</w:t>
            </w:r>
          </w:p>
          <w:p>
            <w:pPr>
              <w:pStyle w:val="26"/>
              <w:numPr>
                <w:ilvl w:val="0"/>
                <w:numId w:val="1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应设置应急冲洗装置；</w:t>
            </w:r>
          </w:p>
          <w:p>
            <w:pPr>
              <w:pStyle w:val="26"/>
              <w:numPr>
                <w:ilvl w:val="0"/>
                <w:numId w:val="1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湿法铟冶炼置换工序</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厂房应设抽风系统；</w:t>
            </w:r>
          </w:p>
          <w:p>
            <w:pPr>
              <w:pStyle w:val="26"/>
              <w:numPr>
                <w:ilvl w:val="0"/>
                <w:numId w:val="1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湿法铟冶炼萃取工序</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设置氢气检测报警装置；</w:t>
            </w:r>
          </w:p>
          <w:p>
            <w:pPr>
              <w:pStyle w:val="26"/>
              <w:numPr>
                <w:ilvl w:val="0"/>
                <w:numId w:val="1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厂房应设抽风系统；</w:t>
            </w:r>
          </w:p>
          <w:p>
            <w:pPr>
              <w:pStyle w:val="26"/>
              <w:numPr>
                <w:ilvl w:val="0"/>
                <w:numId w:val="1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应设置应急冲洗装置；</w:t>
            </w:r>
          </w:p>
          <w:p>
            <w:pPr>
              <w:pStyle w:val="26"/>
              <w:numPr>
                <w:ilvl w:val="0"/>
                <w:numId w:val="1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酸洗滤袋槽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不应使用含酸废液清洗滤袋；</w:t>
            </w:r>
          </w:p>
          <w:p>
            <w:pPr>
              <w:pStyle w:val="26"/>
              <w:numPr>
                <w:ilvl w:val="0"/>
                <w:numId w:val="1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煤粉制备及喷吹系统的煤磨机、煤粉仓、除尘器、喷吹罐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煤粉制备系统规范设置温度、氧含量、一氧化碳监测装置；并设置惰性气体灭火装置；</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磨机、煤粉仓、除尘器应采取泄爆等控爆措施；</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除尘器设置锁气卸灰装置；</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电气设备应满足粉尘防爆的要求；</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管道连接处（法兰或软连接）应采取导静电跨接；</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原煤输送系统，应设除铁器和杂物筛；</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制定粉尘清理制度，并定期规范清理积尘；</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煤气站或燃气供配站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设置固定式一氧化碳、可燃气体检测报警装置；</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罐体（柜体）接地；</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管道进行可靠静电接地装置；</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设置风向标；</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严格执行高处作业等危险作业审批制度；</w:t>
            </w:r>
          </w:p>
          <w:p>
            <w:pPr>
              <w:pStyle w:val="26"/>
              <w:numPr>
                <w:ilvl w:val="0"/>
                <w:numId w:val="1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配备应急物资。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硫化法污酸处理站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作业人员应携带便携式报警仪；</w:t>
            </w:r>
          </w:p>
          <w:p>
            <w:pPr>
              <w:pStyle w:val="26"/>
              <w:numPr>
                <w:ilvl w:val="0"/>
                <w:numId w:val="1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制氢装置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设置氢气检测报警装置；</w:t>
            </w:r>
          </w:p>
          <w:p>
            <w:pPr>
              <w:pStyle w:val="26"/>
              <w:numPr>
                <w:ilvl w:val="0"/>
                <w:numId w:val="1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设置事故风机并与检测报警装置联锁；</w:t>
            </w:r>
          </w:p>
          <w:p>
            <w:pPr>
              <w:pStyle w:val="26"/>
              <w:numPr>
                <w:ilvl w:val="0"/>
                <w:numId w:val="1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电气设备应满足防爆要求；</w:t>
            </w:r>
          </w:p>
          <w:p>
            <w:pPr>
              <w:pStyle w:val="26"/>
              <w:numPr>
                <w:ilvl w:val="0"/>
                <w:numId w:val="1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采取可靠静电接装置；</w:t>
            </w:r>
          </w:p>
          <w:p>
            <w:pPr>
              <w:pStyle w:val="26"/>
              <w:numPr>
                <w:ilvl w:val="0"/>
                <w:numId w:val="1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1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硫化氢生产装置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设置硫化氢检测报警装置；</w:t>
            </w:r>
          </w:p>
          <w:p>
            <w:pPr>
              <w:pStyle w:val="26"/>
              <w:numPr>
                <w:ilvl w:val="0"/>
                <w:numId w:val="1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设置事故风机并与检测报警装置联锁；</w:t>
            </w:r>
          </w:p>
          <w:p>
            <w:pPr>
              <w:pStyle w:val="26"/>
              <w:numPr>
                <w:ilvl w:val="0"/>
                <w:numId w:val="1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1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锌粉生产装置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电气设备应满足防爆要求；</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采取可靠静电接装置；</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生产装置应设置泄爆装置；</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收尘器应设置泄爆装置、锁气卸灰阀；</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防止雨水进入厂房；</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不应使用易产生火花的工具；</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锌粉库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电气设备应满足防爆要求；</w:t>
            </w:r>
          </w:p>
          <w:p>
            <w:pPr>
              <w:pStyle w:val="26"/>
              <w:numPr>
                <w:ilvl w:val="0"/>
                <w:numId w:val="1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采取可靠静电接装置；</w:t>
            </w:r>
          </w:p>
          <w:p>
            <w:pPr>
              <w:pStyle w:val="26"/>
              <w:numPr>
                <w:ilvl w:val="0"/>
                <w:numId w:val="1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1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防止雨水进入库房；</w:t>
            </w:r>
          </w:p>
          <w:p>
            <w:pPr>
              <w:pStyle w:val="26"/>
              <w:numPr>
                <w:ilvl w:val="0"/>
                <w:numId w:val="1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设置温、湿度计；</w:t>
            </w:r>
          </w:p>
          <w:p>
            <w:pPr>
              <w:pStyle w:val="26"/>
              <w:numPr>
                <w:ilvl w:val="0"/>
                <w:numId w:val="1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不应使用易产生火花的工具；</w:t>
            </w:r>
          </w:p>
          <w:p>
            <w:pPr>
              <w:pStyle w:val="26"/>
              <w:numPr>
                <w:ilvl w:val="0"/>
                <w:numId w:val="1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熔炼控制室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主控室应设置出现大喷事故的必要防护措施；操作室应采取隔热防喷溅措施；</w:t>
            </w:r>
          </w:p>
          <w:p>
            <w:pPr>
              <w:pStyle w:val="26"/>
              <w:numPr>
                <w:ilvl w:val="0"/>
                <w:numId w:val="1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设置固定式一氧化碳、二氧化硫检测报警装置；</w:t>
            </w:r>
          </w:p>
          <w:p>
            <w:pPr>
              <w:pStyle w:val="26"/>
              <w:numPr>
                <w:ilvl w:val="0"/>
                <w:numId w:val="1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控制室的门应向外开启；</w:t>
            </w:r>
          </w:p>
          <w:p>
            <w:pPr>
              <w:pStyle w:val="26"/>
              <w:numPr>
                <w:ilvl w:val="0"/>
                <w:numId w:val="1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主控室应设置紧急出口；</w:t>
            </w:r>
          </w:p>
          <w:p>
            <w:pPr>
              <w:pStyle w:val="26"/>
              <w:numPr>
                <w:ilvl w:val="0"/>
                <w:numId w:val="1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熔化炉及铸锭设备</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具有相应的紧急停车系统、监控系、报警系统、联锁系统、冷却系统、安全自动控制系统、防爆装置；</w:t>
            </w:r>
          </w:p>
          <w:p>
            <w:pPr>
              <w:pStyle w:val="26"/>
              <w:numPr>
                <w:ilvl w:val="0"/>
                <w:numId w:val="1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生产区域的熔融金属泄漏、喷溅影响范围内不应存在积水或放置易燃易爆物品；</w:t>
            </w:r>
          </w:p>
          <w:p>
            <w:pPr>
              <w:pStyle w:val="26"/>
              <w:numPr>
                <w:ilvl w:val="0"/>
                <w:numId w:val="1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锭模应保持干燥，不得存放其它物品；</w:t>
            </w:r>
          </w:p>
          <w:p>
            <w:pPr>
              <w:pStyle w:val="26"/>
              <w:numPr>
                <w:ilvl w:val="0"/>
                <w:numId w:val="1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铸锭设备周边应设置隔离栏；</w:t>
            </w:r>
          </w:p>
          <w:p>
            <w:pPr>
              <w:pStyle w:val="26"/>
              <w:numPr>
                <w:ilvl w:val="0"/>
                <w:numId w:val="1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圆盘给料机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规范设置隔离防护措施；</w:t>
            </w:r>
          </w:p>
          <w:p>
            <w:pPr>
              <w:pStyle w:val="26"/>
              <w:numPr>
                <w:ilvl w:val="0"/>
                <w:numId w:val="1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1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1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1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1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各料仓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料仓下料口规范设置安全车挡和格栅；</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汽包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设置安全阀、压力表、液位计；</w:t>
            </w:r>
          </w:p>
          <w:p>
            <w:pPr>
              <w:pStyle w:val="26"/>
              <w:numPr>
                <w:ilvl w:val="0"/>
                <w:numId w:val="1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1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蓄热器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高处坠落、容器爆炸、灼烫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w:t>
            </w:r>
          </w:p>
          <w:p>
            <w:pPr>
              <w:pStyle w:val="26"/>
              <w:numPr>
                <w:ilvl w:val="0"/>
                <w:numId w:val="1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1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湿法锌冶炼净化工序办公室、值班室、休息室、会议室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焙烧炉、沸腾炉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采取相应的消防措施，防止开炉火灾；</w:t>
            </w:r>
          </w:p>
          <w:p>
            <w:pPr>
              <w:pStyle w:val="26"/>
              <w:numPr>
                <w:ilvl w:val="0"/>
                <w:numId w:val="1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使用煤气（天然气）应</w:t>
            </w:r>
            <w:r>
              <w:rPr>
                <w:rFonts w:hint="eastAsia" w:ascii="Times New Roman" w:hAnsi="Times New Roman" w:eastAsia="仿宋_GB2312" w:cs="Times New Roman"/>
                <w:sz w:val="24"/>
                <w:szCs w:val="24"/>
              </w:rPr>
              <w:t>设置</w:t>
            </w:r>
            <w:r>
              <w:rPr>
                <w:rFonts w:ascii="Times New Roman" w:hAnsi="Times New Roman" w:eastAsia="仿宋_GB2312" w:cs="Times New Roman"/>
                <w:sz w:val="24"/>
                <w:szCs w:val="24"/>
              </w:rPr>
              <w:t>压力检测、熄火检测装置和快速切断装置；</w:t>
            </w:r>
          </w:p>
          <w:p>
            <w:pPr>
              <w:pStyle w:val="26"/>
              <w:numPr>
                <w:ilvl w:val="0"/>
                <w:numId w:val="1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强制助燃风机、空气管道应设置接地装置，助燃风管应设置泄爆装置和放散管；</w:t>
            </w:r>
          </w:p>
          <w:p>
            <w:pPr>
              <w:pStyle w:val="26"/>
              <w:numPr>
                <w:ilvl w:val="0"/>
                <w:numId w:val="1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电解槽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中毒和窒息、火灾、其他爆炸、高处坠落、淹溺、灼烫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导电母排应设绝缘设施；</w:t>
            </w:r>
          </w:p>
          <w:p>
            <w:pPr>
              <w:pStyle w:val="26"/>
              <w:numPr>
                <w:ilvl w:val="0"/>
                <w:numId w:val="1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电解车间槽面应设置应急冲洗装置；</w:t>
            </w:r>
          </w:p>
          <w:p>
            <w:pPr>
              <w:pStyle w:val="26"/>
              <w:numPr>
                <w:ilvl w:val="0"/>
                <w:numId w:val="1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电解槽面需配置防止酸雾超标设施；</w:t>
            </w:r>
          </w:p>
          <w:p>
            <w:pPr>
              <w:pStyle w:val="26"/>
              <w:numPr>
                <w:ilvl w:val="0"/>
                <w:numId w:val="1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湿法锌冶炼的浸出反应槽及槽下部区域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设置符合国家标准最高容许浓度精度要求的砷化氢检测监测设备，或采取同等效果的检测措施；</w:t>
            </w:r>
          </w:p>
          <w:p>
            <w:pPr>
              <w:pStyle w:val="26"/>
              <w:numPr>
                <w:ilvl w:val="0"/>
                <w:numId w:val="1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厂房应设抽风系统；</w:t>
            </w:r>
          </w:p>
          <w:p>
            <w:pPr>
              <w:pStyle w:val="26"/>
              <w:numPr>
                <w:ilvl w:val="0"/>
                <w:numId w:val="1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应设置应急冲洗装置；</w:t>
            </w:r>
          </w:p>
          <w:p>
            <w:pPr>
              <w:pStyle w:val="26"/>
              <w:numPr>
                <w:ilvl w:val="0"/>
                <w:numId w:val="1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锌粉生产装置的控制室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不应设置</w:t>
            </w:r>
            <w:r>
              <w:rPr>
                <w:rFonts w:hint="eastAsia" w:ascii="Times New Roman" w:hAnsi="Times New Roman" w:eastAsia="仿宋_GB2312" w:cs="Times New Roman"/>
                <w:sz w:val="24"/>
                <w:szCs w:val="24"/>
              </w:rPr>
              <w:t>在</w:t>
            </w:r>
            <w:r>
              <w:rPr>
                <w:rFonts w:ascii="Times New Roman" w:hAnsi="Times New Roman" w:eastAsia="仿宋_GB2312" w:cs="Times New Roman"/>
                <w:sz w:val="24"/>
                <w:szCs w:val="24"/>
              </w:rPr>
              <w:t>生产装置区；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2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电解母液、废液储存设施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应采取防止液体流散的措施；</w:t>
            </w:r>
          </w:p>
          <w:p>
            <w:pPr>
              <w:pStyle w:val="26"/>
              <w:numPr>
                <w:ilvl w:val="0"/>
                <w:numId w:val="1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应设置液位计；</w:t>
            </w:r>
          </w:p>
          <w:p>
            <w:pPr>
              <w:pStyle w:val="26"/>
              <w:numPr>
                <w:ilvl w:val="0"/>
                <w:numId w:val="1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应设置应急冲洗装置；</w:t>
            </w:r>
          </w:p>
          <w:p>
            <w:pPr>
              <w:pStyle w:val="26"/>
              <w:numPr>
                <w:ilvl w:val="0"/>
                <w:numId w:val="1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应定期检查，发现跑、冒、滴、漏现象应及时处理；</w:t>
            </w:r>
          </w:p>
          <w:p>
            <w:pPr>
              <w:pStyle w:val="26"/>
              <w:numPr>
                <w:ilvl w:val="0"/>
                <w:numId w:val="1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40" w:firstLineChars="200"/>
        <w:jc w:val="left"/>
        <w:rPr>
          <w:rFonts w:ascii="Times New Roman" w:hAnsi="Times New Roman" w:eastAsia="仿宋_GB2312" w:cs="Times New Roman"/>
        </w:rPr>
      </w:pPr>
      <w:r>
        <w:rPr>
          <w:rFonts w:ascii="Times New Roman" w:hAnsi="Times New Roman" w:eastAsia="仿宋_GB2312" w:cs="Times New Roman"/>
          <w:b/>
          <w:sz w:val="32"/>
          <w:szCs w:val="32"/>
        </w:rPr>
        <w:t>铅锌冶炼系统3级安全风险点主要包括：风机房；板框压滤机；发电机、汽轮机及其油系统等。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4.2.3锡冶炼</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锡冶炼的熔炼炉（如艾萨炉、奥斯麦特炉等）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中毒和窒息、火灾、其他爆炸、灼烫、高处坠落、机械伤害</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具有相应的紧急停车系统、监控系、报警系统、联锁系统、冷却系统、安全自动控制系统、防爆装置；</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应急设施应保持干燥，不得存放其它物品，以保证流通或容量；</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冶炼炉窑的闭路循环水冷元件应设置出水温度、进出水流量差监测报警装置；开路水冷元件应设置进水流量、压力监测报警装置，实施出水温度定期人工检测或自动检测；</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设置应急水源或配备应急备用泵；</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锡冶炼的熔炼炉烟气炉、电炉、中（工）频炉、熔锡锅、回转窑、结晶器等炉窑</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具有相应的紧急停车系统、监控系、报警系统、联锁系统、冷却系统、安全自动控制系统、防爆装置；</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应急设施应保持干燥，不得存放其它物品，以保证流通或容量；</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冶炼炉窑的闭路循环水冷元件应设置出水温度、进出水流量差监测报警装置；开路水冷元件应设置进水流量、压力监测报警装置，实施出水温度定期人工检测或自动检测；</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设置应急水源或配备应急备用泵；</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煤粉制备及喷吹系统的煤磨机、煤粉仓、除尘器、喷吹罐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煤粉制备系统规范设置温度、氧含量、一氧化碳监测装置；并设置惰性气体灭火装置；</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磨机、煤粉仓、除尘器应采取泄爆等控爆措施；</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除尘器设置锁气卸灰装置；</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电气设备应满足粉尘防爆的要求；</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管道连接处（法兰或软连接）应采取导静电跨接；</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原煤输送系统，应设除铁器和杂物筛；</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制定粉尘清理制度，并定期规范清理积尘；</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焙烧炉、沸腾炉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采取相应的消防措施，防止开炉火灾；</w:t>
            </w:r>
          </w:p>
          <w:p>
            <w:pPr>
              <w:pStyle w:val="26"/>
              <w:numPr>
                <w:ilvl w:val="0"/>
                <w:numId w:val="1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使用煤气（天然气）应压力检测、熄火检测装置和快速切断装置；</w:t>
            </w:r>
          </w:p>
          <w:p>
            <w:pPr>
              <w:pStyle w:val="26"/>
              <w:numPr>
                <w:ilvl w:val="0"/>
                <w:numId w:val="1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强制助燃风机、空气管道应设置接地装置，助燃风管应设置泄爆装置和放散管；</w:t>
            </w:r>
          </w:p>
          <w:p>
            <w:pPr>
              <w:pStyle w:val="26"/>
              <w:numPr>
                <w:ilvl w:val="0"/>
                <w:numId w:val="1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1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1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1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1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各料仓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料仓下料口规范设置安全车挡和格栅；</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汽包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设置安全阀、压力表、液位计；</w:t>
            </w:r>
          </w:p>
          <w:p>
            <w:pPr>
              <w:pStyle w:val="26"/>
              <w:numPr>
                <w:ilvl w:val="0"/>
                <w:numId w:val="1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1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蓄热器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高处坠落、容器爆炸、灼烫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w:t>
            </w:r>
          </w:p>
          <w:p>
            <w:pPr>
              <w:pStyle w:val="26"/>
              <w:numPr>
                <w:ilvl w:val="0"/>
                <w:numId w:val="1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1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5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电解液循环池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中毒和窒息、高处坠落、淹溺、灼烫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应采取防止液体流散的措施；</w:t>
            </w:r>
          </w:p>
          <w:p>
            <w:pPr>
              <w:pStyle w:val="26"/>
              <w:numPr>
                <w:ilvl w:val="0"/>
                <w:numId w:val="1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应设置液位计；</w:t>
            </w:r>
          </w:p>
          <w:p>
            <w:pPr>
              <w:pStyle w:val="26"/>
              <w:numPr>
                <w:ilvl w:val="0"/>
                <w:numId w:val="1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应按GB38144设置应急冲洗装置；</w:t>
            </w:r>
          </w:p>
          <w:p>
            <w:pPr>
              <w:pStyle w:val="26"/>
              <w:numPr>
                <w:ilvl w:val="0"/>
                <w:numId w:val="1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应定期检查，发现跑、冒、滴、漏现象应及时处理；</w:t>
            </w:r>
          </w:p>
          <w:p>
            <w:pPr>
              <w:pStyle w:val="26"/>
              <w:numPr>
                <w:ilvl w:val="0"/>
                <w:numId w:val="1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40" w:firstLineChars="200"/>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锡冶炼系统3级安全风险点主要包括：风机房；发电机、汽轮机及其油系统等。</w:t>
      </w:r>
    </w:p>
    <w:p>
      <w:pPr>
        <w:rPr>
          <w:rFonts w:ascii="Times New Roman" w:hAnsi="Times New Roman" w:eastAsia="仿宋_GB2312" w:cs="Times New Roman"/>
        </w:rPr>
      </w:pP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4.2.4电解铝（氧化铝、铝型材、铝压延加工）</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铝电解的电解槽</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触电、火灾、其他爆炸、高处坠落、灼烫、中毒和窒息</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厂房周围应设置畅通的排水设施和防止雨水进入槽下地坪的措施，确保电解槽下不积水；</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电解槽下须设置防止漏炉铝液外流的挡铝墙（围堰）；</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电解槽的槽壳与上部机构支腿、风格板、槽壳支座、母线之间必须设置绝缘，绝缘值不小于0.5MΩ，防止直流接地；</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电解槽上部机构的各打壳气缸与支座、烟道与厂房、烟道端与上部机构相连的管道等必须设置绝缘，绝缘值不小于2MΩ；</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电解槽上部机构水平母线必须设置限位保护装置、电压异常报警装置、离极保护装置；</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电解槽在运行过程中必须对侧部及炉底进行温度检测；</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电解槽进行阳极提升作业时应防止阳极脱离发生放炮事故；</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电解阳极交换作业、出铝作业、抬母线作业、打壳作业、联车吊运槽壳等作业，必须使用铝电解多功能机组；</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熔炼炉、保温炉（混合炉）等炉窑</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倾动式熔炼炉必须设置紧急复位操作系统</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固定式、倾动式熔炼炉的铝水出口与流槽、流槽与铸造模盘两处接口位置，应配置液位监测和联锁报警装置；</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配置的液位传感器应与铝水流槽上的快速切断阀和紧急排放阀联锁；</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铸造熔炼炉、保温炉出铝口必须设置炉眼机械锁紧装置；</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放置入炉原材料的地面应保持干燥；铸造熔炼炉、保温炉、倾翻炉等炉体周围及炉底地坑、流铝槽、过滤装置、残铝箱等周围不能有非生产性积水或放置易燃易爆物品；</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铸造熔炼炉、保温炉、倾翻炉、流铝槽、除气过滤装置等，在设备周围必须设置防止铝液遇水爆炸的挡铝围堰；</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使用燃气的炉窑燃烧装置、阀门组处应设置可燃气体检测报警装置；</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使用煤气（天然气）的燃烧装置应设置熄火检测和防止回火的紧急自动切断装置；</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燃气管线应规范设置压力检测和快速切断阀、放散管；</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应制定符合标准要求的煤气（天然气）点火作业程序；</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冶炼炉窑的闭路循环水冷元件应设置出水温度、进出水流量差监测报警装置；开路水冷元件应设置进水流量、压力监测报警装置，实施出水温度定期人工检测或自动检测；</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采用水冷方式冷却的炉窑及水冷元件，应设置应急水源；</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6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阳极组装车间的中频炉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中毒和窒息、火灾、其他爆炸、高处坠落、触电</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水冷系统应设置水温、水压监测和安全联锁报警装置；</w:t>
            </w:r>
          </w:p>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大于1吨的中频炉应设置漏炉报警装置；</w:t>
            </w:r>
          </w:p>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水冷电缆不应拖地敷设；</w:t>
            </w:r>
          </w:p>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炉底和事故坑应保持干燥；</w:t>
            </w:r>
          </w:p>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炉架、电容器柜、变频装置、操作控制台外壳均应可靠接地，接地电阻不应大于4Ω；</w:t>
            </w:r>
          </w:p>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液压系统各部分管路应无漏油现象；</w:t>
            </w:r>
          </w:p>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控制室门、窗不应开向炉口；</w:t>
            </w:r>
          </w:p>
          <w:p>
            <w:pPr>
              <w:pStyle w:val="26"/>
              <w:numPr>
                <w:ilvl w:val="0"/>
                <w:numId w:val="1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铝压延加工用圆棒生产的深井浇铸工区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火灾、其他爆炸、灼烫、机械伤害、物体打击、高处坠落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深井铸造结晶器的冷却水系统应配置进出水温度、进水压力、进水流量监测报警装置；</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监测报警装置应与流槽上的快速切断阀和紧急排放阀联锁，应与倾动式熔炼炉控制系统联锁。</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冷却水系统应设置应急水源；应急水源管道应并联安装2个控制阀，且应有常闭电磁阀（自动控制阀）；</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铝水铸造浇铸生产流程中必须设置铝液紧急排放和储存的设施；应急设施应保持干燥，不得存放其它物品，以保证流通或容量；</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钢丝卷扬系统</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设置不间断应急电源；引锭盘托架钢丝绳应定期检查和更换；</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铸井内壁必须涂刷防爆涂料；</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铸造车间现场应严格控制人数，控制非生产人员进入；</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铝连续铸锭机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浇铸冷却系统必须设置应急冷却水源；</w:t>
            </w:r>
          </w:p>
          <w:p>
            <w:pPr>
              <w:pStyle w:val="26"/>
              <w:numPr>
                <w:ilvl w:val="0"/>
                <w:numId w:val="1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铸机、轧机流铝槽、除气过滤装置等，在设备周围必须设置防止铝液遇水爆炸的挡铝围堰；</w:t>
            </w:r>
          </w:p>
          <w:p>
            <w:pPr>
              <w:pStyle w:val="26"/>
              <w:numPr>
                <w:ilvl w:val="0"/>
                <w:numId w:val="1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铝电解用碳素生产的回转窑、煅烧炉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火灾、其他爆炸、高处坠落、机械伤害、中毒和窒息、触电、灼烫、坍塌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设双回路电源供电；</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电锻烧炉和罐式煅烧炉冷却水系统、回转窑传动电机等用电关键设备应设应急电源；</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回转窑的排烟机应设温度报警装置；</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回转窑窑头及窑尾应分设事故贮水箱；</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煅烧炉（窑）应配置安全水源或设置高位水箱；</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煅烧炉、石墨化焙烧厂房应设有足够的通风系统，应设置一氧化碳检测及报警装置；</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煅烧炉窑、焙烧炉等的排烟系统应设置泄爆门；</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使用煤气、天然气、液化气等的燃烧装置，应有煤气、天然气、液化气紧急切断阀，以及火灾报警器、超敏度气体报警器；</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铝电解用碳素生产的沥青熔化器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熔化沥青应用蒸汽或热媒油加热；</w:t>
            </w:r>
          </w:p>
          <w:p>
            <w:pPr>
              <w:pStyle w:val="26"/>
              <w:numPr>
                <w:ilvl w:val="0"/>
                <w:numId w:val="1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沥青熔化应密闭，沥青熔化槽、干燥器和破碎机必须设通风除尘设施；</w:t>
            </w:r>
          </w:p>
          <w:p>
            <w:pPr>
              <w:pStyle w:val="26"/>
              <w:numPr>
                <w:ilvl w:val="0"/>
                <w:numId w:val="1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沥青熔化系统中易着火点，应设消防装置；</w:t>
            </w:r>
          </w:p>
          <w:p>
            <w:pPr>
              <w:pStyle w:val="26"/>
              <w:numPr>
                <w:ilvl w:val="0"/>
                <w:numId w:val="1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熔化沥青储罐应设有液位显示及高位报警仪，储罐周围应设置围堰；</w:t>
            </w:r>
          </w:p>
          <w:p>
            <w:pPr>
              <w:pStyle w:val="26"/>
              <w:numPr>
                <w:ilvl w:val="0"/>
                <w:numId w:val="1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铝电解用碳素生产的高楼部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设置通风除尘设施、良好的通风设施和排烟系统；</w:t>
            </w:r>
          </w:p>
          <w:p>
            <w:pPr>
              <w:pStyle w:val="26"/>
              <w:numPr>
                <w:ilvl w:val="0"/>
                <w:numId w:val="1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易着火点应</w:t>
            </w:r>
            <w:r>
              <w:rPr>
                <w:rFonts w:hint="eastAsia" w:ascii="Times New Roman" w:hAnsi="Times New Roman" w:eastAsia="仿宋_GB2312" w:cs="Times New Roman"/>
                <w:sz w:val="24"/>
                <w:szCs w:val="24"/>
              </w:rPr>
              <w:t>设置</w:t>
            </w:r>
            <w:r>
              <w:rPr>
                <w:rFonts w:ascii="Times New Roman" w:hAnsi="Times New Roman" w:eastAsia="仿宋_GB2312" w:cs="Times New Roman"/>
                <w:sz w:val="24"/>
                <w:szCs w:val="24"/>
              </w:rPr>
              <w:t>消防装置；</w:t>
            </w:r>
          </w:p>
          <w:p>
            <w:pPr>
              <w:pStyle w:val="26"/>
              <w:numPr>
                <w:ilvl w:val="0"/>
                <w:numId w:val="1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铝电解用碳素生产的导热油加热炉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热媒锅炉的操作室除有正常出入口及通道外，应设逃生通道，且门应向外开；</w:t>
            </w:r>
          </w:p>
          <w:p>
            <w:pPr>
              <w:pStyle w:val="26"/>
              <w:numPr>
                <w:ilvl w:val="0"/>
                <w:numId w:val="1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重油、热媒等管道及存储装置应设有可靠的隔热层；</w:t>
            </w:r>
          </w:p>
          <w:p>
            <w:pPr>
              <w:pStyle w:val="26"/>
              <w:numPr>
                <w:ilvl w:val="0"/>
                <w:numId w:val="1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锅炉的排烟系统应设置泄爆门；</w:t>
            </w:r>
          </w:p>
          <w:p>
            <w:pPr>
              <w:pStyle w:val="26"/>
              <w:numPr>
                <w:ilvl w:val="0"/>
                <w:numId w:val="1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重油应设有液位显示及高位报警仪，储罐周围应设置围堰；</w:t>
            </w:r>
          </w:p>
          <w:p>
            <w:pPr>
              <w:pStyle w:val="26"/>
              <w:numPr>
                <w:ilvl w:val="0"/>
                <w:numId w:val="1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区域应悬挂“禁止烟火”、“当心煤气中毒”等安全标志。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铝板带材加工的冷轧系统的轧机、轧制油站、全油回收装置、二氧化碳灭火装置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设置通风设施和排烟系统；</w:t>
            </w:r>
          </w:p>
          <w:p>
            <w:pPr>
              <w:pStyle w:val="26"/>
              <w:numPr>
                <w:ilvl w:val="0"/>
                <w:numId w:val="1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设置火灾自动报警装置和灭火设施；</w:t>
            </w:r>
          </w:p>
          <w:p>
            <w:pPr>
              <w:pStyle w:val="26"/>
              <w:numPr>
                <w:ilvl w:val="0"/>
                <w:numId w:val="1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二氧化碳灭火装置处设置氧气浓度检测报警装置；</w:t>
            </w:r>
          </w:p>
          <w:p>
            <w:pPr>
              <w:pStyle w:val="26"/>
              <w:numPr>
                <w:ilvl w:val="0"/>
                <w:numId w:val="1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铝型材的喷涂室（场所）</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不允许存在发火源、明火和产生火花的设备及器具；</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禁止撞击或摩擦产生火花；</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应选用不会引燃粉末或粉气混合物的取暖</w:t>
            </w:r>
            <w:r>
              <w:rPr>
                <w:rFonts w:hint="eastAsia" w:ascii="Times New Roman" w:hAnsi="Times New Roman" w:eastAsia="仿宋_GB2312" w:cs="Times New Roman"/>
                <w:sz w:val="24"/>
                <w:szCs w:val="24"/>
              </w:rPr>
              <w:t>设备</w:t>
            </w:r>
            <w:r>
              <w:rPr>
                <w:rFonts w:ascii="Times New Roman" w:hAnsi="Times New Roman" w:eastAsia="仿宋_GB2312" w:cs="Times New Roman"/>
                <w:sz w:val="24"/>
                <w:szCs w:val="24"/>
              </w:rPr>
              <w:t>；</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喷粉区地面应采用不燃或难燃的的防静电材料铺设；</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喷粉区应采用防尘型冷光源灯具照明；</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喷粉区内电气设备应采用防爆、防尘型电气设备；</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喷粉区内所有导体都应可靠接地，每组专设的静电接电体接地电阻应小于100Ω；</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喷粉室应采用不燃材料制造。铝材不允许作为支撑构件，也不允许用作喷粉室及其联接管道；</w:t>
            </w:r>
          </w:p>
          <w:p>
            <w:pPr>
              <w:pStyle w:val="26"/>
              <w:numPr>
                <w:ilvl w:val="0"/>
                <w:numId w:val="178"/>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自动化生产的流水作业在喷粉室与回收装置之间应采取联锁控制；</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自动喷粉室内应安装火灾</w:t>
            </w:r>
            <w:r>
              <w:rPr>
                <w:rFonts w:hint="eastAsia" w:ascii="Times New Roman" w:hAnsi="Times New Roman" w:eastAsia="仿宋_GB2312" w:cs="Times New Roman"/>
                <w:sz w:val="24"/>
                <w:szCs w:val="24"/>
              </w:rPr>
              <w:t>自动</w:t>
            </w:r>
            <w:r>
              <w:rPr>
                <w:rFonts w:ascii="Times New Roman" w:hAnsi="Times New Roman" w:eastAsia="仿宋_GB2312" w:cs="Times New Roman"/>
                <w:sz w:val="24"/>
                <w:szCs w:val="24"/>
              </w:rPr>
              <w:t>报警装置；</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自动喷涂的回收风机与喷枪应采用电气联锁保护；</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回收系统一级旋风分离应按吸入式将风机布置在旋风分离器出口，风机叶片宜选用铝合金材料制作，严禁使用塑料风机</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每班应清理一次沉积漆垢、积留粉尘；</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回收装置应选用导电材料制作；袋滤器应选择防静电滤料；</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过滤式回收装置应采用有效的清粉装置；</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与喷粉室相连的粉末回收装置以及高效过滤器应设置能将爆炸压力引向安全位置的泄压装置；</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79"/>
              </w:numPr>
              <w:ind w:left="357" w:hanging="357"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铝型材企业液氨储罐区、渗氮炉（氨分解炉）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中毒和窒息、火灾、其他爆炸、容器爆炸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液氨储罐区、渗氮炉处设置固定式氨气浓度检测报警装置；</w:t>
            </w:r>
          </w:p>
          <w:p>
            <w:pPr>
              <w:pStyle w:val="26"/>
              <w:numPr>
                <w:ilvl w:val="0"/>
                <w:numId w:val="1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渗氮炉处设置固定式氢气检测报警装置；</w:t>
            </w:r>
          </w:p>
          <w:p>
            <w:pPr>
              <w:pStyle w:val="26"/>
              <w:numPr>
                <w:ilvl w:val="0"/>
                <w:numId w:val="1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液氨储罐区设置淋浴装置；</w:t>
            </w:r>
          </w:p>
          <w:p>
            <w:pPr>
              <w:pStyle w:val="26"/>
              <w:numPr>
                <w:ilvl w:val="0"/>
                <w:numId w:val="1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液氨储罐区设置应急喷淋和洗眼设备；</w:t>
            </w:r>
          </w:p>
          <w:p>
            <w:pPr>
              <w:pStyle w:val="26"/>
              <w:numPr>
                <w:ilvl w:val="0"/>
                <w:numId w:val="1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中毒和窒息、火灾、其他爆炸、容器爆炸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液氨储罐区按GB38144要求设置固定式氨气浓度检测报警装置；</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液氨储罐区设置淋浴装置；</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液氨储罐区设置应急喷淋和洗眼设备；</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设置人体和车辆导除静电装置；</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设置事故池；</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附近设置消防水枪；</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氧化铝生产的高压溶出管道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火灾、其他爆炸、压力管道爆炸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压煮溶出泵必须设置压力检测、超压报警、自动停车等安全装置；</w:t>
            </w:r>
          </w:p>
          <w:p>
            <w:pPr>
              <w:pStyle w:val="26"/>
              <w:numPr>
                <w:ilvl w:val="0"/>
                <w:numId w:val="1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在溶出器、料浆及冷凝水自发蒸发器、蒸汽缓冲器、新蒸汽总管上必须设置安全阀。每台压力容积或每处应至少设置2个安全阀。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以煤气（燃气）作为燃料的热风炉、加热炉、熔化炉等炉窑</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使用煤气（天然气）的燃烧装置应设置熄火检测和防止回火的紧急自动切断装置；</w:t>
            </w:r>
          </w:p>
          <w:p>
            <w:pPr>
              <w:pStyle w:val="26"/>
              <w:numPr>
                <w:ilvl w:val="0"/>
                <w:numId w:val="1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使用煤气、天然气、液化气等的燃烧装置，应有煤气、天然气、液化气紧急切断阀，以及火灾报警器、超敏度气体报警器；</w:t>
            </w:r>
          </w:p>
          <w:p>
            <w:pPr>
              <w:pStyle w:val="26"/>
              <w:numPr>
                <w:ilvl w:val="0"/>
                <w:numId w:val="1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产生或使用有毒有害气体的场所，设置的泄漏报警装置必须定期校验；</w:t>
            </w:r>
          </w:p>
          <w:p>
            <w:pPr>
              <w:pStyle w:val="26"/>
              <w:numPr>
                <w:ilvl w:val="0"/>
                <w:numId w:val="1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LNG气化站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罐区、汽化区、阀门组等处设置固定式可燃气体检测报警装置；</w:t>
            </w:r>
          </w:p>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储罐、管道设置安全阀和压力表；</w:t>
            </w:r>
          </w:p>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设置液位监测装置；</w:t>
            </w:r>
          </w:p>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设置防雷设施并定期检测合格；</w:t>
            </w:r>
          </w:p>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液氨站、氨水站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液氨站、氨水站按要求设置固定式氨气浓度检测报警装置；</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液氨站、氨水站设置淋浴装置；</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液氨站、氨水站设置应急喷淋和洗眼设备；</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设置人体和车辆导除静电装置；</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设置事故池；</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附近设置消防水枪；</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铝灰存放点</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1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存放点采取防止雨水进入措施；</w:t>
            </w:r>
          </w:p>
          <w:p>
            <w:pPr>
              <w:pStyle w:val="26"/>
              <w:numPr>
                <w:ilvl w:val="0"/>
                <w:numId w:val="1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设置固定式氢气检测报警装置；</w:t>
            </w:r>
          </w:p>
          <w:p>
            <w:pPr>
              <w:pStyle w:val="26"/>
              <w:numPr>
                <w:ilvl w:val="0"/>
                <w:numId w:val="1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通风应保持良好；</w:t>
            </w:r>
          </w:p>
          <w:p>
            <w:pPr>
              <w:pStyle w:val="26"/>
              <w:numPr>
                <w:ilvl w:val="0"/>
                <w:numId w:val="1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铝电解整流机组</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触电、火灾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1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整流机组及动力变配电系统的电、操控设备应有安全连锁、快停、急停等本质安全设计与装置；</w:t>
            </w:r>
          </w:p>
          <w:p>
            <w:pPr>
              <w:pStyle w:val="26"/>
              <w:numPr>
                <w:ilvl w:val="0"/>
                <w:numId w:val="1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整流机组应按设计规范要求设置继电保护装置和非电量保护装置；</w:t>
            </w:r>
          </w:p>
          <w:p>
            <w:pPr>
              <w:pStyle w:val="26"/>
              <w:numPr>
                <w:ilvl w:val="0"/>
                <w:numId w:val="1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供电整流机组一次回路应设置避雷器、二次回路设置防止操作过电压及浪涌的装置；</w:t>
            </w:r>
          </w:p>
          <w:p>
            <w:pPr>
              <w:pStyle w:val="26"/>
              <w:numPr>
                <w:ilvl w:val="0"/>
                <w:numId w:val="187"/>
              </w:numPr>
              <w:ind w:firstLineChars="0"/>
              <w:rPr>
                <w:rFonts w:ascii="Times New Roman" w:hAnsi="Times New Roman" w:eastAsia="仿宋_GB2312" w:cs="Times New Roman"/>
                <w:sz w:val="24"/>
                <w:szCs w:val="24"/>
              </w:rPr>
            </w:pPr>
            <w:r>
              <w:rPr>
                <w:rFonts w:ascii="Times New Roman" w:hAnsi="Times New Roman" w:eastAsia="仿宋_GB2312" w:cs="Times New Roman"/>
                <w:kern w:val="0"/>
                <w:sz w:val="24"/>
                <w:szCs w:val="24"/>
              </w:rPr>
              <w:t>供电整流机组必须设置自动喷淋消防系统；</w:t>
            </w:r>
          </w:p>
          <w:p>
            <w:pPr>
              <w:pStyle w:val="26"/>
              <w:numPr>
                <w:ilvl w:val="0"/>
                <w:numId w:val="1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供电整流关键场所应设置视频监视系统，并保持完好、有效；</w:t>
            </w:r>
          </w:p>
          <w:p>
            <w:pPr>
              <w:pStyle w:val="26"/>
              <w:numPr>
                <w:ilvl w:val="0"/>
                <w:numId w:val="1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电气安全绝缘工器具由具备检测资质的部门进行定期检测，确保其有效性；</w:t>
            </w:r>
          </w:p>
          <w:p>
            <w:pPr>
              <w:pStyle w:val="26"/>
              <w:numPr>
                <w:ilvl w:val="0"/>
                <w:numId w:val="1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供电整流、变配电等设备的操作、检修作业，严格执行电力系统“两票”工作制度。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真空抬包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1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储运高温铝液的抬包，包体、包盖、吊耳、吊臂及隔热保温层等必须完好；</w:t>
            </w:r>
          </w:p>
          <w:p>
            <w:pPr>
              <w:pStyle w:val="26"/>
              <w:numPr>
                <w:ilvl w:val="0"/>
                <w:numId w:val="1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吊耳、吊臂按要求定期进行探伤检测；</w:t>
            </w:r>
          </w:p>
          <w:p>
            <w:pPr>
              <w:pStyle w:val="26"/>
              <w:numPr>
                <w:ilvl w:val="0"/>
                <w:numId w:val="1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本体及附属设施应定期检查，出现严重焊缝开裂、腐蚀、破损、壳体发红及明显弯曲变形等应地报修或报废。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铝液运输车辆</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火灾、其他爆炸、灼烫、车辆伤害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189"/>
              </w:numPr>
              <w:ind w:firstLineChars="0"/>
              <w:rPr>
                <w:rFonts w:ascii="Times New Roman" w:hAnsi="Times New Roman" w:eastAsia="仿宋_GB2312" w:cs="Times New Roman"/>
                <w:sz w:val="24"/>
                <w:szCs w:val="24"/>
              </w:rPr>
            </w:pPr>
            <w:r>
              <w:rPr>
                <w:rFonts w:ascii="Times New Roman" w:hAnsi="Times New Roman" w:eastAsia="仿宋_GB2312" w:cs="Times New Roman"/>
                <w:kern w:val="0"/>
                <w:sz w:val="24"/>
                <w:szCs w:val="24"/>
              </w:rPr>
              <w:t>储运高温铝液的运输车辆，禁止使用汽油车辆；</w:t>
            </w:r>
          </w:p>
          <w:p>
            <w:pPr>
              <w:pStyle w:val="26"/>
              <w:numPr>
                <w:ilvl w:val="0"/>
                <w:numId w:val="189"/>
              </w:numPr>
              <w:ind w:firstLineChars="0"/>
              <w:rPr>
                <w:rFonts w:ascii="Times New Roman" w:hAnsi="Times New Roman" w:eastAsia="仿宋_GB2312" w:cs="Times New Roman"/>
                <w:sz w:val="24"/>
                <w:szCs w:val="24"/>
              </w:rPr>
            </w:pPr>
            <w:r>
              <w:rPr>
                <w:rFonts w:ascii="Times New Roman" w:hAnsi="Times New Roman" w:eastAsia="仿宋_GB2312" w:cs="Times New Roman"/>
                <w:kern w:val="0"/>
                <w:sz w:val="24"/>
                <w:szCs w:val="24"/>
              </w:rPr>
              <w:t>运输车辆符合国家有关规定；</w:t>
            </w:r>
          </w:p>
          <w:p>
            <w:pPr>
              <w:pStyle w:val="26"/>
              <w:numPr>
                <w:ilvl w:val="0"/>
                <w:numId w:val="189"/>
              </w:numPr>
              <w:ind w:firstLineChars="0"/>
              <w:rPr>
                <w:rFonts w:ascii="Times New Roman" w:hAnsi="Times New Roman" w:eastAsia="仿宋_GB2312" w:cs="Times New Roman"/>
                <w:sz w:val="24"/>
                <w:szCs w:val="24"/>
              </w:rPr>
            </w:pPr>
            <w:r>
              <w:rPr>
                <w:rFonts w:ascii="Times New Roman" w:hAnsi="Times New Roman" w:eastAsia="仿宋_GB2312" w:cs="Times New Roman"/>
                <w:kern w:val="0"/>
                <w:sz w:val="24"/>
                <w:szCs w:val="24"/>
              </w:rPr>
              <w:t>运输过程中，应制定防止铝液溢出的安全控制措施；</w:t>
            </w:r>
          </w:p>
          <w:p>
            <w:pPr>
              <w:pStyle w:val="26"/>
              <w:numPr>
                <w:ilvl w:val="0"/>
                <w:numId w:val="1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储运熔融铝液的运输车辆，必须设置防铝液泄漏到驾驶室的挡板；</w:t>
            </w:r>
          </w:p>
          <w:p>
            <w:pPr>
              <w:pStyle w:val="26"/>
              <w:numPr>
                <w:ilvl w:val="0"/>
                <w:numId w:val="1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1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按GB14784要求头轮、尾轮、拉紧装置、托辊等处规范设置隔离防护措施；</w:t>
            </w:r>
          </w:p>
          <w:p>
            <w:pPr>
              <w:pStyle w:val="26"/>
              <w:numPr>
                <w:ilvl w:val="0"/>
                <w:numId w:val="1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1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1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1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各料仓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料仓下料口规范设置安全车档和格栅；</w:t>
            </w:r>
          </w:p>
          <w:p>
            <w:pPr>
              <w:pStyle w:val="26"/>
              <w:numPr>
                <w:ilvl w:val="0"/>
                <w:numId w:val="1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1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1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1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4"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tcBorders>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阳极组装车间磷铁环浇铸点</w:t>
            </w:r>
          </w:p>
        </w:tc>
        <w:tc>
          <w:tcPr>
            <w:tcW w:w="1864" w:type="dxa"/>
            <w:tcBorders>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tcBorders>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4" w:space="0"/>
              <w:right w:val="single" w:color="auto" w:sz="12" w:space="0"/>
            </w:tcBorders>
            <w:vAlign w:val="center"/>
          </w:tcPr>
          <w:p>
            <w:pPr>
              <w:pStyle w:val="26"/>
              <w:numPr>
                <w:ilvl w:val="0"/>
                <w:numId w:val="1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浇铸点地面不应存在积水和堆放易燃易爆物品；</w:t>
            </w:r>
          </w:p>
          <w:p>
            <w:pPr>
              <w:pStyle w:val="26"/>
              <w:numPr>
                <w:ilvl w:val="0"/>
                <w:numId w:val="1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浇铸小车操作台处应采取防喷溅措施；</w:t>
            </w:r>
          </w:p>
          <w:p>
            <w:pPr>
              <w:pStyle w:val="26"/>
              <w:numPr>
                <w:ilvl w:val="0"/>
                <w:numId w:val="1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4" w:space="0"/>
              <w:left w:val="single" w:color="auto" w:sz="12" w:space="0"/>
              <w:bottom w:val="single" w:color="auto" w:sz="12" w:space="0"/>
            </w:tcBorders>
            <w:vAlign w:val="center"/>
          </w:tcPr>
          <w:p>
            <w:pPr>
              <w:pStyle w:val="26"/>
              <w:numPr>
                <w:ilvl w:val="0"/>
                <w:numId w:val="167"/>
              </w:numPr>
              <w:ind w:firstLineChars="0"/>
              <w:jc w:val="center"/>
              <w:rPr>
                <w:rFonts w:ascii="Times New Roman" w:hAnsi="Times New Roman" w:eastAsia="仿宋_GB2312" w:cs="Times New Roman"/>
                <w:sz w:val="24"/>
                <w:szCs w:val="24"/>
              </w:rPr>
            </w:pPr>
          </w:p>
        </w:tc>
        <w:tc>
          <w:tcPr>
            <w:tcW w:w="2153" w:type="dxa"/>
            <w:tcBorders>
              <w:top w:val="single" w:color="auto" w:sz="4" w:space="0"/>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高温熔体影响区域、煤气影响区域的办公室、休息室、值班室、会议室等</w:t>
            </w:r>
          </w:p>
        </w:tc>
        <w:tc>
          <w:tcPr>
            <w:tcW w:w="1864" w:type="dxa"/>
            <w:tcBorders>
              <w:top w:val="single" w:color="auto" w:sz="4" w:space="0"/>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中毒和窒息、火灾、起重伤害</w:t>
            </w:r>
          </w:p>
        </w:tc>
        <w:tc>
          <w:tcPr>
            <w:tcW w:w="1042" w:type="dxa"/>
            <w:tcBorders>
              <w:top w:val="single" w:color="auto" w:sz="4" w:space="0"/>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4" w:space="0"/>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4" w:space="0"/>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top w:val="single" w:color="auto" w:sz="4" w:space="0"/>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top w:val="single" w:color="auto" w:sz="4"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top w:val="single" w:color="auto" w:sz="4" w:space="0"/>
              <w:bottom w:val="single" w:color="auto" w:sz="12" w:space="0"/>
              <w:right w:val="single" w:color="auto" w:sz="12" w:space="0"/>
            </w:tcBorders>
            <w:vAlign w:val="center"/>
          </w:tcPr>
          <w:p>
            <w:pPr>
              <w:pStyle w:val="26"/>
              <w:numPr>
                <w:ilvl w:val="0"/>
                <w:numId w:val="1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高温熔体影响区域不应设置办公室、休息室、值班室、会议室等；</w:t>
            </w:r>
          </w:p>
          <w:p>
            <w:pPr>
              <w:pStyle w:val="26"/>
              <w:numPr>
                <w:ilvl w:val="0"/>
                <w:numId w:val="1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煤气影响区域的办公室、休息室、值班室、会议室等应设置固定式一氧化碳检测报警装置。</w:t>
            </w:r>
          </w:p>
        </w:tc>
      </w:tr>
    </w:tbl>
    <w:p>
      <w:pPr>
        <w:widowControl/>
        <w:ind w:firstLine="630" w:firstLineChars="300"/>
        <w:jc w:val="left"/>
        <w:rPr>
          <w:rFonts w:ascii="Times New Roman" w:hAnsi="Times New Roman" w:eastAsia="仿宋_GB2312" w:cs="Times New Roman"/>
        </w:rPr>
      </w:pPr>
      <w:r>
        <w:rPr>
          <w:rFonts w:ascii="Times New Roman" w:hAnsi="Times New Roman" w:eastAsia="仿宋_GB2312" w:cs="Times New Roman"/>
        </w:rPr>
        <w:br w:type="page"/>
      </w:r>
      <w:r>
        <w:rPr>
          <w:rFonts w:ascii="Times New Roman" w:hAnsi="Times New Roman" w:eastAsia="仿宋_GB2312" w:cs="Times New Roman"/>
          <w:b/>
          <w:sz w:val="32"/>
          <w:szCs w:val="32"/>
        </w:rPr>
        <w:t>电解铝（氧化铝、铝型材、铝压延加工）企业3级安全风险点主要包括：板框压滤机；电解铝尾气净化装置；电解铝的阳极碳块库；氧化铝仓（库）、电解铝阳极组装车间除中频炉</w:t>
      </w:r>
      <w:r>
        <w:rPr>
          <w:rFonts w:hint="eastAsia" w:ascii="Times New Roman" w:hAnsi="Times New Roman" w:eastAsia="仿宋_GB2312" w:cs="Times New Roman"/>
          <w:b/>
          <w:sz w:val="32"/>
          <w:szCs w:val="32"/>
        </w:rPr>
        <w:t>和</w:t>
      </w:r>
      <w:r>
        <w:rPr>
          <w:rFonts w:ascii="Times New Roman" w:hAnsi="Times New Roman" w:eastAsia="仿宋_GB2312" w:cs="Times New Roman"/>
          <w:b/>
          <w:sz w:val="32"/>
          <w:szCs w:val="32"/>
        </w:rPr>
        <w:t>磷铁环浇铸点以外的其他生产装置；中频炉控制室；磷铁环清理机；氧化铝焙烧装置；氧化铝厂熔盐装置；发电机、汽轮机及其油系统等。</w:t>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4.2.5硅冶炼</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电炉（含炉底、变压器、水冷构件、油系统、电极等）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炉底应保持干燥，不应有积水；</w:t>
            </w:r>
          </w:p>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水冷元件应设置水温、水压、流量监测报警装置；</w:t>
            </w:r>
          </w:p>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液压油应采用阻燃液压油；</w:t>
            </w:r>
          </w:p>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炉眼开口机处应采取防喷溅措施；</w:t>
            </w:r>
          </w:p>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电炉附属水冷烟道</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1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水冷元件应设置水温、水压、流量监测报警装置；</w:t>
            </w:r>
          </w:p>
          <w:p>
            <w:pPr>
              <w:pStyle w:val="26"/>
              <w:numPr>
                <w:ilvl w:val="0"/>
                <w:numId w:val="1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1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电炉电极壳焊接（接装）平台</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1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电极壳焊接平台应设置固定式一氧化碳检测报警装置；</w:t>
            </w:r>
          </w:p>
          <w:p>
            <w:pPr>
              <w:pStyle w:val="26"/>
              <w:numPr>
                <w:ilvl w:val="0"/>
                <w:numId w:val="1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电极壳焊接平台应铺设绝缘材料；</w:t>
            </w:r>
          </w:p>
          <w:p>
            <w:pPr>
              <w:pStyle w:val="26"/>
              <w:numPr>
                <w:ilvl w:val="0"/>
                <w:numId w:val="1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1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电炉加料平台</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中毒和窒息、火灾、其他爆炸、机械伤害、车辆伤害、触电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人工加料车辆应有防喷溅措施；</w:t>
            </w:r>
          </w:p>
          <w:p>
            <w:pPr>
              <w:pStyle w:val="26"/>
              <w:numPr>
                <w:ilvl w:val="0"/>
                <w:numId w:val="1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自动加料小车电源滑触线应采取隔离措施；</w:t>
            </w:r>
          </w:p>
          <w:p>
            <w:pPr>
              <w:pStyle w:val="26"/>
              <w:numPr>
                <w:ilvl w:val="0"/>
                <w:numId w:val="1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下料口应设置防护格栅；</w:t>
            </w:r>
          </w:p>
          <w:p>
            <w:pPr>
              <w:pStyle w:val="26"/>
              <w:numPr>
                <w:ilvl w:val="0"/>
                <w:numId w:val="1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1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电炉控制室应设置固定式一氧化碳检测报警装置；</w:t>
            </w:r>
          </w:p>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电炉控制室门、窗不应正对炉口；</w:t>
            </w:r>
          </w:p>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熔融金属盛装容器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2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应对容器和耳轴进行探伤检测，耳轴每年检测一次，做好记录，并存档；凡耳轴出现内裂纹、壳体焊缝开裂、明显变形、耳轴磨损大于直径的10%的均应报修或报废；</w:t>
            </w:r>
          </w:p>
          <w:p>
            <w:pPr>
              <w:pStyle w:val="26"/>
              <w:numPr>
                <w:ilvl w:val="0"/>
                <w:numId w:val="2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使用的容器应烘干，不应有水、潮湿杂物和易燃易爆物；</w:t>
            </w:r>
          </w:p>
          <w:p>
            <w:pPr>
              <w:pStyle w:val="26"/>
              <w:numPr>
                <w:ilvl w:val="0"/>
                <w:numId w:val="2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建立容器定期监测和检查制度。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2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2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2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2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2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194"/>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浇铸区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2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地面不存在非生产性积水；</w:t>
            </w:r>
          </w:p>
          <w:p>
            <w:pPr>
              <w:pStyle w:val="26"/>
              <w:numPr>
                <w:ilvl w:val="0"/>
                <w:numId w:val="2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禁止使用水冷锭模；</w:t>
            </w:r>
          </w:p>
          <w:p>
            <w:pPr>
              <w:pStyle w:val="26"/>
              <w:numPr>
                <w:ilvl w:val="0"/>
                <w:numId w:val="2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30" w:firstLineChars="300"/>
        <w:jc w:val="left"/>
        <w:rPr>
          <w:rFonts w:ascii="Times New Roman" w:hAnsi="Times New Roman" w:eastAsia="仿宋_GB2312" w:cs="Times New Roman"/>
        </w:rPr>
      </w:pPr>
      <w:r>
        <w:rPr>
          <w:rFonts w:ascii="Times New Roman" w:hAnsi="Times New Roman" w:eastAsia="仿宋_GB2312" w:cs="Times New Roman"/>
        </w:rPr>
        <w:br w:type="page"/>
      </w:r>
      <w:r>
        <w:rPr>
          <w:rFonts w:ascii="Times New Roman" w:hAnsi="Times New Roman" w:eastAsia="仿宋_GB2312" w:cs="Times New Roman"/>
          <w:b/>
          <w:sz w:val="32"/>
          <w:szCs w:val="32"/>
        </w:rPr>
        <w:t>硅冶炼企业3级安全风险点主要包括：精整区域；破碎区域；除尘系统；水渣池；原料储存区域；成品区等。</w:t>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4.2.6高钛渣</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电炉（含炉底、变压器、水冷构件、油系统、电极等）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炉底应保持干燥，不应有积水；</w:t>
            </w:r>
          </w:p>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水冷元件应设置水温、水压、流量监测报警装置；</w:t>
            </w:r>
          </w:p>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液压油应采用阻燃液压油；</w:t>
            </w:r>
          </w:p>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炉眼开口机处应采取防喷溅措施；</w:t>
            </w:r>
          </w:p>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电炉附属水冷烟道</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水冷元件应设置水温、水压、流量监测报警装置；</w:t>
            </w:r>
          </w:p>
          <w:p>
            <w:pPr>
              <w:pStyle w:val="26"/>
              <w:numPr>
                <w:ilvl w:val="0"/>
                <w:numId w:val="2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2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电炉电极壳焊接（接装）平台</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2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电极壳焊接平台应设置固定式一氧化碳检测报警装置；</w:t>
            </w:r>
          </w:p>
          <w:p>
            <w:pPr>
              <w:pStyle w:val="26"/>
              <w:numPr>
                <w:ilvl w:val="0"/>
                <w:numId w:val="2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电极壳焊接平台应铺设绝缘材料；</w:t>
            </w:r>
          </w:p>
          <w:p>
            <w:pPr>
              <w:pStyle w:val="26"/>
              <w:numPr>
                <w:ilvl w:val="0"/>
                <w:numId w:val="2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在煤气区域工作的作业人员，应携带一氧化碳检测报警仪；</w:t>
            </w:r>
          </w:p>
          <w:p>
            <w:pPr>
              <w:pStyle w:val="26"/>
              <w:numPr>
                <w:ilvl w:val="0"/>
                <w:numId w:val="2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电炉加料平台</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中毒和窒息、火灾、其他爆炸、机械伤害、车辆伤害、触电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2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人工加料车辆应有防喷溅措施；</w:t>
            </w:r>
          </w:p>
          <w:p>
            <w:pPr>
              <w:pStyle w:val="26"/>
              <w:numPr>
                <w:ilvl w:val="0"/>
                <w:numId w:val="2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自动加料小车电源滑触线应采取隔离措施；</w:t>
            </w:r>
          </w:p>
          <w:p>
            <w:pPr>
              <w:pStyle w:val="26"/>
              <w:numPr>
                <w:ilvl w:val="0"/>
                <w:numId w:val="2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下料口应设置防护格栅；</w:t>
            </w:r>
          </w:p>
          <w:p>
            <w:pPr>
              <w:pStyle w:val="26"/>
              <w:numPr>
                <w:ilvl w:val="0"/>
                <w:numId w:val="2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电炉控制室应设置固定式一氧化碳检测报警装置；</w:t>
            </w:r>
          </w:p>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电炉控制室门、窗不应正对炉口；</w:t>
            </w:r>
          </w:p>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1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熔融金属盛装容器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2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应对容器和耳轴进行探伤检测，耳轴每年检测一次，做好记录，并存档；凡耳轴出现内裂纹、壳体焊缝开裂、明显变形、耳轴磨损大于直径的 10%的均应报修或报废；</w:t>
            </w:r>
          </w:p>
          <w:p>
            <w:pPr>
              <w:pStyle w:val="26"/>
              <w:numPr>
                <w:ilvl w:val="0"/>
                <w:numId w:val="2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使用的容器应烘干，不应有水、潮湿杂物和易燃易爆物；</w:t>
            </w:r>
          </w:p>
          <w:p>
            <w:pPr>
              <w:pStyle w:val="26"/>
              <w:numPr>
                <w:ilvl w:val="0"/>
                <w:numId w:val="2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建立容器定期监测和检查制度。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right w:val="single" w:color="auto" w:sz="12" w:space="0"/>
            </w:tcBorders>
            <w:vAlign w:val="center"/>
          </w:tcPr>
          <w:p>
            <w:pPr>
              <w:pStyle w:val="26"/>
              <w:numPr>
                <w:ilvl w:val="0"/>
                <w:numId w:val="2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2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2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2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2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203"/>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浇铸区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2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地面不存在非生产性积水；</w:t>
            </w:r>
          </w:p>
          <w:p>
            <w:pPr>
              <w:pStyle w:val="26"/>
              <w:numPr>
                <w:ilvl w:val="0"/>
                <w:numId w:val="2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禁止使用水冷锭模；</w:t>
            </w:r>
          </w:p>
          <w:p>
            <w:pPr>
              <w:pStyle w:val="26"/>
              <w:numPr>
                <w:ilvl w:val="0"/>
                <w:numId w:val="2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960" w:firstLineChars="300"/>
        <w:jc w:val="left"/>
        <w:rPr>
          <w:rFonts w:ascii="Times New Roman" w:hAnsi="Times New Roman" w:eastAsia="仿宋_GB2312" w:cs="Times New Roman"/>
        </w:rPr>
      </w:pPr>
      <w:r>
        <w:rPr>
          <w:rFonts w:ascii="Times New Roman" w:hAnsi="Times New Roman" w:eastAsia="仿宋_GB2312" w:cs="Times New Roman"/>
          <w:b/>
          <w:sz w:val="32"/>
          <w:szCs w:val="32"/>
        </w:rPr>
        <w:t>高钛渣企业3级安全风险点主要包括：精整区域；破碎区域；除尘系统；水渣池；原料储存区域；成品区等。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5"/>
        <w:spacing w:before="0" w:after="0" w:line="377" w:lineRule="auto"/>
        <w:ind w:firstLine="548" w:firstLineChars="196"/>
        <w:rPr>
          <w:rFonts w:ascii="Times New Roman" w:hAnsi="Times New Roman" w:eastAsia="仿宋_GB2312" w:cs="Times New Roman"/>
        </w:rPr>
      </w:pPr>
      <w:r>
        <w:rPr>
          <w:rFonts w:ascii="Times New Roman" w:hAnsi="Times New Roman" w:eastAsia="仿宋_GB2312" w:cs="Times New Roman"/>
        </w:rPr>
        <w:t>4.2.7稀贵金属（如金、银、铂、钯、锗等）</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1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稀贵金属生产用二氧化硫、液氯、液氨等剧毒气体或高毒气体储区（罐）和使用装置</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储存区、使用装置处设置固定式有毒气体检测报警装置；</w:t>
            </w:r>
          </w:p>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储存区、使用装置厂房设置事故风机并与检测报警装置联锁；</w:t>
            </w:r>
          </w:p>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设置气体吸收装置；</w:t>
            </w:r>
          </w:p>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储存、使用区域设置应急喷水和洗眼设备；</w:t>
            </w:r>
          </w:p>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在区域工作的作业人员，应携带有毒气体检测报警仪；</w:t>
            </w:r>
          </w:p>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1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制氢装置</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设置氢气检测报警装置；</w:t>
            </w:r>
          </w:p>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厂房设置防爆型事故风机并与检测报警装置联锁；</w:t>
            </w:r>
          </w:p>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设置带阻火器的放空管，并引至室外；</w:t>
            </w:r>
          </w:p>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区域内电气设备应满足防爆要求；</w:t>
            </w:r>
          </w:p>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设置人员导除静电装置；</w:t>
            </w:r>
          </w:p>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区域内严禁烟火；</w:t>
            </w:r>
          </w:p>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氨分解装置</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1</w:t>
            </w:r>
          </w:p>
        </w:tc>
        <w:tc>
          <w:tcPr>
            <w:tcW w:w="4100" w:type="dxa"/>
            <w:tcBorders>
              <w:right w:val="single" w:color="auto" w:sz="12" w:space="0"/>
            </w:tcBorders>
            <w:vAlign w:val="center"/>
          </w:tcPr>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装置处设置固定式氨气、氢气浓度检测报警装置；</w:t>
            </w:r>
          </w:p>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储存区、使用装置厂房设置事故风机并与检测报警装置联锁；</w:t>
            </w:r>
          </w:p>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设置事故处理池；</w:t>
            </w:r>
          </w:p>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设置应急喷水和洗眼设备；</w:t>
            </w:r>
          </w:p>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在区域工作的作业人员，应携带有氨气体检测报警仪；</w:t>
            </w:r>
          </w:p>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211"/>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在易燃易爆、有毒有害气体影响区域的控制室、办公室、值班室、会议室、休息室等</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2</w:t>
            </w:r>
          </w:p>
        </w:tc>
        <w:tc>
          <w:tcPr>
            <w:tcW w:w="4100" w:type="dxa"/>
            <w:tcBorders>
              <w:bottom w:val="single" w:color="auto" w:sz="12" w:space="0"/>
              <w:right w:val="single" w:color="auto" w:sz="12" w:space="0"/>
            </w:tcBorders>
            <w:vAlign w:val="center"/>
          </w:tcPr>
          <w:p>
            <w:pPr>
              <w:pStyle w:val="26"/>
              <w:numPr>
                <w:ilvl w:val="0"/>
                <w:numId w:val="2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设置固定式有易燃易爆、有毒有害气体浓度检测报警装置；</w:t>
            </w:r>
          </w:p>
          <w:p>
            <w:pPr>
              <w:pStyle w:val="26"/>
              <w:numPr>
                <w:ilvl w:val="0"/>
                <w:numId w:val="2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30" w:firstLineChars="300"/>
        <w:jc w:val="left"/>
        <w:rPr>
          <w:rFonts w:ascii="Times New Roman" w:hAnsi="Times New Roman" w:eastAsia="仿宋_GB2312" w:cs="Times New Roman"/>
        </w:rPr>
      </w:pPr>
      <w:r>
        <w:rPr>
          <w:rFonts w:ascii="Times New Roman" w:hAnsi="Times New Roman" w:eastAsia="仿宋_GB2312" w:cs="Times New Roman"/>
        </w:rPr>
        <w:br w:type="page"/>
      </w:r>
      <w:r>
        <w:rPr>
          <w:rFonts w:ascii="Times New Roman" w:hAnsi="Times New Roman" w:eastAsia="仿宋_GB2312" w:cs="Times New Roman"/>
          <w:b/>
          <w:sz w:val="32"/>
          <w:szCs w:val="32"/>
        </w:rPr>
        <w:t>稀贵金属（如金、银、铂、钯、锗等）企业3级安全风险点主要包括：工业梯台</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移动平台</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空压机（站、水冷却系统）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工业管道（不含煤气管道）</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变配电系统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临时低压电气线路</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动力（照明）配电箱（柜、板）</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雷电防护系统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电焊设备</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手持电动工具</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移动电气设备</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电气试验站（台、室）</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给排水系统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发电机、汽轮机及其油系统</w:t>
      </w:r>
      <w:r>
        <w:rPr>
          <w:rFonts w:hint="eastAsia" w:ascii="Times New Roman" w:hAnsi="Times New Roman" w:eastAsia="仿宋_GB2312" w:cs="Times New Roman"/>
          <w:b/>
          <w:sz w:val="32"/>
          <w:szCs w:val="32"/>
        </w:rPr>
        <w:t>；</w:t>
      </w:r>
      <w:r>
        <w:rPr>
          <w:rFonts w:ascii="Times New Roman" w:hAnsi="Times New Roman" w:eastAsia="仿宋_GB2312" w:cs="Times New Roman"/>
          <w:b/>
          <w:sz w:val="32"/>
          <w:szCs w:val="32"/>
        </w:rPr>
        <w:t>砂轮机</w:t>
      </w:r>
      <w:r>
        <w:rPr>
          <w:rFonts w:hint="eastAsia" w:ascii="Times New Roman" w:hAnsi="Times New Roman" w:eastAsia="仿宋_GB2312" w:cs="Times New Roman"/>
          <w:b/>
          <w:sz w:val="32"/>
          <w:szCs w:val="32"/>
        </w:rPr>
        <w:t>等</w:t>
      </w:r>
      <w:r>
        <w:rPr>
          <w:rFonts w:ascii="Times New Roman" w:hAnsi="Times New Roman" w:eastAsia="仿宋_GB2312" w:cs="Times New Roman"/>
          <w:b/>
          <w:sz w:val="32"/>
          <w:szCs w:val="32"/>
        </w:rPr>
        <w:t>。</w:t>
      </w:r>
    </w:p>
    <w:p>
      <w:pPr>
        <w:pStyle w:val="4"/>
        <w:spacing w:before="0" w:after="0"/>
        <w:ind w:firstLine="627" w:firstLineChars="196"/>
        <w:rPr>
          <w:rFonts w:ascii="Times New Roman" w:hAnsi="Times New Roman" w:eastAsia="仿宋_GB2312"/>
        </w:rPr>
      </w:pPr>
      <w:bookmarkStart w:id="61" w:name="_Toc92909963"/>
      <w:r>
        <w:rPr>
          <w:rFonts w:ascii="Times New Roman" w:hAnsi="Times New Roman" w:eastAsia="仿宋_GB2312"/>
        </w:rPr>
        <w:t>4.3建材行业</w:t>
      </w:r>
      <w:bookmarkEnd w:id="61"/>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煤粉制备及喷吹系统的煤磨机、煤粉仓、除尘器、木屑分离器、喷吹罐</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中毒和窒息、火灾、其他爆炸、高处坠落、机械伤害</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煤粉制备系统规范设置温度、氧含量、一氧化碳监测装置；并设置惰性气体灭火装置；</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磨机、煤粉仓、除尘器应采取泄爆等任一种控爆措施；</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除尘器设置锁气卸灰装置；</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电气设备应满足粉尘防爆的要求；</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管道连接处（法兰或软连接）应采取导静电跨接；</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原煤输送系统，应设除铁器和杂物筛；</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制定粉尘清理制度，并定期规范清理积尘；</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水泥工厂的筒型储存库</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建立筒型储存库清库作业安全管理制度，明确责任部门、人员、许可范围、审批程序、许可签发人员；</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水泥生产筒型库清库作业应成立清库工作小组，制定清库方案和应急预案，并必须由企业安全生产管理部门负责人和企业负责人批准；</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清库作业应在白天进行，禁止在夜间和在大风、雨、雪天等恶劣气候条件下清库；</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应在清库作业现场设置警戒区域和警示标志；</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必须关闭库顶所有进料设备及闸板，将库内料位放至最低限度（放不出料为止），关闭库底卸料口及充气设备，禁止进料和放料；</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清库前必须切断空气炮气源、关闭所有气阀，并须将空气炮供气罐内的压缩空气排空，同时应关闭空气炮的操作箱；</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清库人员每次入库连续作业时间不得超过1小时，清理原煤、煤粉储存库时每次入库连续作业时间不得超过30分钟；</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水泥工厂的预热器、分解炉、回转窑、箆冷机、窑尾烟室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中毒和窒息、火灾、其他爆炸、高处坠落、坍塌、灼烫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应有预热器清堵的专项安全操作规程或作业指导书；</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预热器平台、构件、护栏要求完整牢固，检查孔盖牢固，翻板阀灵活好用；预热器周围平台上严禁堆放易燃易爆物品；</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检修状态预热器的翻板阀必须锁紧；</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回转窑传动装置中的高转速联轴器、开式齿轮等传动部件应设置防护罩；冷却水、润滑油供应正常；</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回转窑传动装置中，应设置当辅助传动装置启动时能切断主电动机电源的联锁装置，同时辅助传动装置必须另设应急独立动力源；</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应建立回转窑专项检查制度，其中规定检查的内容以及频次，并定期检查、做好相关运行记录；</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停窑维护要有相应的安全方案，并严格执行；</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必须制定清理篦冷机烧结料（也叫“雪人”）的操作规程，并严格执行；</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人工清理篦冷机“雪人”时，必须停止使用空气炮，维持好窑头负压，在窑头平台上处理；</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人工进入篦冷机内清理作业前必须停下与篦冷机有关的所有设备：窑、冷却机、破碎机、空气炮，将预热器翻板阀锁死，并对相应开关、阀门上锁并挂警示牌；</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水泥工厂余热锅炉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火灾、容器爆炸、中毒和窒息、高处坠落、灼烫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锅炉“三证”（产品合格证、使用登记证、年度检验证）齐全；</w:t>
            </w:r>
          </w:p>
          <w:p>
            <w:pPr>
              <w:pStyle w:val="26"/>
              <w:numPr>
                <w:ilvl w:val="0"/>
                <w:numId w:val="2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安全附件完好，安全阀、水位表、压力表齐全、灵敏、可靠，排污装置无泄漏；</w:t>
            </w:r>
          </w:p>
          <w:p>
            <w:pPr>
              <w:pStyle w:val="26"/>
              <w:numPr>
                <w:ilvl w:val="0"/>
                <w:numId w:val="2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按规定合理设置报警和连锁保护、安全防护装置，并保持完好；</w:t>
            </w:r>
          </w:p>
          <w:p>
            <w:pPr>
              <w:pStyle w:val="26"/>
              <w:numPr>
                <w:ilvl w:val="0"/>
                <w:numId w:val="2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汽轮机油站应有事故放油池，油箱事故放油阀门保持完好，并距离油箱有一定安全距离；</w:t>
            </w:r>
          </w:p>
          <w:p>
            <w:pPr>
              <w:pStyle w:val="26"/>
              <w:numPr>
                <w:ilvl w:val="0"/>
                <w:numId w:val="2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平板玻璃厂的二氧化硫供气间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设置固定式有毒气体检测报警装置；</w:t>
            </w:r>
          </w:p>
          <w:p>
            <w:pPr>
              <w:pStyle w:val="26"/>
              <w:numPr>
                <w:ilvl w:val="0"/>
                <w:numId w:val="2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设置事故风机并与检测报警装置联锁；</w:t>
            </w:r>
          </w:p>
          <w:p>
            <w:pPr>
              <w:pStyle w:val="26"/>
              <w:numPr>
                <w:ilvl w:val="0"/>
                <w:numId w:val="2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在区域工作的作业人员，应携带有毒气体检测报警仪；</w:t>
            </w:r>
          </w:p>
          <w:p>
            <w:pPr>
              <w:pStyle w:val="26"/>
              <w:numPr>
                <w:ilvl w:val="0"/>
                <w:numId w:val="2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平板玻璃厂的氢气发生站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设置氢气检测报警装置；</w:t>
            </w:r>
          </w:p>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厂房设置防爆型事故风机并与检测报警装置联锁；</w:t>
            </w:r>
          </w:p>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设置带阻火器的放空管，并引至室外；</w:t>
            </w:r>
          </w:p>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区域内电气设备应满足防爆要求；</w:t>
            </w:r>
          </w:p>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设置人员导除静电装置；</w:t>
            </w:r>
          </w:p>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区域内严禁烟火；</w:t>
            </w:r>
          </w:p>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平板玻璃厂的锡槽配气间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设置可燃气体浓度监测报警装置及防爆泄压设备；</w:t>
            </w:r>
          </w:p>
          <w:p>
            <w:pPr>
              <w:pStyle w:val="26"/>
              <w:numPr>
                <w:ilvl w:val="0"/>
                <w:numId w:val="2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厂房设置防爆型事故风机并与检测报警装置联锁；</w:t>
            </w:r>
          </w:p>
          <w:p>
            <w:pPr>
              <w:pStyle w:val="26"/>
              <w:numPr>
                <w:ilvl w:val="0"/>
                <w:numId w:val="2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平板玻璃厂的窑炉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使用煤气（天然气）的燃烧装置应设置熄火检测和防止回火的紧急自动切断装置；</w:t>
            </w:r>
          </w:p>
          <w:p>
            <w:pPr>
              <w:pStyle w:val="26"/>
              <w:numPr>
                <w:ilvl w:val="0"/>
                <w:numId w:val="2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使用煤气、天然气、液化气等的燃烧装置，应有煤气、天然气、液化气紧急切断阀，以及火灾报警器、超敏度气体报警器；</w:t>
            </w:r>
          </w:p>
          <w:p>
            <w:pPr>
              <w:pStyle w:val="26"/>
              <w:numPr>
                <w:ilvl w:val="0"/>
                <w:numId w:val="2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产生或使用有毒有害气体的场所，设置的泄漏报警装置必须定期校验；</w:t>
            </w:r>
          </w:p>
          <w:p>
            <w:pPr>
              <w:pStyle w:val="26"/>
              <w:numPr>
                <w:ilvl w:val="0"/>
                <w:numId w:val="2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应设置冷却保护系统监测报警装置；</w:t>
            </w:r>
          </w:p>
          <w:p>
            <w:pPr>
              <w:pStyle w:val="26"/>
              <w:numPr>
                <w:ilvl w:val="0"/>
                <w:numId w:val="2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建筑卫生陶瓷制造使用煤（燃）气的烧成窑</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燃气管道上应设置低压、超压报警和紧急自动切断阀；</w:t>
            </w:r>
          </w:p>
          <w:p>
            <w:pPr>
              <w:pStyle w:val="26"/>
              <w:numPr>
                <w:ilvl w:val="0"/>
                <w:numId w:val="2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使用煤气、天然气、液化气等的燃烧装置，应有煤气、天然气、液化气紧急切断阀，以及火灾报警器、超敏度气体报警器；</w:t>
            </w:r>
          </w:p>
          <w:p>
            <w:pPr>
              <w:pStyle w:val="26"/>
              <w:numPr>
                <w:ilvl w:val="0"/>
                <w:numId w:val="2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产生或使用有毒有害气体的场所，设置的泄漏报警装置必须定期校验；</w:t>
            </w:r>
          </w:p>
          <w:p>
            <w:pPr>
              <w:pStyle w:val="26"/>
              <w:numPr>
                <w:ilvl w:val="0"/>
                <w:numId w:val="2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耐火材料制品制造的竖窑</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使用煤气（天然气）的燃烧装置应设置熄火检测和防止回火的紧急自动切断装置；</w:t>
            </w:r>
          </w:p>
          <w:p>
            <w:pPr>
              <w:pStyle w:val="26"/>
              <w:numPr>
                <w:ilvl w:val="0"/>
                <w:numId w:val="2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使用煤气、天然气、液化气等的燃烧装置，应有煤气、天然气、液化气紧急切断阀，以及火灾报警器、超敏度气体报警器；</w:t>
            </w:r>
          </w:p>
          <w:p>
            <w:pPr>
              <w:pStyle w:val="26"/>
              <w:numPr>
                <w:ilvl w:val="0"/>
                <w:numId w:val="2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产生或使用有毒有害气体的场所，设置的泄漏报警装置必须定期校验；</w:t>
            </w:r>
          </w:p>
          <w:p>
            <w:pPr>
              <w:pStyle w:val="26"/>
              <w:numPr>
                <w:ilvl w:val="0"/>
                <w:numId w:val="2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纤维制品三相电弧炉、电熔制品电炉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中毒和窒息、火灾、其他爆炸、触电</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具有相应的紧急停车系统、监控系、报警系统、联锁系统、冷却系统、安全自动控制系统、防爆装置；</w:t>
            </w:r>
          </w:p>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水冷、风冷保护系统不应漏水、漏气；</w:t>
            </w:r>
          </w:p>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设置应急水源或配备应急备用泵；</w:t>
            </w:r>
          </w:p>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石膏板制造的导热油加热炉、储槽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重油、热媒等管道及存储装置应设有可靠的隔热层；</w:t>
            </w:r>
          </w:p>
          <w:p>
            <w:pPr>
              <w:pStyle w:val="26"/>
              <w:numPr>
                <w:ilvl w:val="0"/>
                <w:numId w:val="2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锅炉的排烟系统应设置泄爆门；</w:t>
            </w:r>
          </w:p>
          <w:p>
            <w:pPr>
              <w:pStyle w:val="26"/>
              <w:numPr>
                <w:ilvl w:val="0"/>
                <w:numId w:val="2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重油应设有液位显示及高位报警仪，储罐周围应设置围堰；</w:t>
            </w:r>
          </w:p>
          <w:p>
            <w:pPr>
              <w:pStyle w:val="26"/>
              <w:numPr>
                <w:ilvl w:val="0"/>
                <w:numId w:val="2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区域应悬挂“禁止烟火”、“当心煤气中毒”等安全标志。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轻质砖生产用蒸压釜</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蒸压釜应定期进行检测合格使用；</w:t>
            </w:r>
          </w:p>
          <w:p>
            <w:pPr>
              <w:pStyle w:val="26"/>
              <w:numPr>
                <w:ilvl w:val="0"/>
                <w:numId w:val="2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应安装压力表和安全阀，并定期检测合格；</w:t>
            </w:r>
          </w:p>
          <w:p>
            <w:pPr>
              <w:pStyle w:val="26"/>
              <w:numPr>
                <w:ilvl w:val="0"/>
                <w:numId w:val="2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应设置压力和釜门的汽、电连锁装置；</w:t>
            </w:r>
          </w:p>
          <w:p>
            <w:pPr>
              <w:pStyle w:val="26"/>
              <w:numPr>
                <w:ilvl w:val="0"/>
                <w:numId w:val="2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出釜区域应采取防风防雨措施；</w:t>
            </w:r>
          </w:p>
          <w:p>
            <w:pPr>
              <w:pStyle w:val="26"/>
              <w:numPr>
                <w:ilvl w:val="0"/>
                <w:numId w:val="2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料仓（筒）</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料仓规范设置安全车档和格栅；</w:t>
            </w:r>
          </w:p>
          <w:p>
            <w:pPr>
              <w:pStyle w:val="26"/>
              <w:numPr>
                <w:ilvl w:val="0"/>
                <w:numId w:val="2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筒仓顶部观察口应设置格栅，并上锁；</w:t>
            </w:r>
          </w:p>
          <w:p>
            <w:pPr>
              <w:pStyle w:val="26"/>
              <w:numPr>
                <w:ilvl w:val="0"/>
                <w:numId w:val="2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水泥工厂原料磨、水泥磨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传（转）动部位设置隔离防护</w:t>
            </w:r>
          </w:p>
          <w:p>
            <w:pPr>
              <w:pStyle w:val="26"/>
              <w:numPr>
                <w:ilvl w:val="0"/>
                <w:numId w:val="2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运行时两侧设置可靠的隔离防护栏；</w:t>
            </w:r>
          </w:p>
          <w:p>
            <w:pPr>
              <w:pStyle w:val="26"/>
              <w:numPr>
                <w:ilvl w:val="0"/>
                <w:numId w:val="2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磨机上部设置检修平台或生命线；</w:t>
            </w:r>
          </w:p>
          <w:p>
            <w:pPr>
              <w:pStyle w:val="26"/>
              <w:numPr>
                <w:ilvl w:val="0"/>
                <w:numId w:val="2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就地控制箱应能满足能量锁定要求；</w:t>
            </w:r>
          </w:p>
          <w:p>
            <w:pPr>
              <w:pStyle w:val="26"/>
              <w:numPr>
                <w:ilvl w:val="0"/>
                <w:numId w:val="2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水泥工厂脱硝氨水站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氨水站按要求设置固定式氨气浓度检测报警装置；</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氨水站设置淋浴装置；</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氨水站设置应急喷淋和洗眼设备；</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设置人体和车辆导除静电装置；</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设置事故池；</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附近设置消防水枪；</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与周边构建筑筑物防火间距应满足要求；</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建筑卫生陶瓷制造的破碎机、球磨机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传（转）动部位设置隔离防护</w:t>
            </w:r>
          </w:p>
          <w:p>
            <w:pPr>
              <w:pStyle w:val="26"/>
              <w:numPr>
                <w:ilvl w:val="0"/>
                <w:numId w:val="2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球磨机运行时两侧设置可靠的隔离防护栏；</w:t>
            </w:r>
          </w:p>
          <w:p>
            <w:pPr>
              <w:pStyle w:val="26"/>
              <w:numPr>
                <w:ilvl w:val="0"/>
                <w:numId w:val="2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球磨机上部设置检修平台或生命线；</w:t>
            </w:r>
          </w:p>
          <w:p>
            <w:pPr>
              <w:pStyle w:val="26"/>
              <w:numPr>
                <w:ilvl w:val="0"/>
                <w:numId w:val="2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就地控制箱应能满足能量锁定要求；</w:t>
            </w:r>
          </w:p>
          <w:p>
            <w:pPr>
              <w:pStyle w:val="26"/>
              <w:numPr>
                <w:ilvl w:val="0"/>
                <w:numId w:val="2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建筑卫生陶瓷制造的喷雾干燥塔</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传（转）动部位设置隔离防护</w:t>
            </w:r>
          </w:p>
          <w:p>
            <w:pPr>
              <w:pStyle w:val="26"/>
              <w:numPr>
                <w:ilvl w:val="0"/>
                <w:numId w:val="2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球磨机运行时两侧设置可靠的隔离防护栏；</w:t>
            </w:r>
          </w:p>
          <w:p>
            <w:pPr>
              <w:pStyle w:val="26"/>
              <w:numPr>
                <w:ilvl w:val="0"/>
                <w:numId w:val="2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球磨机上部设置检修平台或生命线；</w:t>
            </w:r>
          </w:p>
          <w:p>
            <w:pPr>
              <w:pStyle w:val="26"/>
              <w:numPr>
                <w:ilvl w:val="0"/>
                <w:numId w:val="2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除建筑卫生陶瓷生产使用煤（燃）气的烧成窑外的煤（燃）气使用点</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产生或使用有毒有害气体的场所，设置的泄漏报警装置必须定期校验；</w:t>
            </w:r>
          </w:p>
          <w:p>
            <w:pPr>
              <w:pStyle w:val="26"/>
              <w:numPr>
                <w:ilvl w:val="0"/>
                <w:numId w:val="2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2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除氧器、汽包、蓄热器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设置安全阀、压力表、液位计；</w:t>
            </w:r>
          </w:p>
          <w:p>
            <w:pPr>
              <w:pStyle w:val="26"/>
              <w:numPr>
                <w:ilvl w:val="0"/>
                <w:numId w:val="2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定期进行检测；</w:t>
            </w:r>
          </w:p>
          <w:p>
            <w:pPr>
              <w:pStyle w:val="26"/>
              <w:numPr>
                <w:ilvl w:val="0"/>
                <w:numId w:val="2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烧结砖厂、墙体材料厂窑炉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传（转）动部位设置隔离防护；</w:t>
            </w:r>
          </w:p>
          <w:p>
            <w:pPr>
              <w:pStyle w:val="26"/>
              <w:numPr>
                <w:ilvl w:val="0"/>
                <w:numId w:val="2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规范设置有毒气体或可燃气体检测报警装置；</w:t>
            </w:r>
          </w:p>
          <w:p>
            <w:pPr>
              <w:pStyle w:val="26"/>
              <w:numPr>
                <w:ilvl w:val="0"/>
                <w:numId w:val="2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混凝土搅拌站搅拌楼</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传（转）动部位设置隔离防护；</w:t>
            </w:r>
          </w:p>
          <w:p>
            <w:pPr>
              <w:pStyle w:val="26"/>
              <w:numPr>
                <w:ilvl w:val="0"/>
                <w:numId w:val="2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作业平台设置防护栏；</w:t>
            </w:r>
          </w:p>
          <w:p>
            <w:pPr>
              <w:pStyle w:val="26"/>
              <w:numPr>
                <w:ilvl w:val="0"/>
                <w:numId w:val="2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2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2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2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2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2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216"/>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32"/>
                <w:szCs w:val="32"/>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2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2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2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2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2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建材行业企业3级安全风险点主要包括：预均化堆场；破碎设备（包括颚式破碎机、锤式破碎机、立轴式破碎机、辊式破碎机等）；粉磨设备（包括悬辊式环磨磨粉机、滚式球磨机、高速粉磨机、离心自磨机、振动磨等。以及磨-煅一体机，包括锤式煅烧磨、彼得磨、沙司基塔磨等）；陶瓷成形设备（陶瓷砖压机、卫生陶瓷注浆成形机、塑性成形机等）；陶瓷施釉设备；陶瓷自动流水线（包括成品、半成品、施釉、干燥、检查包装等）；陶瓷后加工设备（包括建筑陶瓷的刮平定厚机、抛光机、切割机、卫生陶瓷的冷修机等）；平板玻璃退火窑及冷端设备；燃煤热风炉；干燥机；水泥包装机械；原料、原煤堆场；成品库等。</w:t>
      </w:r>
      <w:r>
        <w:rPr>
          <w:rFonts w:ascii="Times New Roman" w:hAnsi="Times New Roman" w:eastAsia="仿宋_GB2312" w:cs="Times New Roman"/>
        </w:rPr>
        <w:br w:type="page"/>
      </w:r>
    </w:p>
    <w:p>
      <w:pPr>
        <w:pStyle w:val="4"/>
        <w:spacing w:before="0" w:after="0"/>
        <w:ind w:firstLine="627" w:firstLineChars="196"/>
        <w:rPr>
          <w:rFonts w:ascii="Times New Roman" w:hAnsi="Times New Roman" w:eastAsia="仿宋_GB2312"/>
        </w:rPr>
      </w:pPr>
      <w:bookmarkStart w:id="62" w:name="_Toc92909964"/>
      <w:r>
        <w:rPr>
          <w:rFonts w:ascii="Times New Roman" w:hAnsi="Times New Roman" w:eastAsia="仿宋_GB2312"/>
        </w:rPr>
        <w:t>4.4机械行业</w:t>
      </w:r>
      <w:bookmarkEnd w:id="62"/>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铸造炉窑（高炉、冲天炉、中（工）频炉、电炉、反射炉、熔炼炉等）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中毒和窒息、火灾、其他爆炸、高处坠落、触电</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具有相应的紧急停车系统、监控系、报警系统、联锁系统、冷却系统、安全自动控制系统、防爆装置；</w:t>
            </w:r>
          </w:p>
          <w:p>
            <w:pPr>
              <w:pStyle w:val="26"/>
              <w:numPr>
                <w:ilvl w:val="0"/>
                <w:numId w:val="2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2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应急设施应保持干燥，不得存放其它物品，以保证流通或容量；</w:t>
            </w:r>
          </w:p>
          <w:p>
            <w:pPr>
              <w:pStyle w:val="26"/>
              <w:numPr>
                <w:ilvl w:val="0"/>
                <w:numId w:val="2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铸造炉窑的闭路循环水冷元件应设置出水温度、进出水流量差监测报警装置；开路水冷元件应设置进水流量、压力监测报警装置，实施出水温度定期人工检测或自动检测；</w:t>
            </w:r>
          </w:p>
          <w:p>
            <w:pPr>
              <w:pStyle w:val="26"/>
              <w:numPr>
                <w:ilvl w:val="0"/>
                <w:numId w:val="2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设置应急水源或配备应急备用泵；</w:t>
            </w:r>
          </w:p>
          <w:p>
            <w:pPr>
              <w:pStyle w:val="26"/>
              <w:numPr>
                <w:ilvl w:val="0"/>
                <w:numId w:val="2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严禁用潮湿或过冷的工具接触高温熔体；</w:t>
            </w:r>
          </w:p>
          <w:p>
            <w:pPr>
              <w:pStyle w:val="26"/>
              <w:numPr>
                <w:ilvl w:val="0"/>
                <w:numId w:val="2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定期检查，出现严重焊缝开裂、腐蚀、破损、衬砖损坏、壳体发红及明显弯曲变形等及时报修或报废；</w:t>
            </w:r>
          </w:p>
          <w:p>
            <w:pPr>
              <w:pStyle w:val="26"/>
              <w:numPr>
                <w:ilvl w:val="0"/>
                <w:numId w:val="2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焊接工艺用可燃气体、助燃气体储存或发生装置</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设置气体泄漏检测报警装置；</w:t>
            </w:r>
          </w:p>
          <w:p>
            <w:pPr>
              <w:pStyle w:val="26"/>
              <w:numPr>
                <w:ilvl w:val="0"/>
                <w:numId w:val="2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w:t>
            </w:r>
          </w:p>
          <w:p>
            <w:pPr>
              <w:pStyle w:val="26"/>
              <w:numPr>
                <w:ilvl w:val="0"/>
                <w:numId w:val="2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2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设置人体静电消除装置；</w:t>
            </w:r>
          </w:p>
          <w:p>
            <w:pPr>
              <w:pStyle w:val="26"/>
              <w:numPr>
                <w:ilvl w:val="0"/>
                <w:numId w:val="2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汇流排、气瓶库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中毒和窒息、火灾、其他爆炸、容器爆炸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设置气体泄漏检测报警装置；</w:t>
            </w:r>
          </w:p>
          <w:p>
            <w:pPr>
              <w:pStyle w:val="26"/>
              <w:numPr>
                <w:ilvl w:val="0"/>
                <w:numId w:val="2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w:t>
            </w:r>
          </w:p>
          <w:p>
            <w:pPr>
              <w:pStyle w:val="26"/>
              <w:numPr>
                <w:ilvl w:val="0"/>
                <w:numId w:val="2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2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设置人体静电消除装置；</w:t>
            </w:r>
          </w:p>
          <w:p>
            <w:pPr>
              <w:pStyle w:val="26"/>
              <w:numPr>
                <w:ilvl w:val="0"/>
                <w:numId w:val="2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电气设备应满足防爆要求；</w:t>
            </w:r>
          </w:p>
          <w:p>
            <w:pPr>
              <w:pStyle w:val="26"/>
              <w:numPr>
                <w:ilvl w:val="0"/>
                <w:numId w:val="2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铝镁金属机械加工的建构筑物</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rPr>
              <w:t>火灾、坍塌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rPr>
              <w:t>240</w:t>
            </w:r>
          </w:p>
        </w:tc>
        <w:tc>
          <w:tcPr>
            <w:tcW w:w="1160" w:type="dxa"/>
            <w:vAlign w:val="center"/>
          </w:tcPr>
          <w:p>
            <w:pPr>
              <w:jc w:val="center"/>
              <w:rPr>
                <w:rFonts w:ascii="Times New Roman" w:hAnsi="Times New Roman" w:eastAsia="仿宋_GB2312" w:cs="Times New Roman"/>
                <w:b/>
                <w:bCs/>
                <w:sz w:val="32"/>
                <w:szCs w:val="32"/>
              </w:rPr>
            </w:pPr>
            <w:r>
              <w:rPr>
                <w:rFonts w:ascii="Times New Roman" w:hAnsi="Times New Roman" w:eastAsia="仿宋_GB2312" w:cs="Times New Roman"/>
              </w:rPr>
              <w:t>1</w:t>
            </w:r>
          </w:p>
        </w:tc>
        <w:tc>
          <w:tcPr>
            <w:tcW w:w="4100" w:type="dxa"/>
            <w:tcBorders>
              <w:right w:val="single" w:color="auto" w:sz="12" w:space="0"/>
            </w:tcBorders>
            <w:vAlign w:val="center"/>
          </w:tcPr>
          <w:p>
            <w:pPr>
              <w:pStyle w:val="26"/>
              <w:numPr>
                <w:ilvl w:val="0"/>
                <w:numId w:val="2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铝镁金属机械加不应设置在非框架结构的多层建（构）筑物内；</w:t>
            </w:r>
          </w:p>
          <w:p>
            <w:pPr>
              <w:pStyle w:val="26"/>
              <w:numPr>
                <w:ilvl w:val="0"/>
                <w:numId w:val="2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铝镁金属机械加工的建构筑物内部不应设有员工宿舍、会议室、休息室等场所；</w:t>
            </w:r>
          </w:p>
          <w:p>
            <w:pPr>
              <w:pStyle w:val="26"/>
              <w:numPr>
                <w:ilvl w:val="0"/>
                <w:numId w:val="2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铝镁金属机械加工的打磨车间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铝镁金属机械加工打磨车间不应设置在非框架结构的多层建（构）筑物内；</w:t>
            </w:r>
          </w:p>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铝镁金属机械加工打磨车间的建构筑物内部不应设有员工宿舍、会议室、休息室等场所；</w:t>
            </w:r>
          </w:p>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易产生机械火花的工艺，应规范采取杂物去除或火花探测消除等防范点燃源措施；</w:t>
            </w:r>
          </w:p>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粉尘的收集、贮存等场所应采取防水防潮、通风、氢气浓度监测等防火防爆措施；</w:t>
            </w:r>
          </w:p>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收尘系统应满足铝镁金属粉尘防爆安全要求；</w:t>
            </w:r>
          </w:p>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铝镁金属机械加工的除尘器及管道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不同类别的可燃性粉尘、可燃性粉尘与可燃气体等易加剧爆炸危险的介质严禁共用一套除尘系统，不同防火分区的除尘系统不应互连互通；</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禁止采用正压除尘方式；</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干式除尘系统应规范设置锁气泄灰装置，应及时清理卸灰仓内的积灰；</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木模车间锯切机、打磨机、刨光机及除尘器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传（转）动部位设置可靠的防护罩；</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不同类别的可燃性粉尘、可燃性粉尘与可燃气体等易加剧爆炸危险的介质严禁共用一套除尘系统，不同防火分区的除尘系统不应互连互通；</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可燃性粉尘除尘系统采用正压吹送粉尘时，应规范采取火花探测消除等防范点燃源措施；</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易产生机械火花的工艺，应规范采取杂物去除或火花探测消除等防范点燃源措施；</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4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金属表面处理及热处理加工液氨储罐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液氨储罐区处设置固定式氨气浓度检测报警装置；</w:t>
            </w:r>
          </w:p>
          <w:p>
            <w:pPr>
              <w:pStyle w:val="26"/>
              <w:numPr>
                <w:ilvl w:val="0"/>
                <w:numId w:val="2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液氨储罐区设置淋浴装置；</w:t>
            </w:r>
          </w:p>
          <w:p>
            <w:pPr>
              <w:pStyle w:val="26"/>
              <w:numPr>
                <w:ilvl w:val="0"/>
                <w:numId w:val="2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液氨储罐区设置应急喷淋和洗眼设备；</w:t>
            </w:r>
          </w:p>
          <w:p>
            <w:pPr>
              <w:pStyle w:val="26"/>
              <w:numPr>
                <w:ilvl w:val="0"/>
                <w:numId w:val="2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金属表面处理及热处理加工的燃气加热炉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生产区域的安全坑内及熔融金属泄漏、喷溅影响范围内不应存在积水或放置易燃易爆物品；</w:t>
            </w:r>
          </w:p>
          <w:p>
            <w:pPr>
              <w:pStyle w:val="26"/>
              <w:numPr>
                <w:ilvl w:val="0"/>
                <w:numId w:val="2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炉下区域，应采取防止积水的措施，炉下漏钢坑应按防水要求设计施工，其内表</w:t>
            </w:r>
            <w:r>
              <w:rPr>
                <w:rFonts w:hint="eastAsia" w:ascii="Times New Roman" w:hAnsi="Times New Roman" w:eastAsia="仿宋_GB2312" w:cs="Times New Roman"/>
                <w:sz w:val="24"/>
                <w:szCs w:val="24"/>
              </w:rPr>
              <w:t>面</w:t>
            </w:r>
            <w:r>
              <w:rPr>
                <w:rFonts w:ascii="Times New Roman" w:hAnsi="Times New Roman" w:eastAsia="仿宋_GB2312" w:cs="Times New Roman"/>
                <w:sz w:val="24"/>
                <w:szCs w:val="24"/>
              </w:rPr>
              <w:t>应砌相应防护材料保护，且干燥后方可使用；</w:t>
            </w:r>
          </w:p>
          <w:p>
            <w:pPr>
              <w:pStyle w:val="26"/>
              <w:numPr>
                <w:ilvl w:val="0"/>
                <w:numId w:val="2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炉下钢水罐车、渣罐车运行区域，地面应保持干燥；</w:t>
            </w:r>
          </w:p>
          <w:p>
            <w:pPr>
              <w:pStyle w:val="26"/>
              <w:numPr>
                <w:ilvl w:val="0"/>
                <w:numId w:val="2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炉下热泼渣区，周围应设隔热防护结构，其地坪应防止积水：</w:t>
            </w:r>
          </w:p>
          <w:p>
            <w:pPr>
              <w:pStyle w:val="26"/>
              <w:numPr>
                <w:ilvl w:val="0"/>
                <w:numId w:val="2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炉渣冲击与挖掘机铲渣地点，应在耐热混凝土基础上铺砌厚铸铁板或采取其他措施保护。；</w:t>
            </w:r>
          </w:p>
          <w:p>
            <w:pPr>
              <w:pStyle w:val="26"/>
              <w:numPr>
                <w:ilvl w:val="0"/>
                <w:numId w:val="2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粉末喷涂间（站）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不允许存在发火源、明火和产生火花的设备及器具；</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禁止撞击或摩擦产生火花；</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应选用不会引燃粉末或粉气混合物的取暖设；</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喷粉区地面应采用不燃或难燃的防静电材料铺设；</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喷粉区应采用防尘型冷光源灯具照明；</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喷粉区内电气设备应采用防爆、防尘型电气设备；</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喷粉区内所有导体都应可靠接地，每组专设的静电接电体接地电阻应小于100Ω；</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喷粉室应采用不燃材料制造。铝材不允许作为支撑构件，也不允许用作喷粉室及其联接管道；</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自动化生产的流水作业在喷粉室与回收装置之间应采取联锁控制；</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自动喷粉室内应安装火灾报警装置；</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自动喷涂的回收风机与喷枪应采用电气联锁保护；</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回收系统一级旋风分离应按吸入式将风机布置在旋风分离器出口，风机叶片宜选用铝合金材料制作，严禁使用塑料风机</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每班应清理一次沉积漆垢、积留粉尘；</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回收装置应选用导电材料制作；袋滤器应选择防静电滤料；</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过滤式回收装置应采用有效的清粉装置；</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与喷粉室相连的粉末回收装置以及高效过滤器应设置能将爆炸压力引向安全位置的泄压装置；</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5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涂装调漆间和喷漆室</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规范设置可燃气体浓度监测报警装置；</w:t>
            </w:r>
          </w:p>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设置通风净化设备，并保持有效；</w:t>
            </w:r>
          </w:p>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大型喷漆室除应配置排风系统外，还应配置送风系统，冬季送风温度不应低于 12℃；</w:t>
            </w:r>
          </w:p>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喷漆区内不应设置电气设备，如工艺有特殊要求时，应符合 G B 50058规定；</w:t>
            </w:r>
          </w:p>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喷漆区及附近的电气设施应符合GB14444的要求；</w:t>
            </w:r>
          </w:p>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禁止烟火，配备灭火器材；</w:t>
            </w:r>
          </w:p>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在连续喷漆作业中的大型喷漆室、流平室、供调漆室应设自动灭火系统；</w:t>
            </w:r>
          </w:p>
          <w:p>
            <w:pPr>
              <w:pStyle w:val="26"/>
              <w:numPr>
                <w:ilvl w:val="0"/>
                <w:numId w:val="25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喷漆设备、烘干设备和通风系统应有连锁装置；</w:t>
            </w:r>
          </w:p>
          <w:p>
            <w:pPr>
              <w:pStyle w:val="26"/>
              <w:numPr>
                <w:ilvl w:val="0"/>
                <w:numId w:val="2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每班应清理一次沉积漆垢、积留粉尘；</w:t>
            </w:r>
          </w:p>
          <w:p>
            <w:pPr>
              <w:pStyle w:val="26"/>
              <w:numPr>
                <w:ilvl w:val="0"/>
                <w:numId w:val="2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含易燃、易爆介质的脱模剂的储存、使用点</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设置自动火灾报警装置和灭火设施；</w:t>
            </w:r>
          </w:p>
          <w:p>
            <w:pPr>
              <w:pStyle w:val="26"/>
              <w:numPr>
                <w:ilvl w:val="0"/>
                <w:numId w:val="2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设置事故风机并与报警装置联锁；</w:t>
            </w:r>
          </w:p>
          <w:p>
            <w:pPr>
              <w:pStyle w:val="26"/>
              <w:numPr>
                <w:ilvl w:val="0"/>
                <w:numId w:val="2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电气设备应满足防爆要求；</w:t>
            </w:r>
          </w:p>
          <w:p>
            <w:pPr>
              <w:pStyle w:val="26"/>
              <w:numPr>
                <w:ilvl w:val="0"/>
                <w:numId w:val="2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2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木模库、消失模库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设置自动火灾报警装置和灭火设施；</w:t>
            </w:r>
          </w:p>
          <w:p>
            <w:pPr>
              <w:pStyle w:val="26"/>
              <w:numPr>
                <w:ilvl w:val="0"/>
                <w:numId w:val="2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设置事故风机并与报警装置联锁；</w:t>
            </w:r>
          </w:p>
          <w:p>
            <w:pPr>
              <w:pStyle w:val="26"/>
              <w:numPr>
                <w:ilvl w:val="0"/>
                <w:numId w:val="2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电气设备线路应规范敷设；</w:t>
            </w:r>
          </w:p>
          <w:p>
            <w:pPr>
              <w:pStyle w:val="26"/>
              <w:numPr>
                <w:ilvl w:val="0"/>
                <w:numId w:val="2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2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淬火油槽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槽体应有足够的强度和刚度，无裂纹和变形；</w:t>
            </w:r>
          </w:p>
          <w:p>
            <w:pPr>
              <w:pStyle w:val="26"/>
              <w:numPr>
                <w:ilvl w:val="0"/>
                <w:numId w:val="2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地下槽体应设置防护围栏；</w:t>
            </w:r>
          </w:p>
          <w:p>
            <w:pPr>
              <w:pStyle w:val="26"/>
              <w:numPr>
                <w:ilvl w:val="0"/>
                <w:numId w:val="2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淬火油和回火油的工作温度至少应比其开口闪点低80℃以上，不得渗漏；</w:t>
            </w:r>
          </w:p>
          <w:p>
            <w:pPr>
              <w:pStyle w:val="26"/>
              <w:numPr>
                <w:ilvl w:val="0"/>
                <w:numId w:val="2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大型淬火油槽槽口四周应设置氮气或二氧化碳灭火装置；现场应配置喷雾灭火枪；</w:t>
            </w:r>
          </w:p>
          <w:p>
            <w:pPr>
              <w:pStyle w:val="26"/>
              <w:numPr>
                <w:ilvl w:val="0"/>
                <w:numId w:val="2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应设置废气收集装置；</w:t>
            </w:r>
          </w:p>
          <w:p>
            <w:pPr>
              <w:pStyle w:val="26"/>
              <w:numPr>
                <w:ilvl w:val="0"/>
                <w:numId w:val="2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241"/>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2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2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2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2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2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5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40" w:firstLineChars="200"/>
        <w:jc w:val="left"/>
        <w:rPr>
          <w:rFonts w:ascii="Times New Roman" w:hAnsi="Times New Roman" w:eastAsia="仿宋_GB2312" w:cs="Times New Roman"/>
        </w:rPr>
      </w:pPr>
      <w:r>
        <w:rPr>
          <w:rFonts w:ascii="Times New Roman" w:hAnsi="Times New Roman" w:eastAsia="仿宋_GB2312" w:cs="Times New Roman"/>
          <w:b/>
          <w:sz w:val="32"/>
          <w:szCs w:val="32"/>
        </w:rPr>
        <w:t>机械行业企业3级安全风险点主要包括：金属切削机床；冲、剪、压机械；木工机械（含可发性聚苯乙烯加工机械）；注塑机；工业机器人（含机械手）；装配线（含部件分装线、焊装线）；风动工具；射线探伤设备；自有专用机械设备；锻造机械；酸、碱、油槽及电镀槽；铸造机械；炊事机械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4"/>
        <w:spacing w:before="0" w:after="0"/>
        <w:ind w:firstLine="627" w:firstLineChars="196"/>
        <w:rPr>
          <w:rFonts w:ascii="Times New Roman" w:hAnsi="Times New Roman" w:eastAsia="仿宋_GB2312"/>
        </w:rPr>
      </w:pPr>
      <w:bookmarkStart w:id="63" w:name="_Toc92909965"/>
      <w:r>
        <w:rPr>
          <w:rFonts w:ascii="Times New Roman" w:hAnsi="Times New Roman" w:eastAsia="仿宋_GB2312"/>
        </w:rPr>
        <w:t>4.5轻工行业</w:t>
      </w:r>
      <w:bookmarkEnd w:id="63"/>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4.5.1甘蔗制糖企业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除尘器</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不同类别的可燃性粉尘、可燃性粉尘与可燃气体等易加剧爆炸危险的介质严禁共用一套除尘系统，不同防火分区的除尘系统不应互连互通；</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除尘系统采用正压吹送粉尘时，应规范采取火花探测消除等防范点燃源措施；</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破碎机应设置除铁器等杂物去除装置或火花探测消除等防范点燃源措施；</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硫磺储存库</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储存库应采取防水防潮措施；</w:t>
            </w:r>
          </w:p>
          <w:p>
            <w:pPr>
              <w:pStyle w:val="26"/>
              <w:numPr>
                <w:ilvl w:val="0"/>
                <w:numId w:val="2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库内电气设备应满足防爆要求；</w:t>
            </w:r>
          </w:p>
          <w:p>
            <w:pPr>
              <w:pStyle w:val="26"/>
              <w:numPr>
                <w:ilvl w:val="0"/>
                <w:numId w:val="2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库内应设置二氧化硫检测报警装置；</w:t>
            </w:r>
          </w:p>
          <w:p>
            <w:pPr>
              <w:pStyle w:val="26"/>
              <w:numPr>
                <w:ilvl w:val="0"/>
                <w:numId w:val="2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磷酸储存设施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桶装库应有通风措施，采取防止液体流散的措施；</w:t>
            </w:r>
          </w:p>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储罐应设置围堰，输送泵不应设置在围堰内，围堰内应采取防腐蚀措施；</w:t>
            </w:r>
          </w:p>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储罐设置液位计，液位计清晰有效、溢流装置齐全、畅通、无损坏；</w:t>
            </w:r>
          </w:p>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对罐体需要定期进行安全检测；</w:t>
            </w:r>
          </w:p>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作业地点应按GB38144要求设置洗眼喷淋装置；</w:t>
            </w:r>
          </w:p>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w:t>
            </w:r>
            <w:r>
              <w:rPr>
                <w:rFonts w:hint="eastAsia" w:ascii="Times New Roman" w:hAnsi="Times New Roman" w:eastAsia="仿宋_GB2312" w:cs="Times New Roman"/>
                <w:sz w:val="24"/>
                <w:szCs w:val="24"/>
              </w:rPr>
              <w:t>应有防护罩或网，并完好</w:t>
            </w:r>
            <w:r>
              <w:rPr>
                <w:rFonts w:ascii="Times New Roman" w:hAnsi="Times New Roman" w:eastAsia="仿宋_GB2312" w:cs="Times New Roman"/>
                <w:sz w:val="24"/>
                <w:szCs w:val="24"/>
              </w:rPr>
              <w:t>；急停开关或隔离开关完好、有效；</w:t>
            </w:r>
          </w:p>
          <w:p>
            <w:pPr>
              <w:pStyle w:val="26"/>
              <w:numPr>
                <w:ilvl w:val="0"/>
                <w:numId w:val="2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2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2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无渗漏，设备运转良好，排放污水顺畅；</w:t>
            </w:r>
          </w:p>
          <w:p>
            <w:pPr>
              <w:pStyle w:val="26"/>
              <w:numPr>
                <w:ilvl w:val="0"/>
                <w:numId w:val="2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2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燃硫炉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中毒和窒息、火灾、灼烫、其他爆炸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设置二氧化硫检测报警装置；</w:t>
            </w:r>
          </w:p>
          <w:p>
            <w:pPr>
              <w:pStyle w:val="26"/>
              <w:numPr>
                <w:ilvl w:val="0"/>
                <w:numId w:val="2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各种安全防护装置安装牢固；</w:t>
            </w:r>
          </w:p>
          <w:p>
            <w:pPr>
              <w:pStyle w:val="26"/>
              <w:numPr>
                <w:ilvl w:val="0"/>
                <w:numId w:val="2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配备避免汤汁烫伤的设备设施；</w:t>
            </w:r>
          </w:p>
          <w:p>
            <w:pPr>
              <w:pStyle w:val="26"/>
              <w:numPr>
                <w:ilvl w:val="0"/>
                <w:numId w:val="2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安全附件完好，安全阀、压力表、温度表、液位计等齐全、灵敏、可靠、清晰，铅封完好，在检验周期内使用；</w:t>
            </w:r>
          </w:p>
          <w:p>
            <w:pPr>
              <w:pStyle w:val="26"/>
              <w:numPr>
                <w:ilvl w:val="0"/>
                <w:numId w:val="2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糖蜜储罐（区）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储罐应设置围堰；</w:t>
            </w:r>
          </w:p>
          <w:p>
            <w:pPr>
              <w:pStyle w:val="26"/>
              <w:numPr>
                <w:ilvl w:val="0"/>
                <w:numId w:val="2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储罐液位计；</w:t>
            </w:r>
          </w:p>
          <w:p>
            <w:pPr>
              <w:pStyle w:val="26"/>
              <w:numPr>
                <w:ilvl w:val="0"/>
                <w:numId w:val="2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蒸发罐、结晶罐、种子箱、助晶机等箱、槽、罐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密封良好，设备、管道、阀门无腐蚀、泄漏；</w:t>
            </w:r>
          </w:p>
          <w:p>
            <w:pPr>
              <w:pStyle w:val="26"/>
              <w:numPr>
                <w:ilvl w:val="0"/>
                <w:numId w:val="2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搅拌装置灵活</w:t>
            </w:r>
            <w:r>
              <w:rPr>
                <w:rFonts w:hint="eastAsia" w:ascii="Times New Roman" w:hAnsi="Times New Roman" w:eastAsia="仿宋_GB2312" w:cs="Times New Roman"/>
                <w:sz w:val="24"/>
                <w:szCs w:val="24"/>
              </w:rPr>
              <w:t>可靠</w:t>
            </w:r>
            <w:r>
              <w:rPr>
                <w:rFonts w:ascii="Times New Roman" w:hAnsi="Times New Roman" w:eastAsia="仿宋_GB2312" w:cs="Times New Roman"/>
                <w:sz w:val="24"/>
                <w:szCs w:val="24"/>
              </w:rPr>
              <w:t>；</w:t>
            </w:r>
          </w:p>
          <w:p>
            <w:pPr>
              <w:pStyle w:val="26"/>
              <w:numPr>
                <w:ilvl w:val="0"/>
                <w:numId w:val="2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设置安全阀等安全附件，并定期校验；</w:t>
            </w:r>
          </w:p>
          <w:p>
            <w:pPr>
              <w:pStyle w:val="26"/>
              <w:numPr>
                <w:ilvl w:val="0"/>
                <w:numId w:val="2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安全防护装置齐全；</w:t>
            </w:r>
          </w:p>
          <w:p>
            <w:pPr>
              <w:pStyle w:val="26"/>
              <w:numPr>
                <w:ilvl w:val="0"/>
                <w:numId w:val="2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配备鼓风机等换气操作设备；</w:t>
            </w:r>
          </w:p>
          <w:p>
            <w:pPr>
              <w:pStyle w:val="26"/>
              <w:numPr>
                <w:ilvl w:val="0"/>
                <w:numId w:val="2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配备符合容器空气特点的气体检测设备。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产品包装车间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除尘系统采用正压吹送粉尘时，应规范采取火花探测消除等防范点燃源措施；</w:t>
            </w:r>
          </w:p>
          <w:p>
            <w:pPr>
              <w:pStyle w:val="26"/>
              <w:numPr>
                <w:ilvl w:val="0"/>
                <w:numId w:val="2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2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破碎机应设置除铁器等杂物去除装置或火花探测消除等防范点燃源措施；</w:t>
            </w:r>
          </w:p>
          <w:p>
            <w:pPr>
              <w:pStyle w:val="26"/>
              <w:numPr>
                <w:ilvl w:val="0"/>
                <w:numId w:val="2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2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2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2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2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2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bottom w:val="single" w:color="auto" w:sz="12" w:space="0"/>
            </w:tcBorders>
            <w:vAlign w:val="center"/>
          </w:tcPr>
          <w:p>
            <w:pPr>
              <w:pStyle w:val="26"/>
              <w:numPr>
                <w:ilvl w:val="0"/>
                <w:numId w:val="259"/>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2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设置固定式可燃气体（或氢气）检测报警装置和事故风机；</w:t>
            </w:r>
          </w:p>
          <w:p>
            <w:pPr>
              <w:pStyle w:val="26"/>
              <w:numPr>
                <w:ilvl w:val="0"/>
                <w:numId w:val="2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2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2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2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widowControl/>
        <w:ind w:firstLine="630" w:firstLineChars="300"/>
        <w:jc w:val="left"/>
        <w:rPr>
          <w:rFonts w:ascii="Times New Roman" w:hAnsi="Times New Roman" w:eastAsia="仿宋_GB2312" w:cs="Times New Roman"/>
        </w:rPr>
      </w:pPr>
      <w:r>
        <w:rPr>
          <w:rFonts w:ascii="Times New Roman" w:hAnsi="Times New Roman" w:eastAsia="仿宋_GB2312" w:cs="Times New Roman"/>
        </w:rPr>
        <w:br w:type="page"/>
      </w:r>
      <w:r>
        <w:rPr>
          <w:rFonts w:ascii="Times New Roman" w:hAnsi="Times New Roman" w:eastAsia="仿宋_GB2312" w:cs="Times New Roman"/>
          <w:b/>
          <w:sz w:val="32"/>
          <w:szCs w:val="32"/>
        </w:rPr>
        <w:t>甘蔗制糖企业3级安全风险点主要包括：称蔗台、喂蔗台、链板式输蔗机、撕解机等甘蔗破碎设备；压榨机、中间输送机（耙齿式）及高位槽、无阻塞泵、蔗汁泵、清汁泵、热水泵、糖浆泵、混汁蔗屑清除设备（滚筒筛）等甘蔗提汁设备；中和器、硫熏器、沉降器、真空吸滤机、石灰消和机、上浮器、加热器、饱充罐等制炼设备；板框压滤机；石灰窑；汽凝水系统、冷凝器、蒸汽分布及降温器；分蜜机、抽风机、振动输送机、分类筛、螺旋输送机、糖蜜气送装置；砂糖干燥机、砂糖胶带输送机；真空泵；蔗渣除髓机、打包机；蔗渣堆场等。</w:t>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4.5.2啤酒生产企业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液氨</w:t>
            </w:r>
            <w:r>
              <w:rPr>
                <w:rFonts w:ascii="Times New Roman" w:hAnsi="Times New Roman" w:eastAsia="仿宋_GB2312" w:cs="Times New Roman"/>
                <w:sz w:val="24"/>
                <w:szCs w:val="24"/>
              </w:rPr>
              <w:t>制冷站</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液氨制冷机房应规范设置氨气浓度检测报警装置；</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液氨制冷机房应安装与检测报警联锁的防爆型事故风机；并在控制柜和机房门口外墙上设置人工启停按钮；</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制冷系统应装设紧急泄氨器；</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w:t>
            </w:r>
            <w:r>
              <w:rPr>
                <w:rFonts w:hint="eastAsia" w:ascii="Times New Roman" w:hAnsi="Times New Roman" w:eastAsia="仿宋_GB2312" w:cs="Times New Roman"/>
                <w:sz w:val="24"/>
                <w:szCs w:val="24"/>
              </w:rPr>
              <w:t>应设置</w:t>
            </w:r>
            <w:r>
              <w:rPr>
                <w:rFonts w:ascii="Times New Roman" w:hAnsi="Times New Roman" w:eastAsia="仿宋_GB2312" w:cs="Times New Roman"/>
                <w:sz w:val="24"/>
                <w:szCs w:val="24"/>
              </w:rPr>
              <w:t>喷淋装置和围堰；</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应急照明应为防爆型；</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水冷压缩机应设置断水保护装置；</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蒸发冷凝器应安装压力表、安全阀和风机故障报警装置；</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氟剂制冷机房应规范设置氧气浓度检测报警装置；</w:t>
            </w:r>
          </w:p>
          <w:p>
            <w:pPr>
              <w:pStyle w:val="26"/>
              <w:numPr>
                <w:ilvl w:val="0"/>
                <w:numId w:val="2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配备应急器材和消防水枪；</w:t>
            </w:r>
          </w:p>
          <w:p>
            <w:pPr>
              <w:pStyle w:val="26"/>
              <w:numPr>
                <w:ilvl w:val="0"/>
                <w:numId w:val="2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泵房、微滤机、污泥脱水设备等地上设备外露运动部位应有防护罩或网，并完好；急停开关或隔离开关完好、有效；</w:t>
            </w:r>
          </w:p>
          <w:p>
            <w:pPr>
              <w:pStyle w:val="26"/>
              <w:numPr>
                <w:ilvl w:val="0"/>
                <w:numId w:val="2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2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设置防护栏；</w:t>
            </w:r>
          </w:p>
          <w:p>
            <w:pPr>
              <w:pStyle w:val="26"/>
              <w:numPr>
                <w:ilvl w:val="0"/>
                <w:numId w:val="2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2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27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料仓下料口规范设置安全车挡和格栅；</w:t>
            </w:r>
          </w:p>
          <w:p>
            <w:pPr>
              <w:pStyle w:val="26"/>
              <w:numPr>
                <w:ilvl w:val="0"/>
                <w:numId w:val="2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2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2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2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二氧化碳储罐（区）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设置二氧化碳浓度或氧气浓度监测报警装置；</w:t>
            </w:r>
          </w:p>
          <w:p>
            <w:pPr>
              <w:pStyle w:val="26"/>
              <w:numPr>
                <w:ilvl w:val="0"/>
                <w:numId w:val="2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场所设置紧急联动排风装置；</w:t>
            </w:r>
          </w:p>
          <w:p>
            <w:pPr>
              <w:pStyle w:val="26"/>
              <w:numPr>
                <w:ilvl w:val="0"/>
                <w:numId w:val="2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构成压力容器的罐体和压力表、安全阀应悬挂定期检验合格的标志；</w:t>
            </w:r>
          </w:p>
          <w:p>
            <w:pPr>
              <w:pStyle w:val="26"/>
              <w:numPr>
                <w:ilvl w:val="0"/>
                <w:numId w:val="2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76"/>
              </w:numPr>
              <w:ind w:firstLineChars="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加强有限空间作业、高处作业等危险作业安全管理，严格执行危险作业审批制度</w:t>
            </w:r>
            <w:r>
              <w:rPr>
                <w:rFonts w:ascii="Times New Roman" w:hAnsi="Times New Roman" w:eastAsia="仿宋_GB2312" w:cs="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2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沿皮带全长设置手动复位的拉绳开关或急停开关；</w:t>
            </w:r>
          </w:p>
          <w:p>
            <w:pPr>
              <w:pStyle w:val="26"/>
              <w:numPr>
                <w:ilvl w:val="0"/>
                <w:numId w:val="2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2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2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CIP清洗系统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设备内外应光滑、无锈斑、无腐蚀现象，管道应有良好的密封性能，无漏汽、漏水；焊缝应无未焊透、咬边、裂纹等缺陷；</w:t>
            </w:r>
          </w:p>
          <w:p>
            <w:pPr>
              <w:pStyle w:val="26"/>
              <w:numPr>
                <w:ilvl w:val="0"/>
                <w:numId w:val="2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泵的基础应牢固、可靠，各种防护罩安装牢固，防护到位。轴承润滑良好、机封无渗漏，压力稳定；联轴器同心度应符合规定要求；</w:t>
            </w:r>
          </w:p>
          <w:p>
            <w:pPr>
              <w:pStyle w:val="26"/>
              <w:numPr>
                <w:ilvl w:val="0"/>
                <w:numId w:val="2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控制系统的设置应便于操作和维修；仪表、指示灯、操作按钮均应标识准确、清晰，动作灵敏可靠；</w:t>
            </w:r>
          </w:p>
          <w:p>
            <w:pPr>
              <w:pStyle w:val="26"/>
              <w:numPr>
                <w:ilvl w:val="0"/>
                <w:numId w:val="2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酸、碱、杀菌剂、酒精等使用现场应设置化学品安全技术说明书和处置设施，以及清洗、稀释用的水源和冲洗设施；</w:t>
            </w:r>
          </w:p>
          <w:p>
            <w:pPr>
              <w:pStyle w:val="26"/>
              <w:numPr>
                <w:ilvl w:val="0"/>
                <w:numId w:val="2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电气设备的绝缘、屏护、防护间距应符合相关规定，PE(N)线应连接可靠，线径截面积及安装方法符合相关规定；</w:t>
            </w:r>
          </w:p>
          <w:p>
            <w:pPr>
              <w:pStyle w:val="26"/>
              <w:numPr>
                <w:ilvl w:val="0"/>
                <w:numId w:val="2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二氧化碳、制氮设备</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设置氧气浓度监测报警装置；</w:t>
            </w:r>
          </w:p>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场所设置紧急联动排风装置；</w:t>
            </w:r>
          </w:p>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构成压力容器的罐体和压力表、安全阀应悬挂定期检验合格的标志；</w:t>
            </w:r>
          </w:p>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设备的安全防护装置完好，保温层齐全完整，无严重脱落破损现象；</w:t>
            </w:r>
          </w:p>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润滑系统装置齐全，接地良好，控制系统开关齐全，性能灵敏可靠</w:t>
            </w:r>
          </w:p>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271"/>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发酵罐</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中毒和窒息、高处坠落、淹溺</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kern w:val="0"/>
                <w:sz w:val="24"/>
                <w:szCs w:val="24"/>
              </w:rPr>
              <w:t>罐体无严重变形及腐蚀现象；</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基础支架无裂纹破损及下沉现象；</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保温层完好无脱落；</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冷却夹套无介质泄漏现象；</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各部位连接螺栓齐全紧固；</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微机系统及各类仪表准确有效；</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啤酒生产企业3级安全风险点主要包括：粗选机、大麦分选机（滚筛式）等筛选机械；绿麦、干麦搅拌机；除根机；调湿粉粹机；麦汁酿造主要设备（糊化锅、糖化锅、煮沸锅、沉淀槽等）；麦汁过滤机（压滤机、过滤槽）；卸垛机、码垛机、卸箱机、装箱机；洗瓶机、洗箱机；装酒压盖机、杀菌机；产品标识设备、二次包装设备；易拉罐液位检测机等。</w:t>
      </w:r>
      <w:r>
        <w:rPr>
          <w:rFonts w:ascii="Times New Roman" w:hAnsi="Times New Roman" w:eastAsia="仿宋_GB2312" w:cs="Times New Roman"/>
        </w:rPr>
        <w:br w:type="page"/>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4.5.3白酒生产企业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蒸馏车间</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电气设备满足防爆要求；</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设置乙醇气体检测报警装置；</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设置与检测装置报警联锁的防爆型排风机；</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设置温度计、湿度计、糖度计、酒度计；</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在爆炸危险场所使用的机动车辆应采取有效的防爆措施，作业人员使用的工具、防护用品应符合防爆要求；</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设置可靠的避雷设施，有静电积聚危险的生产装置应采用控制流速、导除静电接地、静电消除器、添加防静电剂等有效措施消除静电、防止静电积聚；</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勾兑场所</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电气设备满足防爆要求；</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设置乙醇气体检测报警装置；</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设置与检测装置报警联锁的防爆型排风机；</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设置温度计、湿度计、糖度计、酒度计；</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在爆炸危险场所使用的机动车辆应采取有效的防爆措施，作业人员使用的工具、防护用品应符合防爆要求；</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设置可靠的避雷设施，有静电积聚危险的生产装置应采用控制流速、导除静电接地、静电消除器、添加防静电剂等有效措施消除静电、防止静电积聚；</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灌装车间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电气设备满足防爆要求；</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设置乙醇气体检测报警装置；</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设置与检测装置报警联锁的防爆型排风机；</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设置温度计、湿度计、糖度计、酒度计；</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在爆炸危险场所使用的机动车辆应采取有效的防爆措施，作业人员使用的工具、防护用品应符合防爆要求；</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设置可靠的避雷设施，有静电积聚危险的生产装置应采用控制流速、导除静电接地、静电消除器、添加防静电剂等有效措施消除静电、防止静电积聚；</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酒库、储酒罐区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酒库的设计、建设应符合国家的相关标准和行业规范；</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酒库内应阴凉，并按照国家标准、行业标准配置消防设施、器材；</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库内不准存放其他无关物品，特别是易燃易爆或可能会对库存物造成污染或毒害作用的物料；</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酒库内应设置乙醇气体监测装置，使用的酒泵及其他电气设施应为防爆型；</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库内作业时，应避免产生火花，库房四壁应安装换气扇，库内温度或酒精浓度超过规定要求时，应及时启动换气扇。电器开关箱应设于库外，对库内设施、设备的维修须移至库外进行；</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露天酒罐区的贮酒罐应采用金属材料制作，管路应用法兰连接，储酒罐顶部应设置呼吸阀，罐体上应安装液位显示装置；储酒罐间距应按规定满足安全距离要求；</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储酒罐区四周应砌筑围堰，并采取防溢流措施；酒罐顶部应架设喷淋应设置事故排酒设施；装置；罐区应采取防雷措施；</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2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2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2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2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2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料仓下料口规范设置安全车挡和格栅；</w:t>
            </w:r>
          </w:p>
          <w:p>
            <w:pPr>
              <w:pStyle w:val="26"/>
              <w:numPr>
                <w:ilvl w:val="0"/>
                <w:numId w:val="2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2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2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2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粮食粉碎车间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场所严禁烟火；</w:t>
            </w:r>
          </w:p>
          <w:p>
            <w:pPr>
              <w:pStyle w:val="26"/>
              <w:numPr>
                <w:ilvl w:val="0"/>
                <w:numId w:val="2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所用电气设备必须满足粉尘防爆要求；</w:t>
            </w:r>
          </w:p>
          <w:p>
            <w:pPr>
              <w:pStyle w:val="26"/>
              <w:numPr>
                <w:ilvl w:val="0"/>
                <w:numId w:val="2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当粉尘爆炸危险场所存在静电点火危险时，所有金属设备、装置外壳、金属管道、支架、构件、部件等，应采用静电直接接地，不便或工艺不允许直接接地的，可通过导静电材料或制品间接接地；</w:t>
            </w:r>
          </w:p>
          <w:p>
            <w:pPr>
              <w:pStyle w:val="26"/>
              <w:numPr>
                <w:ilvl w:val="0"/>
                <w:numId w:val="2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直接用于盛装粉末的器具、输送粉末的管道（带）等，应采用金属或防静电材料制成，所有金属管道连接处（如法兰），必须进行跨接；</w:t>
            </w:r>
          </w:p>
          <w:p>
            <w:pPr>
              <w:pStyle w:val="26"/>
              <w:numPr>
                <w:ilvl w:val="0"/>
                <w:numId w:val="2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操作人员应采取防静电措施；</w:t>
            </w:r>
          </w:p>
          <w:p>
            <w:pPr>
              <w:pStyle w:val="26"/>
              <w:numPr>
                <w:ilvl w:val="0"/>
                <w:numId w:val="2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制曲车间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场所严禁烟火；</w:t>
            </w:r>
          </w:p>
          <w:p>
            <w:pPr>
              <w:pStyle w:val="26"/>
              <w:numPr>
                <w:ilvl w:val="0"/>
                <w:numId w:val="2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所用电气设备必须采用防爆形式；</w:t>
            </w:r>
          </w:p>
          <w:p>
            <w:pPr>
              <w:pStyle w:val="26"/>
              <w:numPr>
                <w:ilvl w:val="0"/>
                <w:numId w:val="2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当粉尘爆炸危险场所存在静电点火危险时，所有金属设备、装置外壳、金属管道、支架、构件、部件等，应采用静电直接接地，不便或工艺不允许直接接地的，可通过导静电材料或制品间接接地；</w:t>
            </w:r>
          </w:p>
          <w:p>
            <w:pPr>
              <w:pStyle w:val="26"/>
              <w:numPr>
                <w:ilvl w:val="0"/>
                <w:numId w:val="2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直接用于盛装粉末的器具、输送粉末的管道（带）等，应采用金属或防静电材料制成，所有金属管道连接处（如法兰），必须进行跨接；</w:t>
            </w:r>
          </w:p>
          <w:p>
            <w:pPr>
              <w:pStyle w:val="26"/>
              <w:numPr>
                <w:ilvl w:val="0"/>
                <w:numId w:val="2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操作人员应采取防静电措施；</w:t>
            </w:r>
          </w:p>
          <w:p>
            <w:pPr>
              <w:pStyle w:val="26"/>
              <w:numPr>
                <w:ilvl w:val="0"/>
                <w:numId w:val="2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蒸煮区、糖化区、发酵区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kern w:val="0"/>
                <w:sz w:val="24"/>
                <w:szCs w:val="24"/>
              </w:rPr>
              <w:t>罐体无严重变形及腐蚀现象；</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基础支架无裂纹破损及下沉现象；</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保温层完好无脱落；</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冷却夹套无介质泄漏现象；</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各部位连接螺栓齐全紧固；</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微机系统及各类仪表准确有效；</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2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2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2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2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成品库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2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成品库的容量应与生产能力相匹配，库内应阴凉、干燥，并有防火、灭火设施、设备；</w:t>
            </w:r>
          </w:p>
          <w:p>
            <w:pPr>
              <w:pStyle w:val="26"/>
              <w:numPr>
                <w:ilvl w:val="0"/>
                <w:numId w:val="2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成品库应使用防爆开关和灯具，并在开关和灯具上装有安全防护罩；</w:t>
            </w:r>
          </w:p>
          <w:p>
            <w:pPr>
              <w:pStyle w:val="26"/>
              <w:numPr>
                <w:ilvl w:val="0"/>
                <w:numId w:val="2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堆垛应符合规定要求，按规定设置应急通道和应急出口，并保证畅通；</w:t>
            </w:r>
          </w:p>
          <w:p>
            <w:pPr>
              <w:pStyle w:val="26"/>
              <w:numPr>
                <w:ilvl w:val="0"/>
                <w:numId w:val="2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安装乙醇浓度监测报警装置；</w:t>
            </w:r>
          </w:p>
          <w:p>
            <w:pPr>
              <w:pStyle w:val="26"/>
              <w:numPr>
                <w:ilvl w:val="0"/>
                <w:numId w:val="2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2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281"/>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酒曲库</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2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酒曲库设置防火、灭火设施、设备；</w:t>
            </w:r>
          </w:p>
          <w:p>
            <w:pPr>
              <w:pStyle w:val="26"/>
              <w:numPr>
                <w:ilvl w:val="0"/>
                <w:numId w:val="2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酒曲库应使用防爆开关和灯具，并在开关和灯具上装有安全防护罩；</w:t>
            </w:r>
          </w:p>
          <w:p>
            <w:pPr>
              <w:pStyle w:val="26"/>
              <w:numPr>
                <w:ilvl w:val="0"/>
                <w:numId w:val="2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按规定设置应急通道和应急出口，并保证畅通；</w:t>
            </w:r>
          </w:p>
          <w:p>
            <w:pPr>
              <w:pStyle w:val="26"/>
              <w:numPr>
                <w:ilvl w:val="0"/>
                <w:numId w:val="2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2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ind w:firstLine="640"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白酒生产企业3级安全风险点主要包括：粮食仓库；洗瓶间；外包装间等。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4.5.4葡萄酒、露酒生产企业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酒罐、酒窖、酒库、罐区</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酒库的设计、建设应符合国家的相关标准和行业规范；</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酒库内应阴凉，并按照国家标准、行业标准配置消防设施、器材；</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库内不准存放其他无关物品，特别是易燃易爆或可能会对库存物造成污染或毒害作用的物料；</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酒库内应设置乙醇气体监测装置，使用的酒泵及其他电气设施应为防爆型；</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库内作业时，应避免产生火花，库房四壁应安装换气扇，库内温度或酒精浓度超过规定要求时，应及时启动换气扇。电器开关箱应设于库外，对库内设施、设备的维修须移至库外进行；</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露天酒罐区的贮酒罐应采用金属材料制作，管路应用法兰连接，储酒罐顶部应设置呼吸阀，罐体上应安装液位显示装置；储酒罐间距应按规定满足安全距离要求；</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储酒罐区四周应砌筑围堰，并采取防溢流措施；酒罐顶部应架设喷淋装置；罐区应采取防雷措施；应设置事故排酒设施；</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罐区不应建在地下、半地下或多层、高层建筑中；罐区防火堤内严禁植树；</w:t>
            </w:r>
          </w:p>
          <w:p>
            <w:pPr>
              <w:pStyle w:val="26"/>
              <w:numPr>
                <w:ilvl w:val="0"/>
                <w:numId w:val="2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罐区的电气设备设施必须防爆，且酒泵等电气设备不应设置在防火堤内；</w:t>
            </w:r>
          </w:p>
          <w:p>
            <w:pPr>
              <w:pStyle w:val="26"/>
              <w:numPr>
                <w:ilvl w:val="0"/>
                <w:numId w:val="297"/>
              </w:numPr>
              <w:ind w:firstLineChars="0"/>
              <w:rPr>
                <w:rFonts w:ascii="Times New Roman" w:hAnsi="Times New Roman" w:eastAsia="仿宋_GB2312" w:cs="Times New Roman"/>
                <w:sz w:val="24"/>
                <w:szCs w:val="24"/>
              </w:rPr>
            </w:pPr>
            <w:r>
              <w:rPr>
                <w:rFonts w:ascii="Times New Roman" w:hAnsi="Times New Roman" w:eastAsia="仿宋_GB2312" w:cs="Times New Roman"/>
                <w:kern w:val="0"/>
                <w:sz w:val="24"/>
                <w:szCs w:val="24"/>
              </w:rPr>
              <w:t>罐区应设置防火堤、事故应急池、应急酒罐、火灾报警系统、可燃性气体浓度监测报警系统、泡沫灭火系统或水雾喷淋系统、消防栓系统、消防喷淋降温系统、防爆照明系统、防爆视频监控系统、避雷接地系统等消防、安全设备设施；</w:t>
            </w:r>
          </w:p>
          <w:p>
            <w:pPr>
              <w:pStyle w:val="26"/>
              <w:numPr>
                <w:ilvl w:val="0"/>
                <w:numId w:val="2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2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葡萄酒蒸馏工序</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电气设备满足防爆要求；</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设置乙醇气体检测报警装置；</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设置与检测装置报警联锁的防爆型排风机；</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设置温度计、湿度计、糖度计、酒度计；</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在爆炸危险场所使用的机动车辆应采取有效的防爆措施，作业人员使用的工具、防护用品应符合防爆要求；</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设置可靠的避雷设施，有静电积聚危险的生产装置应采用控制流速、导除静电接地、静电消除器、添加防静电剂等有效措施消除静电、防止静电积聚；</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吊甑、冷凝器等蒸馏设备</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电气设备满足防爆要求；</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设置乙醇气体检测报警装置；</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设置与检测装置报警联锁的防爆型排风机；</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设置温度计、湿度计、糖度计、酒度计；</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设置可靠的避雷设施，有静电积聚危险的生产装置应采用控制流速、导除静电接地、静电消除器、添加防静电剂等有效措施消除静电、防止静电积聚；</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吊蒸馏设备及其管道、附件应有良好的密封性能；</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2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露酒提取配置车间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电气设备设施必须防爆；</w:t>
            </w:r>
          </w:p>
          <w:p>
            <w:pPr>
              <w:pStyle w:val="26"/>
              <w:numPr>
                <w:ilvl w:val="0"/>
                <w:numId w:val="3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应设置消防栓系统、火灾报警系统；</w:t>
            </w:r>
          </w:p>
          <w:p>
            <w:pPr>
              <w:pStyle w:val="26"/>
              <w:numPr>
                <w:ilvl w:val="0"/>
                <w:numId w:val="3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 设置可燃气体报警系统；</w:t>
            </w:r>
          </w:p>
          <w:p>
            <w:pPr>
              <w:pStyle w:val="26"/>
              <w:numPr>
                <w:ilvl w:val="0"/>
                <w:numId w:val="3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必须设置可靠的避雷设施，有静电积聚危险的生产装置应采用控制流速、静电接地等有效措施消除静电、防止静电积聚。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灌装车间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电气设备满足防爆要求；</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设置乙醇气体检测报警装置；</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设置与检测装置报警联锁的防爆型排风机；</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设置温度计、湿度计、糖度计、酒度计；</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在爆炸危险场所使用的机动车辆应采取有效的防爆措施，作业人员使用的工具、防护用品应符合防爆要求；</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设置可靠的避雷设施，有静电积聚危险的生产装置应采用控制流速、导除静电接地、静电消除器、添加防静电剂等有效措施消除静电、防止静电积聚；</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3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3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3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3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3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蒸煮设备</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酒甑宜采用不燃材料制作并用蒸汽加热；</w:t>
            </w:r>
          </w:p>
          <w:p>
            <w:pPr>
              <w:pStyle w:val="26"/>
              <w:numPr>
                <w:ilvl w:val="0"/>
                <w:numId w:val="3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甑盖采用小型提升机起盖时，防过卷等安全装置应齐全，钢丝绳完好，且运行可靠；</w:t>
            </w:r>
          </w:p>
          <w:p>
            <w:pPr>
              <w:pStyle w:val="26"/>
              <w:numPr>
                <w:ilvl w:val="0"/>
                <w:numId w:val="30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设备张贴防烫警示标识；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发酵罐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罐体无严重变形及腐蚀现象，基础支架无裂纹破损及下沉现象；</w:t>
            </w:r>
          </w:p>
          <w:p>
            <w:pPr>
              <w:pStyle w:val="26"/>
              <w:numPr>
                <w:ilvl w:val="0"/>
                <w:numId w:val="3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酒罐内冷却夹套无介质泄漏现象；</w:t>
            </w:r>
          </w:p>
          <w:p>
            <w:pPr>
              <w:pStyle w:val="26"/>
              <w:numPr>
                <w:ilvl w:val="0"/>
                <w:numId w:val="3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压力表、安全阀灵敏可靠，管路、阀门安装整齐合理；</w:t>
            </w:r>
          </w:p>
          <w:p>
            <w:pPr>
              <w:pStyle w:val="26"/>
              <w:numPr>
                <w:ilvl w:val="0"/>
                <w:numId w:val="3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各部位连接螺栓齐全紧固，微机系统及各类仪表准确有效。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3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3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bottom w:val="single" w:color="auto" w:sz="12" w:space="0"/>
            </w:tcBorders>
            <w:vAlign w:val="center"/>
          </w:tcPr>
          <w:p>
            <w:pPr>
              <w:pStyle w:val="26"/>
              <w:numPr>
                <w:ilvl w:val="0"/>
                <w:numId w:val="295"/>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酒罐车</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火灾、其他爆炸、车辆伤害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3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必须为有资质的合法厂家生产；</w:t>
            </w:r>
          </w:p>
          <w:p>
            <w:pPr>
              <w:pStyle w:val="26"/>
              <w:numPr>
                <w:ilvl w:val="0"/>
                <w:numId w:val="3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发动机排气管</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安装有阻火器；</w:t>
            </w:r>
          </w:p>
          <w:p>
            <w:pPr>
              <w:pStyle w:val="26"/>
              <w:numPr>
                <w:ilvl w:val="0"/>
                <w:numId w:val="3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设置静电接地吊带；配备足量的适用灭火器材。</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葡萄酒、露酒生产企业3级安全风险点主要包括：葡萄除梗破碎机；葡萄压榨机；洗瓶机、灌装机；打塞、封帽机；贴标机；装箱机；喷码机；粮仓；粮食输送设备；果汁分离机；包装设备；成品库等。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4.5.5调味品生产企业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调味品、发酵制品制造、酱菜腌制的腌渍池、发酵罐、发酵缸</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中毒和窒息、火灾、其他爆炸、高处坠落、淹溺</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0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罐体及管道无腐蚀和泄漏，壁厚均匀，密封良好；</w:t>
            </w:r>
          </w:p>
          <w:p>
            <w:pPr>
              <w:pStyle w:val="26"/>
              <w:numPr>
                <w:ilvl w:val="0"/>
                <w:numId w:val="30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附属安全附件和安全设施完好；</w:t>
            </w:r>
          </w:p>
          <w:p>
            <w:pPr>
              <w:pStyle w:val="26"/>
              <w:numPr>
                <w:ilvl w:val="0"/>
                <w:numId w:val="30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冷却系统供水正常；</w:t>
            </w:r>
          </w:p>
          <w:p>
            <w:pPr>
              <w:pStyle w:val="26"/>
              <w:numPr>
                <w:ilvl w:val="0"/>
                <w:numId w:val="30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液位调整及指示装置正常；</w:t>
            </w:r>
          </w:p>
          <w:p>
            <w:pPr>
              <w:pStyle w:val="26"/>
              <w:numPr>
                <w:ilvl w:val="0"/>
                <w:numId w:val="30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管道流畅无堵塞；</w:t>
            </w:r>
          </w:p>
          <w:p>
            <w:pPr>
              <w:pStyle w:val="26"/>
              <w:numPr>
                <w:ilvl w:val="0"/>
                <w:numId w:val="30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定期清理、清洗罐体和管道，测量壁厚；</w:t>
            </w:r>
          </w:p>
          <w:p>
            <w:pPr>
              <w:pStyle w:val="26"/>
              <w:numPr>
                <w:ilvl w:val="0"/>
                <w:numId w:val="30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纳入有限空间管理，张贴有限空间警示标志；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氨制冷站</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液氨制冷机房应规范设置氨气浓度检测报警装置；</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液氨制冷机房应安装置与检测报警联锁的防爆型事故风机；并在控制柜和机房门口外墙上设置人工启停按钮；</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制冷系统应装设紧急泄氨器；</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液氨储罐有喷淋装置和围堰；</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应急照明应为防爆型；</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水冷压缩机应设置断水保护装置；</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蒸发冷凝器应安装压力表、安全阀和风机故障报警装置；</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氟剂制冷机房应规范设置氟气浓度检测报警装置；</w:t>
            </w:r>
          </w:p>
          <w:p>
            <w:pPr>
              <w:pStyle w:val="26"/>
              <w:numPr>
                <w:ilvl w:val="0"/>
                <w:numId w:val="30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配备应急器材和消防水枪；</w:t>
            </w:r>
          </w:p>
          <w:p>
            <w:pPr>
              <w:pStyle w:val="26"/>
              <w:numPr>
                <w:ilvl w:val="0"/>
                <w:numId w:val="31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1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1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1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31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31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31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31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31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人工加料车辆应有防喷溅措施；</w:t>
            </w:r>
          </w:p>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料仓下料口规范设置安全车档和格栅；</w:t>
            </w:r>
          </w:p>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1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罐类设备（发酵罐、储存罐、液化罐、糖化罐、速酿塔等罐体）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安装通气装置；</w:t>
            </w:r>
          </w:p>
          <w:p>
            <w:pPr>
              <w:pStyle w:val="26"/>
              <w:numPr>
                <w:ilvl w:val="0"/>
                <w:numId w:val="31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纳入有限空间管理，张贴了有限空间警示标志；</w:t>
            </w:r>
          </w:p>
          <w:p>
            <w:pPr>
              <w:pStyle w:val="26"/>
              <w:numPr>
                <w:ilvl w:val="0"/>
                <w:numId w:val="31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配备必要的应急装备与器材；</w:t>
            </w:r>
          </w:p>
          <w:p>
            <w:pPr>
              <w:pStyle w:val="26"/>
              <w:numPr>
                <w:ilvl w:val="0"/>
                <w:numId w:val="31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各种安全防护装置安装牢固，间隙符合标准无摩擦；</w:t>
            </w:r>
          </w:p>
          <w:p>
            <w:pPr>
              <w:pStyle w:val="26"/>
              <w:numPr>
                <w:ilvl w:val="0"/>
                <w:numId w:val="31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高于2米以上的罐顶作业面，安装防坠落设施。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烘烤机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电机设备基础螺栓固定牢固；</w:t>
            </w:r>
          </w:p>
          <w:p>
            <w:pPr>
              <w:pStyle w:val="26"/>
              <w:numPr>
                <w:ilvl w:val="0"/>
                <w:numId w:val="31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电器系统防护良好，操作灵敏，接地牢固；</w:t>
            </w:r>
          </w:p>
          <w:p>
            <w:pPr>
              <w:pStyle w:val="26"/>
              <w:numPr>
                <w:ilvl w:val="0"/>
                <w:numId w:val="31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安全附件完好，达到使用标准，消防器材齐全有效；</w:t>
            </w:r>
          </w:p>
          <w:p>
            <w:pPr>
              <w:pStyle w:val="26"/>
              <w:numPr>
                <w:ilvl w:val="0"/>
                <w:numId w:val="31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与设备相及的风管、风罩必须严格密闭。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食糖生产</w:t>
            </w:r>
            <w:r>
              <w:fldChar w:fldCharType="begin"/>
            </w:r>
            <w:r>
              <w:instrText xml:space="preserve"> HYPERLINK "http://888.wzw003.com/ksdgs/adm/news_conadd.php?menuid=3&amp;pid=11" \l "_Toc247970729" </w:instrText>
            </w:r>
            <w:r>
              <w:fldChar w:fldCharType="separate"/>
            </w:r>
            <w:r>
              <w:rPr>
                <w:rFonts w:ascii="Times New Roman" w:hAnsi="Times New Roman" w:eastAsia="仿宋_GB2312" w:cs="Times New Roman"/>
                <w:bCs/>
                <w:kern w:val="0"/>
                <w:sz w:val="24"/>
                <w:szCs w:val="24"/>
              </w:rPr>
              <w:t>燃硫炉</w:t>
            </w:r>
            <w:r>
              <w:rPr>
                <w:rFonts w:ascii="Times New Roman" w:hAnsi="Times New Roman" w:eastAsia="仿宋_GB2312" w:cs="Times New Roman"/>
                <w:bCs/>
                <w:kern w:val="0"/>
                <w:sz w:val="24"/>
                <w:szCs w:val="24"/>
              </w:rPr>
              <w:fldChar w:fldCharType="end"/>
            </w:r>
            <w:r>
              <w:rPr>
                <w:rFonts w:ascii="Times New Roman" w:hAnsi="Times New Roman" w:eastAsia="仿宋_GB2312" w:cs="Times New Roman"/>
                <w:sz w:val="24"/>
                <w:szCs w:val="24"/>
              </w:rPr>
              <w:t>、</w:t>
            </w:r>
            <w:r>
              <w:fldChar w:fldCharType="begin"/>
            </w:r>
            <w:r>
              <w:instrText xml:space="preserve"> HYPERLINK "http://888.wzw003.com/ksdgs/adm/news_conadd.php?menuid=3&amp;pid=11" \l "_Toc247970730" </w:instrText>
            </w:r>
            <w:r>
              <w:fldChar w:fldCharType="separate"/>
            </w:r>
            <w:r>
              <w:rPr>
                <w:rFonts w:ascii="Times New Roman" w:hAnsi="Times New Roman" w:eastAsia="仿宋_GB2312" w:cs="Times New Roman"/>
                <w:sz w:val="24"/>
                <w:szCs w:val="24"/>
              </w:rPr>
              <w:t>硫熏中和装置</w:t>
            </w:r>
            <w:r>
              <w:rPr>
                <w:rFonts w:ascii="Times New Roman" w:hAnsi="Times New Roman" w:eastAsia="仿宋_GB2312" w:cs="Times New Roman"/>
                <w:sz w:val="24"/>
                <w:szCs w:val="24"/>
              </w:rPr>
              <w:fldChar w:fldCharType="end"/>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配备防二氧化硫中毒设备设施；</w:t>
            </w:r>
          </w:p>
          <w:p>
            <w:pPr>
              <w:pStyle w:val="26"/>
              <w:numPr>
                <w:ilvl w:val="0"/>
                <w:numId w:val="31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配备防硫磺、糖粉等粉尘伤害的设备设施；</w:t>
            </w:r>
          </w:p>
          <w:p>
            <w:pPr>
              <w:pStyle w:val="26"/>
              <w:numPr>
                <w:ilvl w:val="0"/>
                <w:numId w:val="31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各项电气设备、设施按规定采取防护措施；</w:t>
            </w:r>
          </w:p>
          <w:p>
            <w:pPr>
              <w:pStyle w:val="26"/>
              <w:numPr>
                <w:ilvl w:val="0"/>
                <w:numId w:val="31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采取防高温高压伤害设备设施；</w:t>
            </w:r>
          </w:p>
          <w:p>
            <w:pPr>
              <w:pStyle w:val="26"/>
              <w:numPr>
                <w:ilvl w:val="0"/>
                <w:numId w:val="31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各种安全防护装置安装牢固，间隙符合标准无摩擦；</w:t>
            </w:r>
          </w:p>
          <w:p>
            <w:pPr>
              <w:pStyle w:val="26"/>
              <w:numPr>
                <w:ilvl w:val="0"/>
                <w:numId w:val="31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配备避免汤汁烫伤的设备设施；</w:t>
            </w:r>
          </w:p>
          <w:p>
            <w:pPr>
              <w:pStyle w:val="26"/>
              <w:numPr>
                <w:ilvl w:val="0"/>
                <w:numId w:val="31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安全附件完好，安全阀、压力表、温度表、液位计等齐全、灵敏、可靠、清晰，铅封完好，在检验周期内使用。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味精生产连消塔</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火灾、中毒和窒息、灼烫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密封良好，无腐蚀、泄漏；</w:t>
            </w:r>
          </w:p>
          <w:p>
            <w:pPr>
              <w:pStyle w:val="26"/>
              <w:numPr>
                <w:ilvl w:val="0"/>
                <w:numId w:val="31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管路通畅，无阻塞；</w:t>
            </w:r>
          </w:p>
          <w:p>
            <w:pPr>
              <w:pStyle w:val="26"/>
              <w:numPr>
                <w:ilvl w:val="0"/>
                <w:numId w:val="31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压力表、安全阀等安全附属设施完备；</w:t>
            </w:r>
          </w:p>
          <w:p>
            <w:pPr>
              <w:pStyle w:val="26"/>
              <w:numPr>
                <w:ilvl w:val="0"/>
                <w:numId w:val="31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塔体及管路外保温层完整。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酱类生产燃气炒锅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压力表和安全阀应定期检查，如有故障及时调换和修理，液化气控制阀门开启灵活，安全阀门开启压力符合规范要求；</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设备附近按规定配备消防器材；</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燃气接口严密，阀门不漏气；</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工作场所通风良好；</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停用时关闭角阀和燃气阀门；</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设备必须有安全警示标牌。</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电气控制系统防护良好，操作灵活，接地牢固；</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液化气瓶应放置在通风良好、干燥的地方，严禁烟火，专人管理；</w:t>
            </w:r>
          </w:p>
          <w:p>
            <w:pPr>
              <w:pStyle w:val="26"/>
              <w:numPr>
                <w:ilvl w:val="0"/>
                <w:numId w:val="31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燃气储存点和使用点设置可燃气体检测报警装置。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香辛料生产油炸锅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油炸机应由专业技术人员操作，设备开机及工作时</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至少有两名技术人员在场，并保持在使用过程中人不离机；</w:t>
            </w:r>
          </w:p>
          <w:p>
            <w:pPr>
              <w:pStyle w:val="26"/>
              <w:numPr>
                <w:ilvl w:val="0"/>
                <w:numId w:val="31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油槽内油加至工作位置，设备加热管严禁干烧；</w:t>
            </w:r>
          </w:p>
          <w:p>
            <w:pPr>
              <w:pStyle w:val="26"/>
              <w:numPr>
                <w:ilvl w:val="0"/>
                <w:numId w:val="31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本设备附近按规定配备消防器材；</w:t>
            </w:r>
          </w:p>
          <w:p>
            <w:pPr>
              <w:pStyle w:val="26"/>
              <w:numPr>
                <w:ilvl w:val="0"/>
                <w:numId w:val="31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电控箱及其他有电器元件的部位应保持干燥；</w:t>
            </w:r>
          </w:p>
          <w:p>
            <w:pPr>
              <w:pStyle w:val="26"/>
              <w:numPr>
                <w:ilvl w:val="0"/>
                <w:numId w:val="31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设备加油时应仔细检查，确保将油槽内尤其是放油管内外水放净；</w:t>
            </w:r>
          </w:p>
          <w:p>
            <w:pPr>
              <w:pStyle w:val="26"/>
              <w:numPr>
                <w:ilvl w:val="0"/>
                <w:numId w:val="318"/>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设备的维修保养应由专业人员进行，做好记录。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1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31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31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1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19"/>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07"/>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冷库</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中毒窒息、灼烫（冻伤）</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32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内部距墙壁15厘米处必须安装防撞护栏；</w:t>
            </w:r>
          </w:p>
          <w:p>
            <w:pPr>
              <w:pStyle w:val="26"/>
              <w:numPr>
                <w:ilvl w:val="0"/>
                <w:numId w:val="32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冷间内照明灯具宜选用外壳防护等级为 IP54 级并带有保护罩的防潮型灯具；布置在低温潮湿的穿堂内的配电箱应采用防潮密封型；当不集中设置照明配电箱，各冷间照明控制开关分散布置在冷间外穿堂上时，应选用带指示灯的防潮型开关或气密式开关； </w:t>
            </w:r>
          </w:p>
          <w:p>
            <w:pPr>
              <w:pStyle w:val="26"/>
              <w:numPr>
                <w:ilvl w:val="0"/>
                <w:numId w:val="32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冷库宜采用AC220V/380V TN-S 或TN-C-S 配电系统；冷间照明支路宜采用AC220V单相供电，灯具的金属外壳应接专用保护线；当灯具安装高度等于或小于2.2米时应采用 AC24V 安全电压供电；各照明支路应设置剩余电流保护装置； </w:t>
            </w:r>
          </w:p>
          <w:p>
            <w:pPr>
              <w:pStyle w:val="26"/>
              <w:numPr>
                <w:ilvl w:val="0"/>
                <w:numId w:val="32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冷间内动力、照明、控制线路应根据不同的冷间温度要求，选用适用的耐低温的铜芯电力电缆，并宜明敷； </w:t>
            </w:r>
          </w:p>
          <w:p>
            <w:pPr>
              <w:pStyle w:val="26"/>
              <w:numPr>
                <w:ilvl w:val="0"/>
                <w:numId w:val="32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冷藏间内宜在门口附近设置呼唤按钮，呼唤信号应传送到制冷机房控制室或有人值班的房间，并应在冷藏间外设有呼唤信号显示；设有呼唤信号按钮的冷藏间，应在冷藏间内门的上方设长明灯；设有专用疏散门的冷藏间，应在冷藏间内疏散门的上方设置长明灯。</w:t>
            </w:r>
          </w:p>
          <w:p>
            <w:pPr>
              <w:pStyle w:val="26"/>
              <w:numPr>
                <w:ilvl w:val="0"/>
                <w:numId w:val="32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冷间应设置温度显示和内开门锁机构。</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调味品生产企业3级安全风险点主要包括：斗式提升机、抓斗机、螺旋输送机（绞龙）；蒸煮机；恒温水浴锅；搅拌机；加热、冷却及杀菌设备；上瓶/罐机；洗瓶机、洗箱机；灌装、压盖、包装机；激光标刻设备；喷码机；缝纫机；调味品清洗、消毒设备；仓库；食用盐生产设备（电透析槽、真空蒸发罐、连续式离心分离机、流动床干燥器、风选机、色选机、水泵）；食糖生产设备（液压设备和液压系统、</w:t>
      </w:r>
      <w:r>
        <w:fldChar w:fldCharType="begin"/>
      </w:r>
      <w:r>
        <w:instrText xml:space="preserve"> HYPERLINK "http://888.wzw003.com/ksdgs/adm/news_conadd.php?menuid=3&amp;pid=11" \l "_Toc247970726" </w:instrText>
      </w:r>
      <w:r>
        <w:fldChar w:fldCharType="separate"/>
      </w:r>
      <w:r>
        <w:rPr>
          <w:rFonts w:ascii="Times New Roman" w:hAnsi="Times New Roman" w:eastAsia="仿宋_GB2312" w:cs="Times New Roman"/>
          <w:b/>
          <w:sz w:val="32"/>
          <w:szCs w:val="32"/>
        </w:rPr>
        <w:t>混合汁高频振动筛</w:t>
      </w:r>
      <w:r>
        <w:rPr>
          <w:rFonts w:ascii="Times New Roman" w:hAnsi="Times New Roman" w:eastAsia="仿宋_GB2312" w:cs="Times New Roman"/>
          <w:b/>
          <w:sz w:val="32"/>
          <w:szCs w:val="32"/>
        </w:rPr>
        <w:fldChar w:fldCharType="end"/>
      </w:r>
      <w:r>
        <w:rPr>
          <w:rFonts w:ascii="Times New Roman" w:hAnsi="Times New Roman" w:eastAsia="仿宋_GB2312" w:cs="Times New Roman"/>
          <w:b/>
          <w:sz w:val="32"/>
          <w:szCs w:val="32"/>
        </w:rPr>
        <w:t>、沉降器、物料箱、种子箱等密闭容器）；酱油生产设备（比重去石机、制曲设备、压榨机、洗布机、水泵）；食醋生产设备(制曲设备、旋转式蒸料罐、翻曲机、翻醅机、水泵)；味精生产设备（连续液化喷射器、糖化罐、等电点罐、碳柱、离子交换柱、真空结晶罐、喷雾干燥机、制粒机）；榨油设备（榨油机）；酱类生产设备（打浆机）；腐乳生产设备（恒温培养箱、磨浆机、滤浆机、蒸汽煮浆机）；香辛料生产设备（电烘箱、香辛料混合机、喷雾干燥机、制粒机）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4.5.6造纸企业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造纸企业的浆池、浆塔</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中毒和窒息、火灾、其他爆炸、高处坠落、淹溺</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浆池应设置盖板，临边应设置防护栏；</w:t>
            </w:r>
          </w:p>
          <w:p>
            <w:pPr>
              <w:pStyle w:val="26"/>
              <w:numPr>
                <w:ilvl w:val="0"/>
                <w:numId w:val="3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浆塔楼梯、走台应设置防护栏等防止保山坠落措施；</w:t>
            </w:r>
          </w:p>
          <w:p>
            <w:pPr>
              <w:pStyle w:val="26"/>
              <w:numPr>
                <w:ilvl w:val="0"/>
                <w:numId w:val="3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出入口应规范设置有限空间安全警示标志；</w:t>
            </w:r>
          </w:p>
          <w:p>
            <w:pPr>
              <w:pStyle w:val="26"/>
              <w:numPr>
                <w:ilvl w:val="0"/>
                <w:numId w:val="3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配备必要的应急物资；</w:t>
            </w:r>
          </w:p>
          <w:p>
            <w:pPr>
              <w:pStyle w:val="26"/>
              <w:numPr>
                <w:ilvl w:val="0"/>
                <w:numId w:val="3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2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纸浆制造、造纸企业的液氯储罐、汽化器和用气点</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p>
            <w:pPr>
              <w:rPr>
                <w:rFonts w:ascii="Times New Roman" w:hAnsi="Times New Roman" w:eastAsia="仿宋_GB2312" w:cs="Times New Roman"/>
                <w:sz w:val="24"/>
                <w:szCs w:val="24"/>
              </w:rPr>
            </w:pP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储存区、使用装置处设置固定式有毒气体检测报警装置；</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储存区、使用装置厂房设置事故风机并与检测报警装置联锁；</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设置气体吸收装置；</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储存、使用区域设置应急喷水和洗眼设备；</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禁止使用蒸气或明火直接加热钢瓶汽化液氯；</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在区域工作的作业人员，应携带有毒气体检测报警仪；</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燃气回转石灰窑</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使用煤气（天然气）应压力检测、熄火检测装置和快速切断装置；</w:t>
            </w:r>
          </w:p>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强制助燃风机、空气管道应设置接地装置；</w:t>
            </w:r>
          </w:p>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燃烧装置、阀门组处设置可燃气体检测报警装置；</w:t>
            </w:r>
          </w:p>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规范设置放散管；</w:t>
            </w:r>
          </w:p>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窑运行时两侧设置隔离栏；</w:t>
            </w:r>
          </w:p>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3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3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3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3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3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料仓下料口规范设置安全车挡和格栅；</w:t>
            </w:r>
          </w:p>
          <w:p>
            <w:pPr>
              <w:pStyle w:val="26"/>
              <w:numPr>
                <w:ilvl w:val="0"/>
                <w:numId w:val="3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3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3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3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熬胶罐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胶罐</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设温度计；</w:t>
            </w:r>
          </w:p>
          <w:p>
            <w:pPr>
              <w:pStyle w:val="26"/>
              <w:numPr>
                <w:ilvl w:val="0"/>
                <w:numId w:val="3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罐口</w:t>
            </w:r>
            <w:r>
              <w:rPr>
                <w:rFonts w:hint="eastAsia" w:ascii="Times New Roman" w:hAnsi="Times New Roman" w:eastAsia="仿宋_GB2312" w:cs="Times New Roman"/>
                <w:sz w:val="24"/>
                <w:szCs w:val="24"/>
              </w:rPr>
              <w:t>应设</w:t>
            </w:r>
            <w:r>
              <w:rPr>
                <w:rFonts w:ascii="Times New Roman" w:hAnsi="Times New Roman" w:eastAsia="仿宋_GB2312" w:cs="Times New Roman"/>
                <w:sz w:val="24"/>
                <w:szCs w:val="24"/>
              </w:rPr>
              <w:t>防护盖或栏杆，且安全可靠，设有操作走台，走台牢固可靠，无严重腐蚀现象，维护保养及时；</w:t>
            </w:r>
          </w:p>
          <w:p>
            <w:pPr>
              <w:pStyle w:val="26"/>
              <w:numPr>
                <w:ilvl w:val="0"/>
                <w:numId w:val="3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胶罐</w:t>
            </w:r>
            <w:r>
              <w:rPr>
                <w:rFonts w:hint="eastAsia" w:ascii="Times New Roman" w:hAnsi="Times New Roman" w:eastAsia="仿宋_GB2312" w:cs="Times New Roman"/>
                <w:sz w:val="24"/>
                <w:szCs w:val="24"/>
              </w:rPr>
              <w:t>应设</w:t>
            </w:r>
            <w:r>
              <w:rPr>
                <w:rFonts w:ascii="Times New Roman" w:hAnsi="Times New Roman" w:eastAsia="仿宋_GB2312" w:cs="Times New Roman"/>
                <w:sz w:val="24"/>
                <w:szCs w:val="24"/>
              </w:rPr>
              <w:t>防止烫伤的安全措施，且有效使用；</w:t>
            </w:r>
          </w:p>
          <w:p>
            <w:pPr>
              <w:pStyle w:val="26"/>
              <w:numPr>
                <w:ilvl w:val="0"/>
                <w:numId w:val="3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设有防止胶料溢出的安全设施或安全联锁装置；</w:t>
            </w:r>
          </w:p>
          <w:p>
            <w:pPr>
              <w:pStyle w:val="26"/>
              <w:numPr>
                <w:ilvl w:val="0"/>
                <w:numId w:val="3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走台设有安全防护栏杆，且符合相关规定，梯子设有扶手，梯子、走台的宽度、高度、材质、强度的设置应符合相关规定；</w:t>
            </w:r>
          </w:p>
          <w:p>
            <w:pPr>
              <w:pStyle w:val="26"/>
              <w:numPr>
                <w:ilvl w:val="0"/>
                <w:numId w:val="3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有良好的电气接地保护，电气防护符合相关规定。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施胶机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基础螺栓固定牢固；</w:t>
            </w:r>
          </w:p>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传动防护罩齐全；</w:t>
            </w:r>
          </w:p>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胶液溢流管畅通无外溢现象；</w:t>
            </w:r>
          </w:p>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加压气囊伸缩自如无老化现象；</w:t>
            </w:r>
          </w:p>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操作平台牢固，表面无胶液;施胶机安全防护措施良好；</w:t>
            </w:r>
          </w:p>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设备各部件连接良好，运转正常；</w:t>
            </w:r>
          </w:p>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电气、控制系统防护装置良好；</w:t>
            </w:r>
          </w:p>
          <w:p>
            <w:pPr>
              <w:pStyle w:val="26"/>
              <w:numPr>
                <w:ilvl w:val="0"/>
                <w:numId w:val="3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电路布置合理，操作灵活，接地牢固。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碱回收蒸发工段设备设施</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蒸发器本体与外部连接部位无裂纹、变形、过热泄漏等缺陷；</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应对蒸发器、冷凝器、闪蒸罐、液位罐的液位进行指示、报警及控制；</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蒸发器压力表、安全阀在检验周期内使用；</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蒸发器等设备的疏水器、排污阀及其管道无泄漏，布局合理；</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防爆电气设备选型符合相关要求；</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不凝气系统气水分离器无泄漏，水封口完好,不凝气管线无泄漏；</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不凝气排气设有防爆膜且完好有效，稀、浓黑液贮槽应设有呼吸阀；</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在可能发生化学灼伤的部位，按规定设置事故淋洗装置；</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工业钢平台、防护栏杆、钢梯设置符合规范的要求；</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碱回收燃烧工段设备设施碱炉的设计必须符合相关的规定，按规定合理设置报警和联锁保护、紧急停机装置；</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碱炉三证（产品合格证、使用登记证、年度检验报告）齐全，技术档案完整，碱炉安全附件完好，安全阀、水位表、温度计、压力表等齐全可靠，排污装置无泄漏，安全阀、压力表应在校验周期内使用；</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碱炉在适当的部位应设有防爆装置，碱炉的就地水位计和溜槽采用远程监视系统；</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碱炉的蒸汽对空排放管应设消音装置；</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点火用的液化气或天然气储存符合规范要求，无泄漏，燃气管线设阻火器；</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辅助燃油（以下称重油）罐设置液位计和高液位报警仪，重油罐按规范要求设置泡沫灭火系统；</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重油罐组防火堤设置符合规范要求，罐组内排水应设置水封；</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重油泵接地良好；</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不凝气体风机设计应符合防爆要求，不凝气体管线上设置带防爆膜的事故排放装置，不凝气燃烧系统燃烧器前设置阻火器；</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碱炉机组应配备双电源，若无条件应设置电动给水泵；</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联氨、氢氧化钠及磷酸三钠等化学品储存位置、方式、方法适当，管线等无泄漏；</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在可能发生化学灼伤的部位，按规范设置事故淋洗装置，事故淋洗装置完好；</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炉墙无严重漏风、漏烟现象；溜槽冷却水系统应设有可靠的备用水源或高位水箱，冷却水箱应设有低液位保护措施；</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溜槽冷却水的进、出口水管不应与其他冷却水管串联，且出水管口不允许有阀门；</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溜槽的焊缝应设在与熔融物接触面上；</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溜槽和设备的转动部位应设有安全防护罩；</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斗式提升机、螺旋输送机和刮板输送机等应密封或设置防护栏杆；</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燃烧工段各主要操作楼层应设置直达室外的安全疏散楼梯，炉前操作区出入口不应少于两个；</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厂房顶部，应利用高侧窗，固定百叶板或设避风天窗，排除室内热量和烟尘；引风机应布置在厂房端部的单独房间内，并采取相应的隔声措施；</w:t>
            </w:r>
          </w:p>
          <w:p>
            <w:pPr>
              <w:pStyle w:val="26"/>
              <w:numPr>
                <w:ilvl w:val="0"/>
                <w:numId w:val="3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碱回收车间应设应急疏散报警信号，电除尘系统刮板运输机应设断链零速保护并发出音响信号。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石灰消化系统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消化器入口绿液温度控制系统完好，温度指示、调节灵敏可靠；</w:t>
            </w:r>
          </w:p>
          <w:p>
            <w:pPr>
              <w:pStyle w:val="26"/>
              <w:numPr>
                <w:ilvl w:val="0"/>
                <w:numId w:val="3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消化器绿液流量控制系统完好；消化器石灰流量控制系统完好；</w:t>
            </w:r>
          </w:p>
          <w:p>
            <w:pPr>
              <w:pStyle w:val="26"/>
              <w:numPr>
                <w:ilvl w:val="0"/>
                <w:numId w:val="3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消化器搅拌器运行平稳，无不正常噪声；</w:t>
            </w:r>
          </w:p>
          <w:p>
            <w:pPr>
              <w:pStyle w:val="26"/>
              <w:numPr>
                <w:ilvl w:val="0"/>
                <w:numId w:val="3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石灰硝化提渣机运行平稳，无卡阻现象。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3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3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原木剥皮机、原木喂料机、原木切片机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剥皮机放料斗的门</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设置限位开关和报警</w:t>
            </w:r>
            <w:r>
              <w:rPr>
                <w:rFonts w:hint="eastAsia" w:ascii="Times New Roman" w:hAnsi="Times New Roman" w:eastAsia="仿宋_GB2312" w:cs="Times New Roman"/>
                <w:sz w:val="24"/>
                <w:szCs w:val="24"/>
              </w:rPr>
              <w:t>装置</w:t>
            </w:r>
            <w:r>
              <w:rPr>
                <w:rFonts w:ascii="Times New Roman" w:hAnsi="Times New Roman" w:eastAsia="仿宋_GB2312" w:cs="Times New Roman"/>
                <w:sz w:val="24"/>
                <w:szCs w:val="24"/>
              </w:rPr>
              <w:t>；</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剥皮棍运转正常，即微机显示主电机负载不超过额定负载的50%；周围3米内不能有人作业</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剥皮机设有摄像镜头进行观察，并设有急停开关，急停开关的位置距离最远作业人不准超过5米，必须采用手动复位。</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原木喂料机、原木切片机输送链条机两边应设置挡板，并运行灵活，链条不脱槽，液压系统正常；</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原木喂料机出料皮带回头辊后5米内不准有人；</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原木喂料机设备在运行前，必须拔出定位销；</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切片机的的进料口必须有隔离装置，不得高于0.5米；距离喂料口不得超过1米；</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该设备工作时，3米内不得有人。运行负载不得超过额定负载的60%，微机控制开启或停止；并设有急停开关，急停开关的位置距离最远作业人不准超过5米，必须采用手动复位；</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栏杆和走台必须符合GB4053的规定。</w:t>
            </w:r>
          </w:p>
          <w:p>
            <w:pPr>
              <w:pStyle w:val="26"/>
              <w:numPr>
                <w:ilvl w:val="0"/>
                <w:numId w:val="33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传（转）动部位必须设置符合相关标准的防护罩。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21"/>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压光机、卷纸机、复卷机、切纸机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所有设备底座等固定连接部位牢固、配套，螺栓齐全有效；</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走台和维护平台必须无油污、纸和其它杂物；</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压光机开启和闭合时严禁附近有人；开启设备前所有的防护装置必须到位；</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压光机设备运行时禁止对其进行机械调整，设有声光安全警报系统，开停车发送安全警报，周围设有安全警戒线，警戒线内严禁人员做通道使用；</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压光机升降台有上下限位装置，有急停安全装置，并设有安全锁防止升降链条断裂事故；</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卷纸机安全防护装置齐全可靠，纸轴托臂、支架均有防止纸轴脱落的安全措施；</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卷纸机自动引纸装置安全有效，手动引纸有防止手挤伤的安全措施，卷纸轴两端设有安全防护网；</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卷纸机两侧均设有警戒红线，警戒线内严禁人员做通道使用；</w:t>
            </w:r>
          </w:p>
          <w:p>
            <w:pPr>
              <w:pStyle w:val="26"/>
              <w:numPr>
                <w:ilvl w:val="0"/>
                <w:numId w:val="33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卷纸机各操纵、分切刀、升降、推卸、压紧、离合、制动等装置动作灵敏可靠；</w:t>
            </w:r>
          </w:p>
          <w:p>
            <w:pPr>
              <w:pStyle w:val="26"/>
              <w:numPr>
                <w:ilvl w:val="0"/>
                <w:numId w:val="3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卷纸机润滑良好，滑动轴承温升不超过60℃，滚动轴承温升不超过70℃；</w:t>
            </w:r>
          </w:p>
          <w:p>
            <w:pPr>
              <w:pStyle w:val="26"/>
              <w:numPr>
                <w:ilvl w:val="0"/>
                <w:numId w:val="3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分切机切纸区设有光电、行程等安全联锁装置，设有声光安全警报系统，开停车发送安全警报；</w:t>
            </w:r>
          </w:p>
          <w:p>
            <w:pPr>
              <w:pStyle w:val="26"/>
              <w:numPr>
                <w:ilvl w:val="0"/>
                <w:numId w:val="3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分切机下辊区设有防止纸轴撞人的安全防护措施，小地车设有急停按钮，地面划设安全警示线，退纸架轴头部位设有安全防护网；</w:t>
            </w:r>
          </w:p>
          <w:p>
            <w:pPr>
              <w:pStyle w:val="26"/>
              <w:numPr>
                <w:ilvl w:val="0"/>
                <w:numId w:val="3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横切机接纸升降台有上下限位装置，液压系统无漏油现象，切纸刀、链条传动门设有安全联锁装置；</w:t>
            </w:r>
          </w:p>
          <w:p>
            <w:pPr>
              <w:pStyle w:val="26"/>
              <w:numPr>
                <w:ilvl w:val="0"/>
                <w:numId w:val="3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机械传动部位均设有防护装置，且符合相关要求；</w:t>
            </w:r>
          </w:p>
          <w:p>
            <w:pPr>
              <w:pStyle w:val="26"/>
              <w:numPr>
                <w:ilvl w:val="0"/>
                <w:numId w:val="33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电气有良好的接地保护，电气防护符合相关规定。</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造纸企业3级安全风险点主要包括：切草机、纤维分离器、螺旋挤压疏解机、蒸发风机；刮板输送带、链板输送机；预浸器、蒸球、厚度筛、空气密度分离机、摇摆筛、盘筛；木片仓、木片洗涤器、斜螺旋脱水机；预蒸仓、反应仓；高浓磨浆机、多圆盘浓缩机、螺旋压榨机；喷放仓、挤浆机、跳筛、洗浆机；高浓除渣器、漂白塔；压力筛；碱化塔；水力碎浆机、磨浆机、高位箱、旋翼筛；引纸系统；圆网浓缩机、流浆箱；压榨部、干燥部；小令包装机、热薄膜包装机；提升机等。</w:t>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4.5.7食品加工企业</w:t>
      </w:r>
    </w:p>
    <w:tbl>
      <w:tblPr>
        <w:tblStyle w:val="86"/>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植物油加工系统正己烷等有机溶剂储罐</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储罐设置液位计、呼吸阀；</w:t>
            </w:r>
          </w:p>
          <w:p>
            <w:pPr>
              <w:pStyle w:val="26"/>
              <w:numPr>
                <w:ilvl w:val="0"/>
                <w:numId w:val="3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储罐设置可靠的接地装置和避雷装置；</w:t>
            </w:r>
          </w:p>
          <w:p>
            <w:pPr>
              <w:pStyle w:val="26"/>
              <w:numPr>
                <w:ilvl w:val="0"/>
                <w:numId w:val="3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储罐规范设置防火堤；</w:t>
            </w:r>
          </w:p>
          <w:p>
            <w:pPr>
              <w:pStyle w:val="26"/>
              <w:numPr>
                <w:ilvl w:val="0"/>
                <w:numId w:val="3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保持通风良好，设置可燃气体检测报警装置；</w:t>
            </w:r>
          </w:p>
          <w:p>
            <w:pPr>
              <w:pStyle w:val="26"/>
              <w:numPr>
                <w:ilvl w:val="0"/>
                <w:numId w:val="3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3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淀粉及淀粉制品制造除尘器</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不同类别的可燃性粉尘、可燃性粉尘与可燃气体等易加剧爆炸危险的介质严禁共用一套除尘系统，不同防火分区的除尘系统不应互连互通；</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除尘系统采用正压吹送粉尘时，应规范采取火花探测消除等防范点燃源措施；</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破碎机应设置除铁器等杂物去除装置或火花探测消除等防范点燃源措施；</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3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淀粉及淀粉制品制造玉米浸泡罐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设置检查孔；</w:t>
            </w:r>
          </w:p>
          <w:p>
            <w:pPr>
              <w:pStyle w:val="26"/>
              <w:numPr>
                <w:ilvl w:val="0"/>
                <w:numId w:val="3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设置溢流装置；</w:t>
            </w:r>
          </w:p>
          <w:p>
            <w:pPr>
              <w:pStyle w:val="26"/>
              <w:numPr>
                <w:ilvl w:val="0"/>
                <w:numId w:val="3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3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发酵制品制造的发酵罐、发酵缸</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搅拌叶片和立轴连接牢固，无严重磨损、腐蚀；</w:t>
            </w:r>
          </w:p>
          <w:p>
            <w:pPr>
              <w:pStyle w:val="26"/>
              <w:numPr>
                <w:ilvl w:val="0"/>
                <w:numId w:val="3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清理和更换搅拌叶片要严格按章操作并有监护；</w:t>
            </w:r>
          </w:p>
          <w:p>
            <w:pPr>
              <w:pStyle w:val="26"/>
              <w:numPr>
                <w:ilvl w:val="0"/>
                <w:numId w:val="3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3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制冷站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液氨制冷机房应规范设置氨气浓度检测报警装置；</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液氨制冷机房应安装与检测报警联锁的防爆型事故风机；并在控制柜和机房门口外墙上设置人工启停按钮；</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制冷系统应装设紧急泄氨器；</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液氨储罐有喷淋装置和围堰；</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应急照明应为防爆型；</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水冷压缩机应设置断水保护装置；</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蒸发冷凝器应安装压力表、安全阀和风机故障报警装置；</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氟剂制冷机房应规范设置氧气浓度检测报警装置；</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配备应急器材和消防水枪；</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4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料仓下料口规范设置安全车档和格栅；</w:t>
            </w:r>
          </w:p>
          <w:p>
            <w:pPr>
              <w:pStyle w:val="26"/>
              <w:numPr>
                <w:ilvl w:val="0"/>
                <w:numId w:val="3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3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3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3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4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食品制造企业烘制、油炸、蒸炒等设施设备</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燃气油炸锅液化气管道安装合理，无泄漏现象；</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燃气油炸锅应设置燃气泄漏报警仪；</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燃气油炸锅应设置防爆排风装置；</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燃气油炸锅必须有安全警示标牌，现场应悬挂安全操作规程；</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燃气油炸锅液化气瓶放置稳定可靠，并在通风良好、干燥、且不能有曝晒的地方单独储存，严禁烟火，专人管理；</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电油炸锅应由专业技术人员操作，设备开机及工作时至少有两名技术人员在场，并保持在使用过程中人不离机；</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电油炸锅油槽内油加至工作位置，设备加热管严禁干烧；</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电油炸锅设置油烟浓度报警装置，配备消防器材；</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电油炸锅电控箱及其他有电器元件的部位应保持干燥；</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每次给电油炸锅加油时，应仔细检查，确保将油槽内尤其是放油管内外水放净；</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电油炸锅下方应设有沸油回收装置；</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电油炸锅的维修保养应由专业人员进行，做好记录；</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蒸炒锅搅拌系统运转正常，变速器基本无漏油现象；</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蒸炒锅内外无严重磨损，油气管道压力符合要求</w:t>
            </w:r>
          </w:p>
          <w:p>
            <w:pPr>
              <w:pStyle w:val="26"/>
              <w:numPr>
                <w:ilvl w:val="0"/>
                <w:numId w:val="34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蒸炒锅设备保温良好，锅低密封处及出口不渗漏料渣。</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食品加工企业的食</w:t>
            </w:r>
            <w:r>
              <w:rPr>
                <w:rFonts w:hint="eastAsia" w:ascii="Times New Roman" w:hAnsi="Times New Roman" w:eastAsia="仿宋_GB2312" w:cs="Times New Roman"/>
                <w:sz w:val="24"/>
                <w:szCs w:val="24"/>
              </w:rPr>
              <w:t>用</w:t>
            </w:r>
            <w:r>
              <w:rPr>
                <w:rFonts w:ascii="Times New Roman" w:hAnsi="Times New Roman" w:eastAsia="仿宋_GB2312" w:cs="Times New Roman"/>
                <w:sz w:val="24"/>
                <w:szCs w:val="24"/>
              </w:rPr>
              <w:t>油库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设置温湿度计；</w:t>
            </w:r>
          </w:p>
          <w:p>
            <w:pPr>
              <w:pStyle w:val="26"/>
              <w:numPr>
                <w:ilvl w:val="0"/>
                <w:numId w:val="3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设置防止油品流散的安全设施；</w:t>
            </w:r>
          </w:p>
          <w:p>
            <w:pPr>
              <w:pStyle w:val="26"/>
              <w:numPr>
                <w:ilvl w:val="0"/>
                <w:numId w:val="3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设置火灾自动报警装置；</w:t>
            </w:r>
          </w:p>
          <w:p>
            <w:pPr>
              <w:pStyle w:val="26"/>
              <w:numPr>
                <w:ilvl w:val="0"/>
                <w:numId w:val="34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按GB50140配备消防器材。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设置固定式可燃气体（或氢气）检测报警装置和事故风机；</w:t>
            </w:r>
          </w:p>
          <w:p>
            <w:pPr>
              <w:pStyle w:val="26"/>
              <w:numPr>
                <w:ilvl w:val="0"/>
                <w:numId w:val="3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3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3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3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4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按GB14784要求头轮、尾轮、拉紧装置、托辊等处规范设置隔离防护措施；</w:t>
            </w:r>
          </w:p>
          <w:p>
            <w:pPr>
              <w:pStyle w:val="26"/>
              <w:numPr>
                <w:ilvl w:val="0"/>
                <w:numId w:val="3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3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4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漂烫锅、配汤锅、杀菌锅、分汽包</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按照《特种设备安全监察条例》的规定登记、定期检验合格；</w:t>
            </w:r>
          </w:p>
          <w:p>
            <w:pPr>
              <w:pStyle w:val="26"/>
              <w:numPr>
                <w:ilvl w:val="0"/>
                <w:numId w:val="34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安装安全阀、压力表，并定期校验合格。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食品发酵的粉设备（旋流分离器、浸泡罐、脱胚磨、针磨、分离机、浓缩机）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十二级旋流分离器和其他设备都应符合食品设备通用要求。</w:t>
            </w:r>
          </w:p>
          <w:p>
            <w:pPr>
              <w:pStyle w:val="26"/>
              <w:numPr>
                <w:ilvl w:val="0"/>
                <w:numId w:val="3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浸泡罐的检查孔、溢流装置齐全。</w:t>
            </w:r>
          </w:p>
          <w:p>
            <w:pPr>
              <w:pStyle w:val="26"/>
              <w:numPr>
                <w:ilvl w:val="0"/>
                <w:numId w:val="3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脱胚磨、针磨、分离机、浓缩机的三角带松紧度合适，不过松或过紧。</w:t>
            </w:r>
          </w:p>
          <w:p>
            <w:pPr>
              <w:pStyle w:val="26"/>
              <w:numPr>
                <w:ilvl w:val="0"/>
                <w:numId w:val="34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符合防爆要求。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35"/>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冷库</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中毒和窒息、灼烫（冻伤）</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3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内部照明必须有防爆防护系统；</w:t>
            </w:r>
          </w:p>
          <w:p>
            <w:pPr>
              <w:pStyle w:val="26"/>
              <w:numPr>
                <w:ilvl w:val="0"/>
                <w:numId w:val="3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必须有完整的温控与湿度控制系统，并能够保证温度湿度的实际数值相对于设定的偏差不大于3%；</w:t>
            </w:r>
          </w:p>
          <w:p>
            <w:pPr>
              <w:pStyle w:val="26"/>
              <w:numPr>
                <w:ilvl w:val="0"/>
                <w:numId w:val="3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内部距墙壁15cm处必须安装防撞护栏；</w:t>
            </w:r>
          </w:p>
          <w:p>
            <w:pPr>
              <w:pStyle w:val="26"/>
              <w:numPr>
                <w:ilvl w:val="0"/>
                <w:numId w:val="3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所使用的保温材料必须符合国家对于保温设备的相关要求；</w:t>
            </w:r>
          </w:p>
          <w:p>
            <w:pPr>
              <w:pStyle w:val="26"/>
              <w:numPr>
                <w:ilvl w:val="0"/>
                <w:numId w:val="3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内部墙壁设计必须使用不易产生脱落物质且能够防潮抗热的材料，必须对温度与湿度有监控系统且有相关记录管理；</w:t>
            </w:r>
          </w:p>
          <w:p>
            <w:pPr>
              <w:pStyle w:val="26"/>
              <w:numPr>
                <w:ilvl w:val="0"/>
                <w:numId w:val="34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冷库门应有从内部开启的装置。</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食品加工企业3级安全风险点主要包括：食品加工的真空滚揉机、搅拌机、制皮机、脱毛机、离心机、纯净水设施、切丁机；罐头生产的切断机、开瓣机、罐头封口机、毛刷机、淋碱机、风淋室、预煮锅与预冷锅、洗料、上料机、传送带、洗罐机、打浆机、分级机、洗果机等；食品发酵的糖化设备（糖化罐、层流罐、调浆罐）、精制设备（流化床、炭柱、中和桶、脱色桶、结晶罐、助晶槽、分目筛）；食用油加工的斗式提升机、刮板机、灌油压盖机、榨油机、烘干机、筛选机；成品仓库；臭氧发生器等。</w:t>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4.5.8饮料生产企业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4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液氨制冷站</w:t>
            </w:r>
          </w:p>
        </w:tc>
        <w:tc>
          <w:tcPr>
            <w:tcW w:w="1864"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液氨制冷机房应规范设置氨气浓度检测报警装置；</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液氨制冷机房应安装置与检测报警联锁的防爆型事故风机；并在控制柜和机房门口外墙上设置人工启停按钮；</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制冷系统应装设紧急泄氨器；</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液氨储罐有喷淋装置和围堰；</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应急照明应为防爆型；</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水冷压缩机应设置断水保护装置；</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蒸发冷凝器应安装压力表、安全阀和风机故障报警装置；</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氟剂制冷机房应规范设置氟气浓度检测报警装置；</w:t>
            </w:r>
          </w:p>
          <w:p>
            <w:pPr>
              <w:pStyle w:val="26"/>
              <w:numPr>
                <w:ilvl w:val="0"/>
                <w:numId w:val="350"/>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配备应急器材和消防水枪；</w:t>
            </w:r>
          </w:p>
          <w:p>
            <w:pPr>
              <w:pStyle w:val="26"/>
              <w:numPr>
                <w:ilvl w:val="0"/>
                <w:numId w:val="35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5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51"/>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49"/>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5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35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35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35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35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352"/>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49"/>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5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料仓下料口规范设置安全车档和格栅；</w:t>
            </w:r>
          </w:p>
          <w:p>
            <w:pPr>
              <w:pStyle w:val="26"/>
              <w:numPr>
                <w:ilvl w:val="0"/>
                <w:numId w:val="35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w:t>
            </w:r>
            <w:r>
              <w:rPr>
                <w:rFonts w:hint="eastAsia" w:ascii="Times New Roman" w:hAnsi="Times New Roman" w:eastAsia="仿宋_GB2312" w:cs="Times New Roman"/>
                <w:sz w:val="24"/>
                <w:szCs w:val="24"/>
              </w:rPr>
              <w:t>预埋件</w:t>
            </w:r>
            <w:r>
              <w:rPr>
                <w:rFonts w:ascii="Times New Roman" w:hAnsi="Times New Roman" w:eastAsia="仿宋_GB2312" w:cs="Times New Roman"/>
                <w:sz w:val="24"/>
                <w:szCs w:val="24"/>
              </w:rPr>
              <w:t>严禁与钢筋连接；筒 （仓）库的接地装置、避雷引下线、均压带、避雷针（网）应相互连通形成通路；</w:t>
            </w:r>
          </w:p>
          <w:p>
            <w:pPr>
              <w:pStyle w:val="26"/>
              <w:numPr>
                <w:ilvl w:val="0"/>
                <w:numId w:val="35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35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35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5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53"/>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49"/>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焙烤设备</w:t>
            </w:r>
          </w:p>
        </w:tc>
        <w:tc>
          <w:tcPr>
            <w:tcW w:w="186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火灾、灼烫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5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应有完整的温度控制系统，并可以分别控制上、下火的温度；</w:t>
            </w:r>
          </w:p>
          <w:p>
            <w:pPr>
              <w:pStyle w:val="26"/>
              <w:numPr>
                <w:ilvl w:val="0"/>
                <w:numId w:val="35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升温报警设备灵敏度符合要求，保持状态良好；</w:t>
            </w:r>
          </w:p>
          <w:p>
            <w:pPr>
              <w:pStyle w:val="26"/>
              <w:numPr>
                <w:ilvl w:val="0"/>
                <w:numId w:val="35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焙烤设备可随时调整焙烤时间；</w:t>
            </w:r>
          </w:p>
          <w:p>
            <w:pPr>
              <w:pStyle w:val="26"/>
              <w:numPr>
                <w:ilvl w:val="0"/>
                <w:numId w:val="35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烤炉的隔热设施应性能良好；</w:t>
            </w:r>
          </w:p>
          <w:p>
            <w:pPr>
              <w:pStyle w:val="26"/>
              <w:numPr>
                <w:ilvl w:val="0"/>
                <w:numId w:val="35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设置必要的安全巡视、检查和检修通道；</w:t>
            </w:r>
          </w:p>
          <w:p>
            <w:pPr>
              <w:pStyle w:val="26"/>
              <w:numPr>
                <w:ilvl w:val="0"/>
                <w:numId w:val="354"/>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压力系统及压力管道应符合国家规范。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49"/>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储罐、贮糖浆设备</w:t>
            </w:r>
          </w:p>
        </w:tc>
        <w:tc>
          <w:tcPr>
            <w:tcW w:w="186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火灾、高处坠落、淹溺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5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开在贮糖罐上部的人孔应设有高出上表面不小于10毫米的凸缘；</w:t>
            </w:r>
          </w:p>
          <w:p>
            <w:pPr>
              <w:pStyle w:val="26"/>
              <w:numPr>
                <w:ilvl w:val="0"/>
                <w:numId w:val="35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开在侧部和底部的人孔内表面应平滑；人孔盖应具有足够的强度；</w:t>
            </w:r>
          </w:p>
          <w:p>
            <w:pPr>
              <w:pStyle w:val="26"/>
              <w:numPr>
                <w:ilvl w:val="0"/>
                <w:numId w:val="35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向外开的人孔盖应有保证在贮罐装满时不至因内压力而打开的装置；</w:t>
            </w:r>
          </w:p>
          <w:p>
            <w:pPr>
              <w:pStyle w:val="26"/>
              <w:numPr>
                <w:ilvl w:val="0"/>
                <w:numId w:val="355"/>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贮糖罐应设有液位限位系统，防止罐内物料外溢。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49"/>
              </w:numPr>
              <w:ind w:firstLineChars="0"/>
              <w:jc w:val="center"/>
              <w:rPr>
                <w:rFonts w:ascii="Times New Roman" w:hAnsi="Times New Roman" w:eastAsia="仿宋_GB2312" w:cs="Times New Roman"/>
                <w:sz w:val="24"/>
                <w:szCs w:val="24"/>
              </w:rPr>
            </w:pPr>
          </w:p>
        </w:tc>
        <w:tc>
          <w:tcPr>
            <w:tcW w:w="215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5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35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35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35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35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56"/>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49"/>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35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35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沿皮带方向设置手动复位的拉绳开关或急停开关；</w:t>
            </w:r>
          </w:p>
          <w:p>
            <w:pPr>
              <w:pStyle w:val="26"/>
              <w:numPr>
                <w:ilvl w:val="0"/>
                <w:numId w:val="35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5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57"/>
              </w:numPr>
              <w:ind w:firstLineChars="0"/>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饮料生产企业3级安全风险点主要包括：均质及高压设备；干燥设备；果蔬压榨机、分离机 过滤机；PET 瓶吹瓶机；温瓶机；洗瓶机；灌装、压盖、包装机、溶糖及配料设备；易拉罐液位检测机；输送机械；卸罐机、码垛机、装箱机、贴标机；喷码机；膜缩包机；仓库等。</w:t>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4.5.9饲料加工企业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破碎机</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火灾、其他爆炸、机械伤害、触电</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设置除铁质杂物装置；</w:t>
            </w:r>
          </w:p>
          <w:p>
            <w:pPr>
              <w:pStyle w:val="26"/>
              <w:numPr>
                <w:ilvl w:val="0"/>
                <w:numId w:val="3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电气设置应满足防尘、防爆要求；</w:t>
            </w:r>
          </w:p>
          <w:p>
            <w:pPr>
              <w:pStyle w:val="26"/>
              <w:numPr>
                <w:ilvl w:val="0"/>
                <w:numId w:val="3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w:t>
            </w:r>
            <w:r>
              <w:rPr>
                <w:rFonts w:hint="eastAsia" w:ascii="Times New Roman" w:hAnsi="Times New Roman" w:eastAsia="仿宋_GB2312" w:cs="Times New Roman"/>
                <w:sz w:val="24"/>
                <w:szCs w:val="24"/>
              </w:rPr>
              <w:t>清理</w:t>
            </w:r>
            <w:r>
              <w:rPr>
                <w:rFonts w:ascii="Times New Roman" w:hAnsi="Times New Roman" w:eastAsia="仿宋_GB2312" w:cs="Times New Roman"/>
                <w:sz w:val="24"/>
                <w:szCs w:val="24"/>
              </w:rPr>
              <w:t>设备设施的积尘；</w:t>
            </w:r>
          </w:p>
          <w:p>
            <w:pPr>
              <w:pStyle w:val="26"/>
              <w:numPr>
                <w:ilvl w:val="0"/>
                <w:numId w:val="3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定期清理除铁质杂物装置上的粘结物。</w:t>
            </w:r>
          </w:p>
          <w:p>
            <w:pPr>
              <w:pStyle w:val="26"/>
              <w:numPr>
                <w:ilvl w:val="0"/>
                <w:numId w:val="3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5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分配器</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电机应满足防尘、防爆要求；</w:t>
            </w:r>
          </w:p>
          <w:p>
            <w:pPr>
              <w:pStyle w:val="26"/>
              <w:numPr>
                <w:ilvl w:val="0"/>
                <w:numId w:val="3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软连接管不得破损；</w:t>
            </w:r>
          </w:p>
          <w:p>
            <w:pPr>
              <w:pStyle w:val="26"/>
              <w:numPr>
                <w:ilvl w:val="0"/>
                <w:numId w:val="3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应可靠接地，连接处有绝缘时应做跨接，形成良好通路，不得中断；</w:t>
            </w:r>
          </w:p>
          <w:p>
            <w:pPr>
              <w:pStyle w:val="26"/>
              <w:numPr>
                <w:ilvl w:val="0"/>
                <w:numId w:val="3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w:t>
            </w:r>
            <w:r>
              <w:rPr>
                <w:rFonts w:hint="eastAsia" w:ascii="Times New Roman" w:hAnsi="Times New Roman" w:eastAsia="仿宋_GB2312" w:cs="Times New Roman"/>
                <w:sz w:val="24"/>
                <w:szCs w:val="24"/>
              </w:rPr>
              <w:t>清</w:t>
            </w:r>
            <w:r>
              <w:rPr>
                <w:rFonts w:ascii="Times New Roman" w:hAnsi="Times New Roman" w:eastAsia="仿宋_GB2312" w:cs="Times New Roman"/>
                <w:sz w:val="24"/>
                <w:szCs w:val="24"/>
              </w:rPr>
              <w:t>理设备设施的积尘；</w:t>
            </w:r>
          </w:p>
          <w:p>
            <w:pPr>
              <w:pStyle w:val="26"/>
              <w:numPr>
                <w:ilvl w:val="0"/>
                <w:numId w:val="36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定期清理除铁质杂物装置上的粘结物。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振动筛</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电机应满足防尘、防爆要求；</w:t>
            </w:r>
          </w:p>
          <w:p>
            <w:pPr>
              <w:pStyle w:val="26"/>
              <w:numPr>
                <w:ilvl w:val="0"/>
                <w:numId w:val="3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皮带传动部位应采取防护隔离措施；</w:t>
            </w:r>
          </w:p>
          <w:p>
            <w:pPr>
              <w:pStyle w:val="26"/>
              <w:numPr>
                <w:ilvl w:val="0"/>
                <w:numId w:val="3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应可靠接地，连接处有绝缘时应做跨接，形成良好通路，不得中断；</w:t>
            </w:r>
          </w:p>
          <w:p>
            <w:pPr>
              <w:pStyle w:val="26"/>
              <w:numPr>
                <w:ilvl w:val="0"/>
                <w:numId w:val="36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应规范制定粉尘清理制度，并及时规范清理设备设施的积尘。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斗式提升机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斗式提升机应设打滑、跑偏等安全保护装置；</w:t>
            </w:r>
          </w:p>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斗式提升机机筒的外壳、机头、机座和连接管应密封、不漏尘，而且密封件应采用阻燃材料制作；畚斗宜工程塑料制作；</w:t>
            </w:r>
          </w:p>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斗式提升机机筒的外壳、机头、机座等均应可靠接地，连接处有绝缘时应做跨接，形成良好通路，不得中断；</w:t>
            </w:r>
          </w:p>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斗式提升机应</w:t>
            </w:r>
            <w:r>
              <w:rPr>
                <w:rFonts w:hint="eastAsia" w:ascii="Times New Roman" w:hAnsi="Times New Roman" w:eastAsia="仿宋_GB2312" w:cs="Times New Roman"/>
                <w:sz w:val="24"/>
                <w:szCs w:val="24"/>
              </w:rPr>
              <w:t>设置</w:t>
            </w:r>
            <w:r>
              <w:rPr>
                <w:rFonts w:ascii="Times New Roman" w:hAnsi="Times New Roman" w:eastAsia="仿宋_GB2312" w:cs="Times New Roman"/>
                <w:sz w:val="24"/>
                <w:szCs w:val="24"/>
              </w:rPr>
              <w:t>泄爆口，泄爆口位置、泄爆面积应符合GB/T15605的相关规定，机头顶部泄爆口宜引出室外，导管长度不应超过3m；</w:t>
            </w:r>
          </w:p>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提升机机头处应有检查口；</w:t>
            </w:r>
          </w:p>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提升机驱动轮应覆胶，畚斗带应具有阴燃、防静电性能；</w:t>
            </w:r>
          </w:p>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机座处应设清料口，并可用于检查机座、底轮、畚斗和畚斗带；</w:t>
            </w:r>
          </w:p>
          <w:p>
            <w:pPr>
              <w:pStyle w:val="26"/>
              <w:numPr>
                <w:ilvl w:val="0"/>
                <w:numId w:val="36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提升机出口处应设吸风口并接除尘系统。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卸粮坑</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卸粮坑处应设置除尘器；</w:t>
            </w:r>
          </w:p>
          <w:p>
            <w:pPr>
              <w:pStyle w:val="26"/>
              <w:numPr>
                <w:ilvl w:val="0"/>
                <w:numId w:val="3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投料时作业人员不应站在投料口上；</w:t>
            </w:r>
          </w:p>
          <w:p>
            <w:pPr>
              <w:pStyle w:val="26"/>
              <w:numPr>
                <w:ilvl w:val="0"/>
                <w:numId w:val="36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除尘器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不同类别的可燃性粉尘、可燃性粉尘与可燃气体等易加剧爆炸危险的介质严禁共用一套除尘系统，不同防火分区的除尘系统不应互连互通；</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除尘系统采用正压吹送粉尘时，应规范采取火花探测消除等防范点燃源措施；</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破碎机应设置除铁器等杂物去除装置或火花探测消除等防范点燃源措施；</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6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3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3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3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3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36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火灾、中毒和窒息、其他爆炸、高处坠落、坍塌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料仓下料口规范设置安全车档和格栅；</w:t>
            </w:r>
          </w:p>
          <w:p>
            <w:pPr>
              <w:pStyle w:val="26"/>
              <w:numPr>
                <w:ilvl w:val="0"/>
                <w:numId w:val="3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3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3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3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6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豆油、动物油储罐（区）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储罐（区）设置防火堤，采取防止油品流散措施；</w:t>
            </w:r>
          </w:p>
          <w:p>
            <w:pPr>
              <w:pStyle w:val="26"/>
              <w:numPr>
                <w:ilvl w:val="0"/>
                <w:numId w:val="3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储罐设置液位计；</w:t>
            </w:r>
          </w:p>
          <w:p>
            <w:pPr>
              <w:pStyle w:val="26"/>
              <w:numPr>
                <w:ilvl w:val="0"/>
                <w:numId w:val="3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3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6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混合机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电机应满足防尘、防爆要求；</w:t>
            </w:r>
          </w:p>
          <w:p>
            <w:pPr>
              <w:pStyle w:val="26"/>
              <w:numPr>
                <w:ilvl w:val="0"/>
                <w:numId w:val="3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传动部位应采取防护隔离措施；</w:t>
            </w:r>
          </w:p>
          <w:p>
            <w:pPr>
              <w:pStyle w:val="26"/>
              <w:numPr>
                <w:ilvl w:val="0"/>
                <w:numId w:val="3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应可靠接地，连接处有绝缘时应做跨接，形成良好通路，不得中断；</w:t>
            </w:r>
          </w:p>
          <w:p>
            <w:pPr>
              <w:pStyle w:val="26"/>
              <w:numPr>
                <w:ilvl w:val="0"/>
                <w:numId w:val="36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应规范制定粉尘清理制度，并及时规范清理设备设施的积尘。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造粒机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电机应满足防尘、防爆要求；</w:t>
            </w:r>
          </w:p>
          <w:p>
            <w:pPr>
              <w:pStyle w:val="26"/>
              <w:numPr>
                <w:ilvl w:val="0"/>
                <w:numId w:val="3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传动部位应采取防护隔离措施；</w:t>
            </w:r>
          </w:p>
          <w:p>
            <w:pPr>
              <w:pStyle w:val="26"/>
              <w:numPr>
                <w:ilvl w:val="0"/>
                <w:numId w:val="3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应可靠接地，连接处有绝缘时应做跨接，形成良好通路，不得中断；</w:t>
            </w:r>
          </w:p>
          <w:p>
            <w:pPr>
              <w:pStyle w:val="26"/>
              <w:numPr>
                <w:ilvl w:val="0"/>
                <w:numId w:val="3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蒸汽管道应采取隔热保护措施；</w:t>
            </w:r>
          </w:p>
          <w:p>
            <w:pPr>
              <w:pStyle w:val="26"/>
              <w:numPr>
                <w:ilvl w:val="0"/>
                <w:numId w:val="36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应规范制定粉尘清理制度，并及时规范清理设备设施的积尘。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烘干机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电机应满足防尘、防爆要求；</w:t>
            </w:r>
          </w:p>
          <w:p>
            <w:pPr>
              <w:pStyle w:val="26"/>
              <w:numPr>
                <w:ilvl w:val="0"/>
                <w:numId w:val="3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传动部位应采取防护隔离措施；</w:t>
            </w:r>
          </w:p>
          <w:p>
            <w:pPr>
              <w:pStyle w:val="26"/>
              <w:numPr>
                <w:ilvl w:val="0"/>
                <w:numId w:val="3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应可靠接地，连接处有绝缘时应做跨接，形成良好通路，不得中断；</w:t>
            </w:r>
          </w:p>
          <w:p>
            <w:pPr>
              <w:pStyle w:val="26"/>
              <w:numPr>
                <w:ilvl w:val="0"/>
                <w:numId w:val="37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应规范制定粉尘清理制度，并及时规范清理设备设施的积尘。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包装间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电机应满足防尘、防爆要求；</w:t>
            </w:r>
          </w:p>
          <w:p>
            <w:pPr>
              <w:pStyle w:val="26"/>
              <w:numPr>
                <w:ilvl w:val="0"/>
                <w:numId w:val="3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皮带传动部位应采取防护隔离措施；</w:t>
            </w:r>
          </w:p>
          <w:p>
            <w:pPr>
              <w:pStyle w:val="26"/>
              <w:numPr>
                <w:ilvl w:val="0"/>
                <w:numId w:val="37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应规范制定粉尘清理制度，并及时规范清理设备设施的积尘。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风机房</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电机应满足防尘、防爆要求；</w:t>
            </w:r>
          </w:p>
          <w:p>
            <w:pPr>
              <w:pStyle w:val="26"/>
              <w:numPr>
                <w:ilvl w:val="0"/>
                <w:numId w:val="3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皮带传动部位应采取防护隔离措施；</w:t>
            </w:r>
          </w:p>
          <w:p>
            <w:pPr>
              <w:pStyle w:val="26"/>
              <w:numPr>
                <w:ilvl w:val="0"/>
                <w:numId w:val="3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应可靠接地，连接处有绝缘时应做跨接，形成良好通路，不得中断；</w:t>
            </w:r>
          </w:p>
          <w:p>
            <w:pPr>
              <w:pStyle w:val="26"/>
              <w:numPr>
                <w:ilvl w:val="0"/>
                <w:numId w:val="37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应规范制定粉尘清理制度，并及时规范清理设备设施的积尘。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58"/>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3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3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沿皮带全长设置手动复位的拉绳开关或急停开关；</w:t>
            </w:r>
          </w:p>
          <w:p>
            <w:pPr>
              <w:pStyle w:val="26"/>
              <w:numPr>
                <w:ilvl w:val="0"/>
                <w:numId w:val="3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7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bl>
    <w:p>
      <w:pPr>
        <w:ind w:firstLine="640"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饲料加工企业3级安全风险点主要包括：螺旋输送机；刮板输送机；配料库；副料库；成品库等。</w:t>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4.5.10木材加工（人造板、家具、地板）企业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砂光、抛光、磨光等产尘点</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规范采取杂物去除或火花探测消除等防范点燃源措施；</w:t>
            </w:r>
          </w:p>
          <w:p>
            <w:pPr>
              <w:pStyle w:val="26"/>
              <w:numPr>
                <w:ilvl w:val="0"/>
                <w:numId w:val="37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与板材砂光机相连接时，板材砂光机应安装火花探测和自动报警装置；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除尘器</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不同类别的可燃性粉尘、可燃性粉尘与可燃气体等易加剧爆炸危险的介质严禁共用一套除尘系统，不同防火分区的除尘系统不应互连互通；</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除尘系统采用正压吹送粉尘时，应规范采取火花探测消除等防范点燃源措施；</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破碎机应设置除铁器等杂物去除装置或火花探测消除等防范点燃源措施；</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7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喷涂车间（室）、调漆间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规范设置可燃气体浓度监测报警装置；</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设置通风净化设备，并保持有效；</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大型喷漆室除应配置排风系统外，还应配置送风系统，冬季送风温度不应低于 12℃；</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喷漆区内不应设置电气设备，如工艺有特殊要求时，应符合 G B 50058规定；</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喷漆区及附近的电气设施应符合GB14444的要求；</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禁止烟火，配备灭火器材；</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在连续喷漆作业中的大型喷漆室、流平室、供调漆室应设自动灭火系统；</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喷漆设备、烘干设备和通风系统应有连锁装置；</w:t>
            </w:r>
          </w:p>
          <w:p>
            <w:pPr>
              <w:pStyle w:val="26"/>
              <w:numPr>
                <w:ilvl w:val="0"/>
                <w:numId w:val="37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每班应清理一次沉积漆垢、积留粉尘；</w:t>
            </w:r>
          </w:p>
          <w:p>
            <w:pPr>
              <w:pStyle w:val="26"/>
              <w:numPr>
                <w:ilvl w:val="0"/>
                <w:numId w:val="3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7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油漆（含稀释剂、固化剂）、油性油墨储存间及其包装物暂存间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规范设置可燃气体浓度监测报警装置；</w:t>
            </w:r>
          </w:p>
          <w:p>
            <w:pPr>
              <w:pStyle w:val="26"/>
              <w:numPr>
                <w:ilvl w:val="0"/>
                <w:numId w:val="3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应配置排风系统</w:t>
            </w:r>
          </w:p>
          <w:p>
            <w:pPr>
              <w:pStyle w:val="26"/>
              <w:numPr>
                <w:ilvl w:val="0"/>
                <w:numId w:val="3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区内不应设置电气设备；</w:t>
            </w:r>
          </w:p>
          <w:p>
            <w:pPr>
              <w:pStyle w:val="26"/>
              <w:numPr>
                <w:ilvl w:val="0"/>
                <w:numId w:val="3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喷漆区及附近的电气设施应符合GB14444的要求；</w:t>
            </w:r>
          </w:p>
          <w:p>
            <w:pPr>
              <w:pStyle w:val="26"/>
              <w:numPr>
                <w:ilvl w:val="0"/>
                <w:numId w:val="3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禁止烟火，配备灭火器材；</w:t>
            </w:r>
          </w:p>
          <w:p>
            <w:pPr>
              <w:pStyle w:val="26"/>
              <w:numPr>
                <w:ilvl w:val="0"/>
                <w:numId w:val="3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7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甲醛储罐、氨水储罐</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储罐应设置液位计；</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储罐应设置可靠接地装置；</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储罐应设置围堰；</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泵不应设置在围堰内；</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设置喷淋装置；</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设置有毒气体检测装置报警装置；</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设置人体和车辆静电消除装置；</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设置应急喷淋和洗眼设备；</w:t>
            </w:r>
          </w:p>
          <w:p>
            <w:pPr>
              <w:pStyle w:val="26"/>
              <w:numPr>
                <w:ilvl w:val="0"/>
                <w:numId w:val="38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8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制胶车间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设置有毒气体检测装置报警装置；</w:t>
            </w:r>
          </w:p>
          <w:p>
            <w:pPr>
              <w:pStyle w:val="26"/>
              <w:numPr>
                <w:ilvl w:val="0"/>
                <w:numId w:val="3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w:t>
            </w:r>
          </w:p>
          <w:p>
            <w:pPr>
              <w:pStyle w:val="26"/>
              <w:numPr>
                <w:ilvl w:val="0"/>
                <w:numId w:val="3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设置应急喷淋和洗眼设备；</w:t>
            </w:r>
          </w:p>
          <w:p>
            <w:pPr>
              <w:pStyle w:val="26"/>
              <w:numPr>
                <w:ilvl w:val="0"/>
                <w:numId w:val="3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电气设备应满足防爆要求；</w:t>
            </w:r>
          </w:p>
          <w:p>
            <w:pPr>
              <w:pStyle w:val="26"/>
              <w:numPr>
                <w:ilvl w:val="0"/>
                <w:numId w:val="3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8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3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3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3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3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3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38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筒（料）仓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火灾、其他爆炸、中毒和窒息、高处坠落、坍塌</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料仓下料口规范设置安全车档和格栅；</w:t>
            </w:r>
          </w:p>
          <w:p>
            <w:pPr>
              <w:pStyle w:val="26"/>
              <w:numPr>
                <w:ilvl w:val="0"/>
                <w:numId w:val="3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筒（仓）库应专设外部避雷引下线，预埋件严禁与钢筋连接；筒 （仓）库的接地装置、避雷引下线、均压带、避雷针（网）应相互连通形成通路；</w:t>
            </w:r>
          </w:p>
          <w:p>
            <w:pPr>
              <w:pStyle w:val="26"/>
              <w:numPr>
                <w:ilvl w:val="0"/>
                <w:numId w:val="3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筒（仓）库外钢梯、钢平台、防护栏等应符合GB4053的规定；</w:t>
            </w:r>
          </w:p>
          <w:p>
            <w:pPr>
              <w:pStyle w:val="26"/>
              <w:numPr>
                <w:ilvl w:val="0"/>
                <w:numId w:val="3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各种机械传动装置的外露部分必须安装防护罩或防护网等安全防护装置；</w:t>
            </w:r>
          </w:p>
          <w:p>
            <w:pPr>
              <w:pStyle w:val="26"/>
              <w:numPr>
                <w:ilvl w:val="0"/>
                <w:numId w:val="3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8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加强有限空间作业、高处作业等危险作业安全管理。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粉碎设备</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粉碎设备应设置在室外；</w:t>
            </w:r>
          </w:p>
          <w:p>
            <w:pPr>
              <w:pStyle w:val="26"/>
              <w:numPr>
                <w:ilvl w:val="0"/>
                <w:numId w:val="3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当设置于一个独立建筑物内或当建筑物与毗邻的隔间采用了 GB50016 中的防爆设计时，允许设置于室内；</w:t>
            </w:r>
          </w:p>
          <w:p>
            <w:pPr>
              <w:pStyle w:val="26"/>
              <w:numPr>
                <w:ilvl w:val="0"/>
                <w:numId w:val="3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粉碎设备的外壳应采用焊接钢或其他非燃烧材料制造，其强度应足够承受所加工的材料可能产生的最大爆炸压力；</w:t>
            </w:r>
          </w:p>
          <w:p>
            <w:pPr>
              <w:pStyle w:val="26"/>
              <w:numPr>
                <w:ilvl w:val="0"/>
                <w:numId w:val="38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由非燃烧材料制造，且设置有泄压导管延伸至室外的泄爆口、或安装有火焰熄灭装置的粉碎设备外壳，其设计强度应高于泄放后的最大爆燃压力；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铺装机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铺装机的入口端应设置防止异物进入的装置；</w:t>
            </w:r>
          </w:p>
          <w:p>
            <w:pPr>
              <w:pStyle w:val="26"/>
              <w:numPr>
                <w:ilvl w:val="0"/>
                <w:numId w:val="3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铺装机应设置火花探测及自动灭火装置；</w:t>
            </w:r>
          </w:p>
          <w:p>
            <w:pPr>
              <w:pStyle w:val="26"/>
              <w:numPr>
                <w:ilvl w:val="0"/>
                <w:numId w:val="3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传（转）动部位设置防护罩；</w:t>
            </w:r>
          </w:p>
          <w:p>
            <w:pPr>
              <w:pStyle w:val="26"/>
              <w:numPr>
                <w:ilvl w:val="0"/>
                <w:numId w:val="38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斜梯、平台防护栏应符合GB4053的要求。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压机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压机周围应设置废气强制排放系统；</w:t>
            </w:r>
          </w:p>
          <w:p>
            <w:pPr>
              <w:pStyle w:val="26"/>
              <w:numPr>
                <w:ilvl w:val="0"/>
                <w:numId w:val="3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热压机蒸汽管道处应采取保温隔热措施；</w:t>
            </w:r>
          </w:p>
          <w:p>
            <w:pPr>
              <w:pStyle w:val="26"/>
              <w:numPr>
                <w:ilvl w:val="0"/>
                <w:numId w:val="3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传（转）动部位设置防护罩；</w:t>
            </w:r>
          </w:p>
          <w:p>
            <w:pPr>
              <w:pStyle w:val="26"/>
              <w:numPr>
                <w:ilvl w:val="0"/>
                <w:numId w:val="38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压机地坑处设置可靠盖板。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干燥机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在干燥系统中应设置自动火花探测及自动灭火系统，安装在烘干设备和下游材料处理设备之间；</w:t>
            </w:r>
          </w:p>
          <w:p>
            <w:pPr>
              <w:pStyle w:val="26"/>
              <w:numPr>
                <w:ilvl w:val="0"/>
                <w:numId w:val="3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对加工刨花板或其他可能产生高浓度细尘的材料的干燥炉，如采用了非直排方式，则应对旋风除尘器或风箱设置泄爆装置；</w:t>
            </w:r>
          </w:p>
          <w:p>
            <w:pPr>
              <w:pStyle w:val="26"/>
              <w:numPr>
                <w:ilvl w:val="0"/>
                <w:numId w:val="3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干燥管道应采用水平方向布置，应尽可能减少弯头数量；</w:t>
            </w:r>
          </w:p>
          <w:p>
            <w:pPr>
              <w:pStyle w:val="26"/>
              <w:numPr>
                <w:ilvl w:val="0"/>
                <w:numId w:val="3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干燥介质的含氧量应控制在 17%以下；</w:t>
            </w:r>
          </w:p>
          <w:p>
            <w:pPr>
              <w:pStyle w:val="26"/>
              <w:numPr>
                <w:ilvl w:val="0"/>
                <w:numId w:val="3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干燥系统与纤维分离系统和成型系统之间应进行隔离；</w:t>
            </w:r>
          </w:p>
          <w:p>
            <w:pPr>
              <w:pStyle w:val="26"/>
              <w:numPr>
                <w:ilvl w:val="0"/>
                <w:numId w:val="3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干燥旋风分离器顶部应设置泄爆装置；</w:t>
            </w:r>
          </w:p>
          <w:p>
            <w:pPr>
              <w:pStyle w:val="26"/>
              <w:numPr>
                <w:ilvl w:val="0"/>
                <w:numId w:val="38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室外干燥旋风分离器及铺装机顶部的旋风分离器，若高出附近建筑物的屋面时，应按 GB 50057的要求设置防雷系统；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模温机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燃气加热的设备应设置固定式可燃气体检测报警装置和事故风机；</w:t>
            </w:r>
          </w:p>
          <w:p>
            <w:pPr>
              <w:pStyle w:val="26"/>
              <w:numPr>
                <w:ilvl w:val="0"/>
                <w:numId w:val="38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3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3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3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3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9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导热油储罐区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储罐应设置液位计；</w:t>
            </w:r>
          </w:p>
          <w:p>
            <w:pPr>
              <w:pStyle w:val="26"/>
              <w:numPr>
                <w:ilvl w:val="0"/>
                <w:numId w:val="3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储罐区应设置围堰，采取防止油品流散的措施；</w:t>
            </w:r>
          </w:p>
          <w:p>
            <w:pPr>
              <w:pStyle w:val="26"/>
              <w:numPr>
                <w:ilvl w:val="0"/>
                <w:numId w:val="39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严格执行有限空间等危险作业的管理制度。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74"/>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3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3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沿皮带全长设置手动复位的拉绳开关或急停开关；</w:t>
            </w:r>
          </w:p>
          <w:p>
            <w:pPr>
              <w:pStyle w:val="26"/>
              <w:numPr>
                <w:ilvl w:val="0"/>
                <w:numId w:val="3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3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39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木材加工（人造板、家具、地板）企业3级安全风险点主要包括：开片机、剥皮机；圆锯机；带锯机；刨床；开榫机（榫槽机）；车床；铣床；镂洗机；联合机（多用机床）；仓库等。</w:t>
      </w:r>
    </w:p>
    <w:p>
      <w:pPr>
        <w:pStyle w:val="5"/>
        <w:spacing w:before="0" w:after="0"/>
        <w:ind w:firstLine="548" w:firstLineChars="196"/>
        <w:rPr>
          <w:rFonts w:ascii="Times New Roman" w:hAnsi="Times New Roman" w:eastAsia="仿宋_GB2312" w:cs="Times New Roman"/>
        </w:rPr>
      </w:pPr>
      <w:r>
        <w:rPr>
          <w:rFonts w:ascii="Times New Roman" w:hAnsi="Times New Roman" w:eastAsia="仿宋_GB2312" w:cs="Times New Roman"/>
        </w:rPr>
        <w:t>4.5.11日用玻璃、陶瓷制造企业</w:t>
      </w:r>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制氢站（氢气罐）</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设置氢气检测报警装置；</w:t>
            </w:r>
          </w:p>
          <w:p>
            <w:pPr>
              <w:pStyle w:val="26"/>
              <w:numPr>
                <w:ilvl w:val="0"/>
                <w:numId w:val="3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设置事故风机并与检测报警装置联锁；</w:t>
            </w:r>
          </w:p>
          <w:p>
            <w:pPr>
              <w:pStyle w:val="26"/>
              <w:numPr>
                <w:ilvl w:val="0"/>
                <w:numId w:val="3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电气设备应满足防爆要求；</w:t>
            </w:r>
          </w:p>
          <w:p>
            <w:pPr>
              <w:pStyle w:val="26"/>
              <w:numPr>
                <w:ilvl w:val="0"/>
                <w:numId w:val="3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采取可靠静电</w:t>
            </w:r>
            <w:r>
              <w:rPr>
                <w:rFonts w:hint="eastAsia" w:ascii="Times New Roman" w:hAnsi="Times New Roman" w:eastAsia="仿宋_GB2312" w:cs="Times New Roman"/>
                <w:sz w:val="24"/>
                <w:szCs w:val="24"/>
              </w:rPr>
              <w:t>接地</w:t>
            </w:r>
            <w:r>
              <w:rPr>
                <w:rFonts w:ascii="Times New Roman" w:hAnsi="Times New Roman" w:eastAsia="仿宋_GB2312" w:cs="Times New Roman"/>
                <w:sz w:val="24"/>
                <w:szCs w:val="24"/>
              </w:rPr>
              <w:t>装置；</w:t>
            </w:r>
          </w:p>
          <w:p>
            <w:pPr>
              <w:pStyle w:val="26"/>
              <w:numPr>
                <w:ilvl w:val="0"/>
                <w:numId w:val="3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禁止烟火；</w:t>
            </w:r>
          </w:p>
          <w:p>
            <w:pPr>
              <w:pStyle w:val="26"/>
              <w:numPr>
                <w:ilvl w:val="0"/>
                <w:numId w:val="3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9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污水处理池、化粪池</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3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3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3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3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污水池、混合池、曝气池、沉淀池无渗漏，设备运转良好，排放污水顺畅；</w:t>
            </w:r>
          </w:p>
          <w:p>
            <w:pPr>
              <w:pStyle w:val="26"/>
              <w:numPr>
                <w:ilvl w:val="0"/>
                <w:numId w:val="3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39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燃气窑炉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油、气输送管路、阀门完好无泄漏，调整机构灵活好用；</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窑炉附属风机、电机等传动部位有防护装置，备用设备处于正常状态；</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窑车轨道通畅无杂物，进、出窑系统有信号联系；</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应有紧急情况声光报警装置（如传动系统故障、风机停机、停电等）；</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使用煤气（天然气）应压力检测、熄火检测装置和快速切断装置；</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强制助燃风机、空气管道应设置接地装置；</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燃烧装置、阀门组处设置可燃气体检测报警装置；</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规范设置放散管；</w:t>
            </w:r>
          </w:p>
          <w:p>
            <w:pPr>
              <w:pStyle w:val="26"/>
              <w:numPr>
                <w:ilvl w:val="0"/>
                <w:numId w:val="39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应建立窑炉巡视检查制度，其中规定检查的内容以及频次，并定期检查、做好相关运行记录；</w:t>
            </w:r>
          </w:p>
          <w:p>
            <w:pPr>
              <w:pStyle w:val="26"/>
              <w:numPr>
                <w:ilvl w:val="0"/>
                <w:numId w:val="3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停窑维护要有相应的安全方案，并严格执行；</w:t>
            </w:r>
          </w:p>
          <w:p>
            <w:pPr>
              <w:pStyle w:val="26"/>
              <w:numPr>
                <w:ilvl w:val="0"/>
                <w:numId w:val="39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入窑作业要有相应的安全操作规程或作业指导书，并严格按指导书操作。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玻璃窑炉（如池窑等）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油、气输送管路、阀门完好无泄漏，调整机构灵活好用；</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窑炉附属风机、电机等传动部位有防护装置，备用设备处于正常状态；</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窑炉观察孔完好，监视测量仪表仪器完好，密封装置完好无脱落；</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表面高温设备应设置相应的外部保温层或防护隔离设施；</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应有紧急情况声光报警装置（如传动系统故障、风机停机、停电等）；</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应建立窑炉点检巡检制度，其中规定检查的内容以及频次，定时检查并做好相关运行记录；</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熔窑的冷修及停产止火要有相应的安全方案，并严格执行。</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熔窑热修要有方案，并按照相应的安全操作规程或作业指导书进行操作；</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熔窑窑体和配套设施，在易受玻璃液侵蚀或易损的部位应根据安全使用要求要求分别采用风冷、水冷或其他保护措施；</w:t>
            </w:r>
          </w:p>
          <w:p>
            <w:pPr>
              <w:pStyle w:val="26"/>
              <w:numPr>
                <w:ilvl w:val="0"/>
                <w:numId w:val="39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熔窑的外缘与周围平台应留出空隙，空隙间距应不小于0.2m，空隙间距较大时应设置防坠落的钢蓖。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细磨设备（包括球磨机、振动磨、搅拌磨、气流磨等）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3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电机等传动部位调协防护装置；</w:t>
            </w:r>
          </w:p>
          <w:p>
            <w:pPr>
              <w:pStyle w:val="26"/>
              <w:numPr>
                <w:ilvl w:val="0"/>
                <w:numId w:val="3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运行时采取磨两侧设置</w:t>
            </w:r>
            <w:r>
              <w:rPr>
                <w:rFonts w:hint="eastAsia" w:ascii="Times New Roman" w:hAnsi="Times New Roman" w:eastAsia="仿宋_GB2312" w:cs="Times New Roman"/>
                <w:sz w:val="24"/>
                <w:szCs w:val="24"/>
              </w:rPr>
              <w:t>隔离防护措施</w:t>
            </w:r>
            <w:r>
              <w:rPr>
                <w:rFonts w:ascii="Times New Roman" w:hAnsi="Times New Roman" w:eastAsia="仿宋_GB2312" w:cs="Times New Roman"/>
                <w:sz w:val="24"/>
                <w:szCs w:val="24"/>
              </w:rPr>
              <w:t>；</w:t>
            </w:r>
          </w:p>
          <w:p>
            <w:pPr>
              <w:pStyle w:val="26"/>
              <w:numPr>
                <w:ilvl w:val="0"/>
                <w:numId w:val="3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3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39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燃油贮罐区</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火灾、其他爆炸、中毒和窒息、高处坠落</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应位于远离明火及架空供电线路的安全地段，且不得影响厂区周围地段安全；</w:t>
            </w:r>
          </w:p>
          <w:p>
            <w:pPr>
              <w:pStyle w:val="26"/>
              <w:numPr>
                <w:ilvl w:val="0"/>
                <w:numId w:val="4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应满足《石油库设计规范》（GB 50074）的有关规定；</w:t>
            </w:r>
          </w:p>
          <w:p>
            <w:pPr>
              <w:pStyle w:val="26"/>
              <w:numPr>
                <w:ilvl w:val="0"/>
                <w:numId w:val="4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应有油罐区专用消防系统；</w:t>
            </w:r>
          </w:p>
          <w:p>
            <w:pPr>
              <w:pStyle w:val="26"/>
              <w:numPr>
                <w:ilvl w:val="0"/>
                <w:numId w:val="4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油品装卸场所用于跨接的防静电接地装置应采用能检测接地状况的防静电接地仪器；</w:t>
            </w:r>
          </w:p>
          <w:p>
            <w:pPr>
              <w:pStyle w:val="26"/>
              <w:numPr>
                <w:ilvl w:val="0"/>
                <w:numId w:val="4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易燃易爆油、气的贮罐及其输送管道，均应有良好的接地，符合GB 13348 和GB 50177等的有关规定；</w:t>
            </w:r>
          </w:p>
          <w:p>
            <w:pPr>
              <w:pStyle w:val="26"/>
              <w:numPr>
                <w:ilvl w:val="0"/>
                <w:numId w:val="40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燃油、燃气贮罐应根据油、气的特点，设置温度、压力监测和报警装置。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4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4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4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4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0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393"/>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带式输送机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火灾、机械伤害</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4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按GB14784要求在头轮、尾轮、拉紧装置、托辊等处规范设置隔离防护措施；</w:t>
            </w:r>
          </w:p>
          <w:p>
            <w:pPr>
              <w:pStyle w:val="26"/>
              <w:numPr>
                <w:ilvl w:val="0"/>
                <w:numId w:val="4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沿皮带方向</w:t>
            </w:r>
            <w:r>
              <w:rPr>
                <w:rFonts w:hint="eastAsia" w:ascii="Times New Roman" w:hAnsi="Times New Roman" w:eastAsia="仿宋_GB2312" w:cs="Times New Roman"/>
                <w:sz w:val="24"/>
                <w:szCs w:val="24"/>
              </w:rPr>
              <w:t>全长</w:t>
            </w:r>
            <w:r>
              <w:rPr>
                <w:rFonts w:ascii="Times New Roman" w:hAnsi="Times New Roman" w:eastAsia="仿宋_GB2312" w:cs="Times New Roman"/>
                <w:sz w:val="24"/>
                <w:szCs w:val="24"/>
              </w:rPr>
              <w:t>设置手动复位的拉绳开关或急停开关；</w:t>
            </w:r>
          </w:p>
          <w:p>
            <w:pPr>
              <w:pStyle w:val="26"/>
              <w:numPr>
                <w:ilvl w:val="0"/>
                <w:numId w:val="4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就地控制箱应具备上锁/挂牌功能；</w:t>
            </w:r>
          </w:p>
          <w:p>
            <w:pPr>
              <w:pStyle w:val="26"/>
              <w:numPr>
                <w:ilvl w:val="0"/>
                <w:numId w:val="4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运行时禁止人员清扫作业；</w:t>
            </w:r>
          </w:p>
          <w:p>
            <w:pPr>
              <w:pStyle w:val="26"/>
              <w:numPr>
                <w:ilvl w:val="0"/>
                <w:numId w:val="40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tc>
      </w:tr>
    </w:tbl>
    <w:p>
      <w:pPr>
        <w:widowControl/>
        <w:ind w:firstLine="630" w:firstLineChars="300"/>
        <w:jc w:val="left"/>
        <w:rPr>
          <w:rFonts w:ascii="Times New Roman" w:hAnsi="Times New Roman" w:eastAsia="仿宋_GB2312" w:cs="Times New Roman"/>
        </w:rPr>
      </w:pPr>
      <w:r>
        <w:rPr>
          <w:rFonts w:ascii="Times New Roman" w:hAnsi="Times New Roman" w:eastAsia="仿宋_GB2312" w:cs="Times New Roman"/>
        </w:rPr>
        <w:br w:type="page"/>
      </w:r>
      <w:r>
        <w:rPr>
          <w:rFonts w:ascii="Times New Roman" w:hAnsi="Times New Roman" w:eastAsia="仿宋_GB2312" w:cs="Times New Roman"/>
          <w:b/>
          <w:sz w:val="32"/>
          <w:szCs w:val="32"/>
        </w:rPr>
        <w:t>日用玻璃、陶瓷制造企业3级安全风险点主要包括：粗中细碎设备（包括颚式破碎机、锤式破碎机、反击式破碎机、对辊式破碎机、轮碾机等）；锡槽；退火窑及冷端设备；仓库等。</w:t>
      </w:r>
    </w:p>
    <w:p>
      <w:pPr>
        <w:pStyle w:val="4"/>
        <w:spacing w:before="0" w:after="0"/>
        <w:ind w:firstLine="627" w:firstLineChars="196"/>
        <w:rPr>
          <w:rFonts w:ascii="Times New Roman" w:hAnsi="Times New Roman" w:eastAsia="仿宋_GB2312"/>
        </w:rPr>
      </w:pPr>
      <w:bookmarkStart w:id="64" w:name="_Toc92909966"/>
      <w:r>
        <w:rPr>
          <w:rFonts w:ascii="Times New Roman" w:hAnsi="Times New Roman" w:eastAsia="仿宋_GB2312"/>
        </w:rPr>
        <w:t>4.6纺织行业</w:t>
      </w:r>
      <w:bookmarkEnd w:id="64"/>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403"/>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蒸汽锅炉</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火灾、中毒和窒息、容器爆炸、高处坠落、灼烫</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锅炉“三证”齐全；</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锅炉定期进行内、外部检验，合格方可使用；</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锅炉本体、省煤器、分汽缸应安装安全阀和压力表，并定期校检，在有效期内使用；本体上不少于2个安全阀；</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传动部应设置防护罩；</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蒸汽管道应采取隔热保护措施；</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使用煤（燃）气的锅炉，应设置固定式一氧化碳（或可燃气体）检测报警装置；</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煤（燃）气应设置可靠的隔断装置和放散装置，压力检测、熄火检测及防回火装置；</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作业人员应持证上岗；</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0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403"/>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污水处理池</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4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4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4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4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40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二氧化氯发生器</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中毒和窒息、灼烫、其他爆炸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4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发生器的反应系统应设置安全防爆装置；</w:t>
            </w:r>
          </w:p>
          <w:p>
            <w:pPr>
              <w:pStyle w:val="26"/>
              <w:numPr>
                <w:ilvl w:val="0"/>
                <w:numId w:val="4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各管道应无泄漏；</w:t>
            </w:r>
          </w:p>
          <w:p>
            <w:pPr>
              <w:pStyle w:val="26"/>
              <w:numPr>
                <w:ilvl w:val="0"/>
                <w:numId w:val="4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原料液输送应有联动装置；</w:t>
            </w:r>
          </w:p>
          <w:p>
            <w:pPr>
              <w:pStyle w:val="26"/>
              <w:numPr>
                <w:ilvl w:val="0"/>
                <w:numId w:val="4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0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纱、线、织物加工的烧毛、开幅、烘干等热定型工艺的汽化室、燃气贮罐、储油罐、热媒炉等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应与生产加工、人员密集场所明确分开或单独设置；</w:t>
            </w:r>
          </w:p>
          <w:p>
            <w:pPr>
              <w:pStyle w:val="26"/>
              <w:numPr>
                <w:ilvl w:val="0"/>
                <w:numId w:val="4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设置火灾报警装置和灭火设施；</w:t>
            </w:r>
          </w:p>
          <w:p>
            <w:pPr>
              <w:pStyle w:val="26"/>
              <w:numPr>
                <w:ilvl w:val="0"/>
                <w:numId w:val="4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使用煤气的应设置固定式一氧化碳检测报警装置；规范制定点火流程；</w:t>
            </w:r>
          </w:p>
          <w:p>
            <w:pPr>
              <w:pStyle w:val="26"/>
              <w:numPr>
                <w:ilvl w:val="0"/>
                <w:numId w:val="4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0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03"/>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保险粉、双氧水、亚氯酸钠、雕白粉（吊白块）等危险品仓库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危险化学品应按性质，采用隔离贮存、分区存放等方式进行分类、分堆储存，不应与禁忌物料混合贮存；</w:t>
            </w:r>
          </w:p>
          <w:p>
            <w:pPr>
              <w:pStyle w:val="26"/>
              <w:numPr>
                <w:ilvl w:val="0"/>
                <w:numId w:val="4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保险粉不应露天堆放，储存场所应采取防水防潮等措施；</w:t>
            </w:r>
          </w:p>
          <w:p>
            <w:pPr>
              <w:pStyle w:val="26"/>
              <w:numPr>
                <w:ilvl w:val="0"/>
                <w:numId w:val="4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物品存放区与墙距、梁距、柱距，以及物品之间应符合安全距离的要求；</w:t>
            </w:r>
          </w:p>
          <w:p>
            <w:pPr>
              <w:pStyle w:val="26"/>
              <w:numPr>
                <w:ilvl w:val="0"/>
                <w:numId w:val="4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按规定采取防爆措施；</w:t>
            </w:r>
          </w:p>
          <w:p>
            <w:pPr>
              <w:pStyle w:val="26"/>
              <w:numPr>
                <w:ilvl w:val="0"/>
                <w:numId w:val="4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0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bottom w:val="single" w:color="auto" w:sz="12" w:space="0"/>
            </w:tcBorders>
            <w:vAlign w:val="center"/>
          </w:tcPr>
          <w:p>
            <w:pPr>
              <w:pStyle w:val="26"/>
              <w:numPr>
                <w:ilvl w:val="0"/>
                <w:numId w:val="403"/>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4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设置固定式可燃气体检测报警装置和事故风机；</w:t>
            </w:r>
          </w:p>
          <w:p>
            <w:pPr>
              <w:pStyle w:val="26"/>
              <w:numPr>
                <w:ilvl w:val="0"/>
                <w:numId w:val="4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4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4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4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0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ind w:firstLine="640"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纺织行业3级安全风险点主要包括：棉纺设备（开清棉设备、梳棉机、精梳机、细纱机、气流纺机等）；织造设备（络筒机、整经机、浆纱机、有梭织机、无梭织机、针织大园机等）；化纤工序设备（热媒生产设备、酯化生产设备、PTA投料设备、二硫化碳计量设备、五合机设备、后溶解设备、纺丝设备、欠伸设备、涤纶短丝打包设备等）；染整工序设备（烧毛机、丝光机、漂白设备、铜辊印花机、平网印花机、圆网印花机、预缩机、轧光机及磨、起、刷毛机等）；有成衣工序设备（卧式、移动裁断等专用设备，电熨斗等定型工具、设备，缝制机、拷边机、锁边机、钉筘机、锁洞机等缝纫专用生产设备）；服装专用设备（验布机、预缩机、自动铺布机、裁剪机、粘合机、电脑平缝机、链缝机、包缝机、绷缝机、撬边机、开袋机、钉筘机、锁洞锁眼机、套结机、自动吊挂线、熨烫熨斗等定型工具、设备）；仓库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4"/>
        <w:spacing w:before="0" w:after="0"/>
        <w:ind w:firstLine="627" w:firstLineChars="196"/>
        <w:rPr>
          <w:rFonts w:ascii="Times New Roman" w:hAnsi="Times New Roman" w:eastAsia="仿宋_GB2312"/>
        </w:rPr>
      </w:pPr>
      <w:bookmarkStart w:id="65" w:name="_Toc92909967"/>
      <w:r>
        <w:rPr>
          <w:rFonts w:ascii="Times New Roman" w:hAnsi="Times New Roman" w:eastAsia="仿宋_GB2312"/>
        </w:rPr>
        <w:t>4.7烟草行业</w:t>
      </w:r>
      <w:bookmarkEnd w:id="65"/>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烟叶复烤烟梗毁型工序</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火灾、其他爆炸、中毒和窒息、机械伤害</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除尘系统采用正压吹送粉尘时，应规范采取火花探测消除等防范点燃源措施；</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破碎机应设置除铁器等杂物去除装置或火花探测消除等防范点燃源措施；</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1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熏蒸杀虫的仓库</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中毒和窒息、高处坠落、火灾、其他爆炸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应编制年度和月度熏蒸作业计划；</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熏蒸杀虫应严格落实作业票制度；</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制定熏蒸杀虫作业现场应急处置预案；</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熏蒸杀虫作业前</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确认无关人员全部撤离仓库；</w:t>
            </w:r>
          </w:p>
          <w:p>
            <w:pPr>
              <w:pStyle w:val="26"/>
              <w:numPr>
                <w:ilvl w:val="0"/>
                <w:numId w:val="412"/>
              </w:numPr>
              <w:ind w:firstLineChars="0"/>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熏蒸作业时，应设置专业人员进行安全监护，严禁单人作业；封闭熏蒸区域前，应有专人负责清点作业人员，确定人员全部撤离仓库后方可实施封闭；</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熏蒸作业现场及周边应配备磷化氢气体检测仪、防毒面具；</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熏蒸区域密闭、可靠，塑料薄膜密闭性可靠；封闭条封闭良好，无泄漏；通气管与密封的接口处密封性可靠，通气管外露的部分应扎紧密封，无泄漏；</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从仓库封闭到充分散毒前，要设立专人值班，进行24 h巡回检查；</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熏蒸作业完成后，应经过充分的通风散气，自然通风4 h或强制通风2 h以上；散气期间应有专人定期检测熏蒸区域内外磷化氢浓度并记录；</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12"/>
              </w:numPr>
              <w:ind w:firstLineChars="0"/>
              <w:rPr>
                <w:rFonts w:ascii="Times New Roman" w:hAnsi="Times New Roman" w:eastAsia="仿宋_GB2312" w:cs="Times New Roman"/>
                <w:color w:val="auto"/>
                <w:sz w:val="24"/>
                <w:szCs w:val="24"/>
              </w:rPr>
            </w:pPr>
            <w:r>
              <w:rPr>
                <w:rFonts w:hint="eastAsia" w:ascii="Times New Roman" w:hAnsi="Times New Roman" w:eastAsia="仿宋_GB2312" w:cs="Times New Roman"/>
                <w:sz w:val="24"/>
                <w:szCs w:val="24"/>
              </w:rPr>
              <w:t>分药、施药、检查、散气和处理残渣等作业时，作业人员应配戴与磷化氢等</w:t>
            </w:r>
            <w:r>
              <w:rPr>
                <w:rFonts w:hint="eastAsia" w:ascii="Times New Roman" w:hAnsi="Times New Roman" w:eastAsia="仿宋_GB2312" w:cs="Times New Roman"/>
                <w:color w:val="auto"/>
                <w:sz w:val="24"/>
                <w:szCs w:val="24"/>
              </w:rPr>
              <w:t>有毒气体性质相匹配的过滤式或隔离式防毒面具，穿戴专用工作服、手套，严禁不戴或使用无效防毒设备进行熏蒸作业；</w:t>
            </w:r>
          </w:p>
          <w:p>
            <w:pPr>
              <w:pStyle w:val="26"/>
              <w:numPr>
                <w:ilvl w:val="0"/>
                <w:numId w:val="412"/>
              </w:numPr>
              <w:ind w:firstLineChars="0"/>
              <w:rPr>
                <w:rFonts w:ascii="Times New Roman" w:hAnsi="Times New Roman" w:eastAsia="仿宋_GB2312" w:cs="Times New Roman"/>
                <w:sz w:val="24"/>
                <w:szCs w:val="24"/>
              </w:rPr>
            </w:pPr>
            <w:r>
              <w:rPr>
                <w:rFonts w:ascii="Times New Roman" w:hAnsi="Times New Roman" w:eastAsia="仿宋_GB2312" w:cs="Times New Roman"/>
                <w:color w:val="auto"/>
                <w:sz w:val="24"/>
                <w:szCs w:val="24"/>
              </w:rPr>
              <w:t>严格执行有限空间作业、熏蒸杀虫作业</w:t>
            </w:r>
            <w:r>
              <w:rPr>
                <w:rFonts w:hint="eastAsia" w:ascii="Times New Roman" w:hAnsi="Times New Roman" w:eastAsia="仿宋_GB2312" w:cs="Times New Roman"/>
                <w:color w:val="auto"/>
                <w:sz w:val="24"/>
                <w:szCs w:val="24"/>
              </w:rPr>
              <w:t>、</w:t>
            </w:r>
            <w:r>
              <w:rPr>
                <w:rFonts w:ascii="Times New Roman" w:hAnsi="Times New Roman" w:eastAsia="仿宋_GB2312" w:cs="Times New Roman"/>
                <w:color w:val="auto"/>
                <w:sz w:val="24"/>
                <w:szCs w:val="24"/>
              </w:rPr>
              <w:t>高处作业等危</w:t>
            </w:r>
            <w:r>
              <w:rPr>
                <w:rFonts w:ascii="Times New Roman" w:hAnsi="Times New Roman" w:eastAsia="仿宋_GB2312" w:cs="Times New Roman"/>
                <w:sz w:val="24"/>
                <w:szCs w:val="24"/>
              </w:rPr>
              <w:t>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使用液态二氧化碳制造膨胀烟丝的生产线和场所</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生产线和场所设置二氧化碳浓度、燃气浓度监测报警装置；</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生产线和场所设置紧急联动排风装置；</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构成压力容器的罐体和压力表、安全阀应悬挂定期检验合格的标志；</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浸渍器设置安全门和联锁报警装置；</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浸渍器</w:t>
            </w:r>
            <w:r>
              <w:rPr>
                <w:rFonts w:hint="eastAsia" w:ascii="Times New Roman" w:hAnsi="Times New Roman" w:eastAsia="仿宋_GB2312" w:cs="Times New Roman"/>
                <w:sz w:val="24"/>
                <w:szCs w:val="24"/>
              </w:rPr>
              <w:t>应</w:t>
            </w:r>
            <w:r>
              <w:rPr>
                <w:rFonts w:ascii="Times New Roman" w:hAnsi="Times New Roman" w:eastAsia="仿宋_GB2312" w:cs="Times New Roman"/>
                <w:sz w:val="24"/>
                <w:szCs w:val="24"/>
              </w:rPr>
              <w:t>配置超声波液位检测器或放射源液位检测器；</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焚烧炉、在线膨丝设备的煤气、燃气、燃油管道、阀门，液化气瓶软管完好，无泄漏；现场应有强制排风装置；</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焚烧炉设置燃气或一氧化碳浓度检测报警装置；</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气流式烘丝机设置火花探测器；</w:t>
            </w:r>
          </w:p>
          <w:p>
            <w:pPr>
              <w:pStyle w:val="26"/>
              <w:numPr>
                <w:ilvl w:val="0"/>
                <w:numId w:val="41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道输送线外露运动部位应防护罩；</w:t>
            </w:r>
          </w:p>
          <w:p>
            <w:pPr>
              <w:pStyle w:val="26"/>
              <w:numPr>
                <w:ilvl w:val="0"/>
                <w:numId w:val="4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1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集中除尘房</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干式除尘系统应规范采取泄爆、隔爆、惰化、抑爆、抗爆等任一种或多种控爆措施，但不能单独采取隔爆；</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不同类别的可燃性粉尘、可燃性粉尘与可燃气体等易加剧爆炸危险的介质严禁共用一套除尘系统，不同防火分区的除尘系统不应互连互通；</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除尘系统采用正压吹送粉尘时，应规范采取火花探测消除等防范点燃源措施；</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除尘系统不应采用重力沉降室除尘，不应采用巷道式构筑物作为除尘风道；</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收尘仓、除尘器内部等20区应采用符合要求的防爆型电气设备；</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规范制定粉尘清理制度，应及时规范清理作业现场和相关设备设施积尘；</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1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w:t>
            </w:r>
            <w:r>
              <w:rPr>
                <w:rFonts w:hint="eastAsia" w:ascii="Times New Roman" w:hAnsi="Times New Roman" w:eastAsia="仿宋_GB2312" w:cs="Times New Roman"/>
                <w:sz w:val="24"/>
                <w:szCs w:val="24"/>
              </w:rPr>
              <w:t xml:space="preserve">、动火作业 </w:t>
            </w:r>
            <w:r>
              <w:rPr>
                <w:rFonts w:ascii="Times New Roman" w:hAnsi="Times New Roman" w:eastAsia="仿宋_GB2312" w:cs="Times New Roman"/>
                <w:sz w:val="24"/>
                <w:szCs w:val="24"/>
              </w:rPr>
              <w:t xml:space="preserve"> 等危险作业安全管理。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污水处理系统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4100" w:type="dxa"/>
            <w:tcBorders>
              <w:right w:val="single" w:color="auto" w:sz="12" w:space="0"/>
            </w:tcBorders>
            <w:vAlign w:val="center"/>
          </w:tcPr>
          <w:p>
            <w:pPr>
              <w:pStyle w:val="26"/>
              <w:numPr>
                <w:ilvl w:val="0"/>
                <w:numId w:val="4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泵房、微滤机、污泥脱水设备等地上设备外露运动部位应有防护罩或网，并完好，无破损；急停开关或隔离开关完好、有效；</w:t>
            </w:r>
          </w:p>
          <w:p>
            <w:pPr>
              <w:pStyle w:val="26"/>
              <w:numPr>
                <w:ilvl w:val="0"/>
                <w:numId w:val="4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设备设施的电气应防潮，现场使用的开关应防潮；</w:t>
            </w:r>
          </w:p>
          <w:p>
            <w:pPr>
              <w:pStyle w:val="26"/>
              <w:numPr>
                <w:ilvl w:val="0"/>
                <w:numId w:val="4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沉淀池和反应池四周设置防护栏；</w:t>
            </w:r>
          </w:p>
          <w:p>
            <w:pPr>
              <w:pStyle w:val="26"/>
              <w:numPr>
                <w:ilvl w:val="0"/>
                <w:numId w:val="4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下集水井、调节池、污泥池等地下空间需清洗和检修时，应打开池盖采取强制通风措施；</w:t>
            </w:r>
          </w:p>
          <w:p>
            <w:pPr>
              <w:pStyle w:val="26"/>
              <w:numPr>
                <w:ilvl w:val="0"/>
                <w:numId w:val="41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香精香料库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通风良好；</w:t>
            </w:r>
          </w:p>
          <w:p>
            <w:pPr>
              <w:pStyle w:val="26"/>
              <w:numPr>
                <w:ilvl w:val="0"/>
                <w:numId w:val="4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现场设置温度计，室内温度不应超过40℃；</w:t>
            </w:r>
          </w:p>
          <w:p>
            <w:pPr>
              <w:pStyle w:val="26"/>
              <w:numPr>
                <w:ilvl w:val="0"/>
                <w:numId w:val="4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关人员不准进入，禁止火种入内，室内不得混放其他类物品；</w:t>
            </w:r>
          </w:p>
          <w:p>
            <w:pPr>
              <w:pStyle w:val="26"/>
              <w:numPr>
                <w:ilvl w:val="0"/>
                <w:numId w:val="4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压力容器储罐及附件悬挂定期检验合格标志；</w:t>
            </w:r>
          </w:p>
          <w:p>
            <w:pPr>
              <w:pStyle w:val="26"/>
              <w:numPr>
                <w:ilvl w:val="0"/>
                <w:numId w:val="4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运香精时，应轻拿轻放；防止倾倒，并拧紧桶盖；运送途中应远离火种，严防跑、冒、滴、漏，确保密闭性；</w:t>
            </w:r>
          </w:p>
          <w:p>
            <w:pPr>
              <w:pStyle w:val="26"/>
              <w:numPr>
                <w:ilvl w:val="0"/>
                <w:numId w:val="4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1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电瓶充电间</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充电间应有通风装置；</w:t>
            </w:r>
          </w:p>
          <w:p>
            <w:pPr>
              <w:pStyle w:val="26"/>
              <w:numPr>
                <w:ilvl w:val="0"/>
                <w:numId w:val="4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充电间宜设置厂房外部或厂房靠近出口的墙体侧；</w:t>
            </w:r>
          </w:p>
          <w:p>
            <w:pPr>
              <w:pStyle w:val="26"/>
              <w:numPr>
                <w:ilvl w:val="0"/>
                <w:numId w:val="4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封闭、半封闭充电间开关、插座等应防爆；应设置氢气浓度检测报警装置；</w:t>
            </w:r>
          </w:p>
          <w:p>
            <w:pPr>
              <w:pStyle w:val="26"/>
              <w:numPr>
                <w:ilvl w:val="0"/>
                <w:numId w:val="4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充电区域内禁止吸烟；</w:t>
            </w:r>
          </w:p>
          <w:p>
            <w:pPr>
              <w:pStyle w:val="26"/>
              <w:numPr>
                <w:ilvl w:val="0"/>
                <w:numId w:val="4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应配备消防器材；</w:t>
            </w:r>
          </w:p>
          <w:p>
            <w:pPr>
              <w:pStyle w:val="26"/>
              <w:numPr>
                <w:ilvl w:val="0"/>
                <w:numId w:val="41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在未切断电源前，严禁在充电机上取用蓄电池。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丙酮、酒精等易燃易爆介质使用区域</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化学品应有固定存放点，设置专用储存室，并张贴标志；不应在其他位置存放；</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区域内严禁设立办公室、住人或贮存其他杂物；</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区域内严禁进行可能引起火灾和爆炸的试验和分装、打包、封焊、修理等不安全操作；</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区域内配置温度计，通风良好；</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危险化学品和一般化学品同点存放时，根据储存品性质不同．保持物与物之间不应小于0．5m的安全距离；</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危险化学品应按性质，采用隔离贮存、分区存放等方式进行分类、分堆储存；</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按规定采取防爆措施；</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配备相应消防设施；</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1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410"/>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油库和加油点</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w:t>
            </w:r>
          </w:p>
        </w:tc>
        <w:tc>
          <w:tcPr>
            <w:tcW w:w="1042"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bottom w:val="single" w:color="auto" w:sz="12" w:space="0"/>
              <w:right w:val="single" w:color="auto" w:sz="12" w:space="0"/>
            </w:tcBorders>
            <w:vAlign w:val="center"/>
          </w:tcPr>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库房门应向外开；</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油库内电机、开关、照明设施、风扇及其线路等所有电气设施均应使用防爆型；</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库内安装通排风设备，并有导除静电的接地装置；</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库内使用的工具应是不产生火花的防爆工具；排水沟应采用常闭式阀门，并有防静电措施；</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油库内应按贮存物品的种类和数量，配置相应的报警装置；</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机动车辆进入油库区应配戴灭火罩，并严禁电动车进入库区；</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油罐的组成和布置、油罐上的液位计、呼吸阀、防雷接地和防静电接地设备设施等，应符合GB 50074的要求；</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桶装油品一律立放，双行并列，桶身靠紧；</w:t>
            </w:r>
          </w:p>
          <w:p>
            <w:pPr>
              <w:pStyle w:val="26"/>
              <w:numPr>
                <w:ilvl w:val="0"/>
                <w:numId w:val="42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油桶储存库内通风良好；不应设置电气线路，或者使用防爆电气；</w:t>
            </w:r>
          </w:p>
          <w:p>
            <w:pPr>
              <w:pStyle w:val="26"/>
              <w:numPr>
                <w:ilvl w:val="0"/>
                <w:numId w:val="4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露天存放的桶装汽、煤油等，不应在阳光下曝晒；</w:t>
            </w:r>
          </w:p>
          <w:p>
            <w:pPr>
              <w:pStyle w:val="26"/>
              <w:numPr>
                <w:ilvl w:val="0"/>
                <w:numId w:val="4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加油点加油方式应为手工，使用机械加油的应按加油站管理；</w:t>
            </w:r>
          </w:p>
          <w:p>
            <w:pPr>
              <w:pStyle w:val="26"/>
              <w:numPr>
                <w:ilvl w:val="0"/>
                <w:numId w:val="4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加油点应确定专人管理；配置的抽油器、油管等应采用防静电的黄铜制品等防爆工具；</w:t>
            </w:r>
          </w:p>
          <w:p>
            <w:pPr>
              <w:pStyle w:val="26"/>
              <w:numPr>
                <w:ilvl w:val="0"/>
                <w:numId w:val="4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配备相应消防设施；</w:t>
            </w:r>
          </w:p>
          <w:p>
            <w:pPr>
              <w:pStyle w:val="26"/>
              <w:numPr>
                <w:ilvl w:val="0"/>
                <w:numId w:val="4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2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bl>
    <w:p>
      <w:pPr>
        <w:ind w:firstLine="640" w:firstLineChars="200"/>
        <w:rPr>
          <w:rFonts w:ascii="Times New Roman" w:hAnsi="Times New Roman" w:eastAsia="仿宋_GB2312" w:cs="Times New Roman"/>
        </w:rPr>
      </w:pPr>
      <w:r>
        <w:rPr>
          <w:rFonts w:ascii="Times New Roman" w:hAnsi="Times New Roman" w:eastAsia="仿宋_GB2312" w:cs="Times New Roman"/>
          <w:b/>
          <w:sz w:val="32"/>
          <w:szCs w:val="32"/>
        </w:rPr>
        <w:t>烟草行业3级安全风险点主要包括：机器人、机械手；库房、露天堆场和存放点；烟草及烟草制品库房；露天堆场；高架库；复烤生产线（不含集中除尘间）包括：解包挑选设备、润叶加工设备、打叶风分设备、打叶复烤机、打包设备、辅连设备；输送机械；装卸平台；厂内运输车辆；工业梯台；轮式移动平台；通风空调系统；金属切屑机床；炊事机械；制丝线设备；储叶（丝、梗）柜；香精糖料配料间；膨丝设备；卷接机、包装机；滤棒成型机；造纸法薄片生产线；辊压法薄片设备等。</w:t>
      </w:r>
    </w:p>
    <w:p>
      <w:pPr>
        <w:widowControl/>
        <w:jc w:val="left"/>
        <w:rPr>
          <w:rFonts w:ascii="Times New Roman" w:hAnsi="Times New Roman" w:eastAsia="仿宋_GB2312" w:cs="Times New Roman"/>
        </w:rPr>
      </w:pPr>
      <w:r>
        <w:rPr>
          <w:rFonts w:ascii="Times New Roman" w:hAnsi="Times New Roman" w:eastAsia="仿宋_GB2312" w:cs="Times New Roman"/>
        </w:rPr>
        <w:br w:type="page"/>
      </w:r>
    </w:p>
    <w:p>
      <w:pPr>
        <w:pStyle w:val="4"/>
        <w:spacing w:before="0" w:after="0"/>
        <w:ind w:firstLine="627" w:firstLineChars="196"/>
        <w:rPr>
          <w:rFonts w:ascii="Times New Roman" w:hAnsi="Times New Roman" w:eastAsia="仿宋_GB2312"/>
        </w:rPr>
      </w:pPr>
      <w:bookmarkStart w:id="66" w:name="_Toc92909968"/>
      <w:r>
        <w:rPr>
          <w:rFonts w:ascii="Times New Roman" w:hAnsi="Times New Roman" w:eastAsia="仿宋_GB2312"/>
        </w:rPr>
        <w:t>4.8商贸行业</w:t>
      </w:r>
      <w:bookmarkEnd w:id="66"/>
    </w:p>
    <w:tbl>
      <w:tblPr>
        <w:tblStyle w:val="19"/>
        <w:tblW w:w="141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153"/>
        <w:gridCol w:w="1864"/>
        <w:gridCol w:w="1042"/>
        <w:gridCol w:w="1276"/>
        <w:gridCol w:w="1003"/>
        <w:gridCol w:w="956"/>
        <w:gridCol w:w="1160"/>
        <w:gridCol w:w="41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restart"/>
            <w:tcBorders>
              <w:top w:val="single" w:color="auto" w:sz="12" w:space="0"/>
              <w:left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序号</w:t>
            </w:r>
          </w:p>
        </w:tc>
        <w:tc>
          <w:tcPr>
            <w:tcW w:w="2153"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风险点</w:t>
            </w:r>
          </w:p>
        </w:tc>
        <w:tc>
          <w:tcPr>
            <w:tcW w:w="1864" w:type="dxa"/>
            <w:vMerge w:val="restart"/>
            <w:tcBorders>
              <w:top w:val="single" w:color="auto" w:sz="12" w:space="0"/>
              <w:bottom w:val="single" w:color="auto" w:sz="12"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sz w:val="24"/>
                <w:szCs w:val="24"/>
              </w:rPr>
              <w:t>主要事故类型</w:t>
            </w:r>
          </w:p>
        </w:tc>
        <w:tc>
          <w:tcPr>
            <w:tcW w:w="5437" w:type="dxa"/>
            <w:gridSpan w:val="5"/>
            <w:tcBorders>
              <w:top w:val="single" w:color="auto" w:sz="12" w:space="0"/>
              <w:bottom w:val="single" w:color="auto" w:sz="6"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固有风险评价</w:t>
            </w:r>
          </w:p>
        </w:tc>
        <w:tc>
          <w:tcPr>
            <w:tcW w:w="4100" w:type="dxa"/>
            <w:vMerge w:val="restart"/>
            <w:tcBorders>
              <w:top w:val="single" w:color="auto" w:sz="12" w:space="0"/>
              <w:bottom w:val="single" w:color="auto" w:sz="12" w:space="0"/>
              <w:right w:val="single" w:color="auto" w:sz="12"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主要控制措施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06" w:type="dxa"/>
            <w:vMerge w:val="continue"/>
            <w:tcBorders>
              <w:top w:val="single" w:color="auto" w:sz="12" w:space="0"/>
              <w:left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2153"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864" w:type="dxa"/>
            <w:vMerge w:val="continue"/>
            <w:tcBorders>
              <w:top w:val="single" w:color="auto" w:sz="12" w:space="0"/>
              <w:bottom w:val="single" w:color="auto" w:sz="8" w:space="0"/>
            </w:tcBorders>
            <w:vAlign w:val="center"/>
          </w:tcPr>
          <w:p>
            <w:pPr>
              <w:jc w:val="center"/>
              <w:rPr>
                <w:rFonts w:ascii="Times New Roman" w:hAnsi="Times New Roman" w:eastAsia="仿宋_GB2312" w:cs="Times New Roman"/>
                <w:sz w:val="24"/>
                <w:szCs w:val="24"/>
              </w:rPr>
            </w:pPr>
          </w:p>
        </w:tc>
        <w:tc>
          <w:tcPr>
            <w:tcW w:w="1042"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M</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（控制措施的状态）</w:t>
            </w:r>
          </w:p>
        </w:tc>
        <w:tc>
          <w:tcPr>
            <w:tcW w:w="127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E</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1"/>
                <w:szCs w:val="11"/>
              </w:rPr>
              <w:t>（人体暴露或危险状态出现的频繁程度）</w:t>
            </w:r>
          </w:p>
        </w:tc>
        <w:tc>
          <w:tcPr>
            <w:tcW w:w="1003"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S</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w:t>
            </w:r>
            <w:r>
              <w:rPr>
                <w:rFonts w:ascii="Times New Roman" w:hAnsi="Times New Roman" w:eastAsia="仿宋_GB2312" w:cs="Times New Roman"/>
                <w:b/>
                <w:sz w:val="15"/>
                <w:szCs w:val="15"/>
              </w:rPr>
              <w:t>事故的可能后果）</w:t>
            </w:r>
          </w:p>
        </w:tc>
        <w:tc>
          <w:tcPr>
            <w:tcW w:w="956" w:type="dxa"/>
            <w:tcBorders>
              <w:top w:val="single" w:color="auto" w:sz="6" w:space="0"/>
              <w:bottom w:val="single" w:color="auto" w:sz="8" w:space="0"/>
            </w:tcBorders>
            <w:vAlign w:val="center"/>
          </w:tcPr>
          <w:p>
            <w:pPr>
              <w:jc w:val="center"/>
              <w:rPr>
                <w:rFonts w:ascii="Times New Roman" w:hAnsi="Times New Roman" w:eastAsia="仿宋_GB2312" w:cs="Times New Roman"/>
                <w:b/>
                <w:bCs/>
                <w:kern w:val="0"/>
                <w:sz w:val="24"/>
                <w:szCs w:val="24"/>
              </w:rPr>
            </w:pPr>
            <w:r>
              <w:rPr>
                <w:rFonts w:ascii="Times New Roman" w:hAnsi="Times New Roman" w:eastAsia="仿宋_GB2312" w:cs="Times New Roman"/>
                <w:b/>
                <w:bCs/>
                <w:kern w:val="0"/>
                <w:sz w:val="24"/>
                <w:szCs w:val="24"/>
              </w:rPr>
              <w:t>R</w:t>
            </w:r>
          </w:p>
          <w:p>
            <w:pPr>
              <w:jc w:val="center"/>
              <w:rPr>
                <w:rFonts w:ascii="Times New Roman" w:hAnsi="Times New Roman" w:eastAsia="仿宋_GB2312" w:cs="Times New Roman"/>
                <w:sz w:val="24"/>
                <w:szCs w:val="24"/>
              </w:rPr>
            </w:pPr>
            <w:r>
              <w:rPr>
                <w:rFonts w:ascii="Times New Roman" w:hAnsi="Times New Roman" w:eastAsia="仿宋_GB2312" w:cs="Times New Roman"/>
                <w:b/>
                <w:bCs/>
                <w:kern w:val="0"/>
                <w:sz w:val="15"/>
                <w:szCs w:val="15"/>
              </w:rPr>
              <w:t>（风险程度）</w:t>
            </w:r>
          </w:p>
        </w:tc>
        <w:tc>
          <w:tcPr>
            <w:tcW w:w="1160" w:type="dxa"/>
            <w:tcBorders>
              <w:top w:val="single" w:color="auto" w:sz="6" w:space="0"/>
              <w:bottom w:val="single" w:color="auto" w:sz="8"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b/>
                <w:bCs/>
                <w:kern w:val="0"/>
                <w:sz w:val="24"/>
                <w:szCs w:val="24"/>
              </w:rPr>
              <w:t>固有风险级别</w:t>
            </w:r>
          </w:p>
        </w:tc>
        <w:tc>
          <w:tcPr>
            <w:tcW w:w="4100" w:type="dxa"/>
            <w:vMerge w:val="continue"/>
            <w:tcBorders>
              <w:top w:val="single" w:color="auto" w:sz="12" w:space="0"/>
              <w:bottom w:val="single" w:color="auto" w:sz="8" w:space="0"/>
              <w:right w:val="single" w:color="auto" w:sz="12" w:space="0"/>
            </w:tcBorders>
            <w:vAlign w:val="center"/>
          </w:tcPr>
          <w:p>
            <w:pPr>
              <w:jc w:val="left"/>
              <w:rPr>
                <w:rFonts w:ascii="Times New Roman" w:hAnsi="Times New Roman" w:eastAsia="仿宋_GB2312" w:cs="Times New Roman"/>
                <w:b/>
                <w:bCs/>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422"/>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涉及液氨制冷的酒店的液氨制冷系统</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中毒和窒息、火灾、其他爆炸、机械伤害</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300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液氨制冷机房应规范设置氨气浓度检测报警装置；</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液氨制冷机房应安装置与检测报警联锁的防爆型事故风机；并在控制柜和机房门口外墙上设置人工启停按钮；</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制冷系统应装设紧急泄氨器；</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液氨储罐有喷淋装置和围堰；</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应急照明应为防爆型；</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水冷压缩机应设置断水保护装置；</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蒸发冷凝器应安装压力表、安全阀和风机故障报警装置；</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配备应急器材和消防水枪；</w:t>
            </w:r>
          </w:p>
          <w:p>
            <w:pPr>
              <w:pStyle w:val="26"/>
              <w:numPr>
                <w:ilvl w:val="0"/>
                <w:numId w:val="423"/>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p>
            <w:pPr>
              <w:pStyle w:val="26"/>
              <w:numPr>
                <w:ilvl w:val="0"/>
                <w:numId w:val="424"/>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严格执行有限空间作业、高处作业等危险作业审批制度。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top w:val="single" w:color="auto" w:sz="8" w:space="0"/>
              <w:left w:val="single" w:color="auto" w:sz="12" w:space="0"/>
              <w:bottom w:val="single" w:color="auto" w:sz="4" w:space="0"/>
            </w:tcBorders>
            <w:vAlign w:val="center"/>
          </w:tcPr>
          <w:p>
            <w:pPr>
              <w:pStyle w:val="26"/>
              <w:numPr>
                <w:ilvl w:val="0"/>
                <w:numId w:val="422"/>
              </w:numPr>
              <w:ind w:firstLineChars="0"/>
              <w:jc w:val="center"/>
              <w:rPr>
                <w:rFonts w:ascii="Times New Roman" w:hAnsi="Times New Roman" w:eastAsia="仿宋_GB2312" w:cs="Times New Roman"/>
                <w:sz w:val="24"/>
                <w:szCs w:val="24"/>
              </w:rPr>
            </w:pPr>
          </w:p>
        </w:tc>
        <w:tc>
          <w:tcPr>
            <w:tcW w:w="2153"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化粪池</w:t>
            </w:r>
          </w:p>
        </w:tc>
        <w:tc>
          <w:tcPr>
            <w:tcW w:w="1864" w:type="dxa"/>
            <w:tcBorders>
              <w:top w:val="single" w:color="auto" w:sz="8" w:space="0"/>
              <w:bottom w:val="single" w:color="auto" w:sz="4"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中毒和窒息、淹溺、火灾、其他爆炸</w:t>
            </w:r>
          </w:p>
        </w:tc>
        <w:tc>
          <w:tcPr>
            <w:tcW w:w="1042"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tcBorders>
              <w:top w:val="single" w:color="auto" w:sz="8" w:space="0"/>
              <w:bottom w:val="single" w:color="auto" w:sz="4" w:space="0"/>
            </w:tcBorders>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240</w:t>
            </w:r>
          </w:p>
        </w:tc>
        <w:tc>
          <w:tcPr>
            <w:tcW w:w="1160" w:type="dxa"/>
            <w:tcBorders>
              <w:top w:val="single" w:color="auto" w:sz="8" w:space="0"/>
              <w:bottom w:val="single" w:color="auto" w:sz="4" w:space="0"/>
            </w:tcBorders>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1</w:t>
            </w:r>
          </w:p>
        </w:tc>
        <w:tc>
          <w:tcPr>
            <w:tcW w:w="4100" w:type="dxa"/>
            <w:tcBorders>
              <w:top w:val="single" w:color="auto" w:sz="8" w:space="0"/>
              <w:bottom w:val="single" w:color="auto" w:sz="4" w:space="0"/>
              <w:right w:val="single" w:color="auto" w:sz="12" w:space="0"/>
            </w:tcBorders>
            <w:vAlign w:val="center"/>
          </w:tcPr>
          <w:p>
            <w:pPr>
              <w:pStyle w:val="26"/>
              <w:numPr>
                <w:ilvl w:val="0"/>
                <w:numId w:val="4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作业时进行硫化氢气体检测；</w:t>
            </w:r>
          </w:p>
          <w:p>
            <w:pPr>
              <w:pStyle w:val="26"/>
              <w:numPr>
                <w:ilvl w:val="0"/>
                <w:numId w:val="4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配备符合GB2890的防毒面具；</w:t>
            </w:r>
          </w:p>
          <w:p>
            <w:pPr>
              <w:pStyle w:val="26"/>
              <w:numPr>
                <w:ilvl w:val="0"/>
                <w:numId w:val="425"/>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严格执行有限空间作业审批制度。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22"/>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酒店里使用燃气（或燃油）的厨房</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120 </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使用和备用的液化石油气瓶标定总重量超过100千克或者气瓶总数超过30瓶的,应当按照有关规定设置气瓶间；</w:t>
            </w:r>
          </w:p>
          <w:p>
            <w:pPr>
              <w:pStyle w:val="26"/>
              <w:numPr>
                <w:ilvl w:val="0"/>
                <w:numId w:val="4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高层建筑内的餐饮场所不得使用瓶装液化石油气；</w:t>
            </w:r>
          </w:p>
          <w:p>
            <w:pPr>
              <w:pStyle w:val="26"/>
              <w:numPr>
                <w:ilvl w:val="0"/>
                <w:numId w:val="4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操作间使用液化石油气的，灶具与气瓶之间的净距离不得小于0.5米，灶具与气瓶连接的软管长度不得超过2米；</w:t>
            </w:r>
          </w:p>
          <w:p>
            <w:pPr>
              <w:pStyle w:val="26"/>
              <w:numPr>
                <w:ilvl w:val="0"/>
                <w:numId w:val="4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用气场所应当按照有关规定安装可燃气体浓度检测报警装置；</w:t>
            </w:r>
          </w:p>
          <w:p>
            <w:pPr>
              <w:pStyle w:val="26"/>
              <w:numPr>
                <w:ilvl w:val="0"/>
                <w:numId w:val="426"/>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燃气管道应设置自动切断阀、调压装置；</w:t>
            </w:r>
          </w:p>
          <w:p>
            <w:pPr>
              <w:pStyle w:val="26"/>
              <w:numPr>
                <w:ilvl w:val="0"/>
                <w:numId w:val="426"/>
              </w:numPr>
              <w:ind w:firstLineChars="0"/>
              <w:rPr>
                <w:rFonts w:hint="eastAsia" w:ascii="Times New Roman" w:hAnsi="Times New Roman" w:eastAsia="仿宋_GB2312" w:cs="Times New Roman"/>
                <w:sz w:val="24"/>
                <w:szCs w:val="24"/>
              </w:rPr>
            </w:pPr>
            <w:r>
              <w:rPr>
                <w:rFonts w:ascii="Times New Roman" w:hAnsi="Times New Roman" w:eastAsia="仿宋_GB2312" w:cs="Times New Roman"/>
                <w:sz w:val="24"/>
                <w:szCs w:val="24"/>
              </w:rPr>
              <w:t>厨房灶台及油烟机应保持清洁无油垢，厨房灶台照明应使用防潮灯，厨房的烟道按规定清洗并留有记录，灶台附近应配备灭火毯和消防器材</w:t>
            </w:r>
            <w:r>
              <w:rPr>
                <w:rFonts w:hint="eastAsia" w:ascii="Times New Roman" w:hAnsi="Times New Roman" w:eastAsia="仿宋_GB2312" w:cs="Times New Roman"/>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22"/>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热水锅炉</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容器爆炸、灼烫</w:t>
            </w:r>
          </w:p>
        </w:tc>
        <w:tc>
          <w:tcPr>
            <w:tcW w:w="1042"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0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95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120</w:t>
            </w:r>
          </w:p>
        </w:tc>
        <w:tc>
          <w:tcPr>
            <w:tcW w:w="1160" w:type="dxa"/>
            <w:vAlign w:val="center"/>
          </w:tcPr>
          <w:p>
            <w:pPr>
              <w:jc w:val="center"/>
              <w:rPr>
                <w:rFonts w:ascii="Times New Roman" w:hAnsi="Times New Roman" w:eastAsia="仿宋_GB2312" w:cs="Times New Roman"/>
                <w:b/>
                <w:bCs/>
                <w:sz w:val="24"/>
                <w:szCs w:val="24"/>
              </w:rPr>
            </w:pPr>
            <w:r>
              <w:rPr>
                <w:rFonts w:ascii="Times New Roman" w:hAnsi="Times New Roman" w:eastAsia="仿宋_GB2312" w:cs="Times New Roman"/>
                <w:sz w:val="24"/>
                <w:szCs w:val="24"/>
              </w:rPr>
              <w:t>2</w:t>
            </w:r>
          </w:p>
        </w:tc>
        <w:tc>
          <w:tcPr>
            <w:tcW w:w="4100" w:type="dxa"/>
            <w:tcBorders>
              <w:right w:val="single" w:color="auto" w:sz="12" w:space="0"/>
            </w:tcBorders>
            <w:vAlign w:val="center"/>
          </w:tcPr>
          <w:p>
            <w:pPr>
              <w:pStyle w:val="26"/>
              <w:numPr>
                <w:ilvl w:val="0"/>
                <w:numId w:val="4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设置安全阀、压力表，并定期校验，在有效期内使用；</w:t>
            </w:r>
          </w:p>
          <w:p>
            <w:pPr>
              <w:pStyle w:val="26"/>
              <w:numPr>
                <w:ilvl w:val="0"/>
                <w:numId w:val="4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蒸汽管道应采取隔热保护措施；</w:t>
            </w:r>
          </w:p>
          <w:p>
            <w:pPr>
              <w:pStyle w:val="26"/>
              <w:numPr>
                <w:ilvl w:val="0"/>
                <w:numId w:val="427"/>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作业人员应持证上岗。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tcBorders>
            <w:vAlign w:val="center"/>
          </w:tcPr>
          <w:p>
            <w:pPr>
              <w:pStyle w:val="26"/>
              <w:numPr>
                <w:ilvl w:val="0"/>
                <w:numId w:val="422"/>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带储存设施的燃气站</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火灾、其他爆炸、中毒和窒息</w:t>
            </w:r>
          </w:p>
        </w:tc>
        <w:tc>
          <w:tcPr>
            <w:tcW w:w="1042"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5</w:t>
            </w:r>
          </w:p>
        </w:tc>
        <w:tc>
          <w:tcPr>
            <w:tcW w:w="1276"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3</w:t>
            </w:r>
          </w:p>
        </w:tc>
        <w:tc>
          <w:tcPr>
            <w:tcW w:w="1003"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8</w:t>
            </w:r>
          </w:p>
        </w:tc>
        <w:tc>
          <w:tcPr>
            <w:tcW w:w="956"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120</w:t>
            </w:r>
          </w:p>
        </w:tc>
        <w:tc>
          <w:tcPr>
            <w:tcW w:w="1160" w:type="dxa"/>
            <w:vAlign w:val="center"/>
          </w:tcPr>
          <w:p>
            <w:pPr>
              <w:jc w:val="center"/>
              <w:rPr>
                <w:rFonts w:ascii="Times New Roman" w:hAnsi="Times New Roman" w:eastAsia="仿宋_GB2312" w:cs="Times New Roman"/>
                <w:b/>
                <w:bCs/>
                <w:color w:val="auto"/>
                <w:sz w:val="24"/>
                <w:szCs w:val="24"/>
              </w:rPr>
            </w:pPr>
            <w:r>
              <w:rPr>
                <w:rFonts w:ascii="Times New Roman" w:hAnsi="Times New Roman" w:eastAsia="仿宋_GB2312" w:cs="Times New Roman"/>
                <w:color w:val="auto"/>
                <w:sz w:val="24"/>
                <w:szCs w:val="24"/>
              </w:rPr>
              <w:t>2</w:t>
            </w:r>
          </w:p>
        </w:tc>
        <w:tc>
          <w:tcPr>
            <w:tcW w:w="4100" w:type="dxa"/>
            <w:tcBorders>
              <w:right w:val="single" w:color="auto" w:sz="12" w:space="0"/>
            </w:tcBorders>
            <w:vAlign w:val="center"/>
          </w:tcPr>
          <w:p>
            <w:pPr>
              <w:pStyle w:val="26"/>
              <w:numPr>
                <w:ilvl w:val="0"/>
                <w:numId w:val="4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设置固定式可燃气体（或氢气）检测报警装置和事故风机；</w:t>
            </w:r>
          </w:p>
          <w:p>
            <w:pPr>
              <w:pStyle w:val="26"/>
              <w:numPr>
                <w:ilvl w:val="0"/>
                <w:numId w:val="4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设置可靠切断装置和放散管；</w:t>
            </w:r>
          </w:p>
          <w:p>
            <w:pPr>
              <w:pStyle w:val="26"/>
              <w:numPr>
                <w:ilvl w:val="0"/>
                <w:numId w:val="4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设置人体导除静电装置；</w:t>
            </w:r>
          </w:p>
          <w:p>
            <w:pPr>
              <w:pStyle w:val="26"/>
              <w:numPr>
                <w:ilvl w:val="0"/>
                <w:numId w:val="4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严禁烟火；</w:t>
            </w:r>
          </w:p>
          <w:p>
            <w:pPr>
              <w:pStyle w:val="26"/>
              <w:numPr>
                <w:ilvl w:val="0"/>
                <w:numId w:val="4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加强作业人员教育培训；</w:t>
            </w:r>
          </w:p>
          <w:p>
            <w:pPr>
              <w:pStyle w:val="26"/>
              <w:numPr>
                <w:ilvl w:val="0"/>
                <w:numId w:val="428"/>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为作业人员配备安全防护用品并督促其正确佩戴。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606" w:type="dxa"/>
            <w:tcBorders>
              <w:left w:val="single" w:color="auto" w:sz="12" w:space="0"/>
            </w:tcBorders>
            <w:vAlign w:val="center"/>
          </w:tcPr>
          <w:p>
            <w:pPr>
              <w:pStyle w:val="26"/>
              <w:numPr>
                <w:ilvl w:val="0"/>
                <w:numId w:val="422"/>
              </w:numPr>
              <w:ind w:firstLineChars="0"/>
              <w:jc w:val="center"/>
              <w:rPr>
                <w:rFonts w:ascii="Times New Roman" w:hAnsi="Times New Roman" w:eastAsia="仿宋_GB2312" w:cs="Times New Roman"/>
                <w:sz w:val="24"/>
                <w:szCs w:val="24"/>
              </w:rPr>
            </w:pPr>
          </w:p>
        </w:tc>
        <w:tc>
          <w:tcPr>
            <w:tcW w:w="2153"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仓储物流业的大型仓库</w:t>
            </w:r>
          </w:p>
        </w:tc>
        <w:tc>
          <w:tcPr>
            <w:tcW w:w="1864" w:type="dxa"/>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火灾、坍塌、物体打击、机械伤害</w:t>
            </w:r>
          </w:p>
        </w:tc>
        <w:tc>
          <w:tcPr>
            <w:tcW w:w="1042"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5</w:t>
            </w:r>
          </w:p>
        </w:tc>
        <w:tc>
          <w:tcPr>
            <w:tcW w:w="1276"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3</w:t>
            </w:r>
          </w:p>
        </w:tc>
        <w:tc>
          <w:tcPr>
            <w:tcW w:w="1003"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8</w:t>
            </w:r>
          </w:p>
        </w:tc>
        <w:tc>
          <w:tcPr>
            <w:tcW w:w="956" w:type="dxa"/>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120</w:t>
            </w:r>
          </w:p>
        </w:tc>
        <w:tc>
          <w:tcPr>
            <w:tcW w:w="1160" w:type="dxa"/>
            <w:vAlign w:val="center"/>
          </w:tcPr>
          <w:p>
            <w:pPr>
              <w:jc w:val="center"/>
              <w:rPr>
                <w:rFonts w:ascii="Times New Roman" w:hAnsi="Times New Roman" w:eastAsia="仿宋_GB2312" w:cs="Times New Roman"/>
                <w:b/>
                <w:bCs/>
                <w:color w:val="auto"/>
                <w:sz w:val="24"/>
                <w:szCs w:val="24"/>
              </w:rPr>
            </w:pPr>
            <w:r>
              <w:rPr>
                <w:rFonts w:ascii="Times New Roman" w:hAnsi="Times New Roman" w:eastAsia="仿宋_GB2312" w:cs="Times New Roman"/>
                <w:color w:val="auto"/>
                <w:sz w:val="24"/>
                <w:szCs w:val="24"/>
              </w:rPr>
              <w:t>2</w:t>
            </w:r>
          </w:p>
        </w:tc>
        <w:tc>
          <w:tcPr>
            <w:tcW w:w="4100" w:type="dxa"/>
            <w:tcBorders>
              <w:right w:val="single" w:color="auto" w:sz="12" w:space="0"/>
            </w:tcBorders>
            <w:vAlign w:val="center"/>
          </w:tcPr>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库区内严禁烟火；</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库内保持良好通风条件；</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堆放易潮物品仓库的地面必须高于本区的基准面，并有防潮防雨淋设施；</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易燃、易潮物资仓库应有防水、防潮设施；</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物品应分类储存，定置区域线清晰，数量和区域不超限；</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储存、使用危险化学品应符合国家或行业有关法规、标准要求；</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库房应安装避雷针、避雷线、避雷网和避雷带；</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配备满足要求的消防设备设施；</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按规定设置安全疏散指示标志和应急照明设施，保证防火门、防火卷帘、消防安全疏散指示标志、应急照明、机械排烟送风、火灾事故广播等设施处于正常状态；</w:t>
            </w:r>
          </w:p>
          <w:p>
            <w:pPr>
              <w:pStyle w:val="26"/>
              <w:numPr>
                <w:ilvl w:val="0"/>
                <w:numId w:val="429"/>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仓库内机械设备、电气设备应满足规范要求。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tcBorders>
              <w:left w:val="single" w:color="auto" w:sz="12" w:space="0"/>
              <w:bottom w:val="single" w:color="auto" w:sz="12" w:space="0"/>
            </w:tcBorders>
            <w:vAlign w:val="center"/>
          </w:tcPr>
          <w:p>
            <w:pPr>
              <w:pStyle w:val="26"/>
              <w:numPr>
                <w:ilvl w:val="0"/>
                <w:numId w:val="422"/>
              </w:numPr>
              <w:ind w:firstLineChars="0"/>
              <w:jc w:val="center"/>
              <w:rPr>
                <w:rFonts w:ascii="Times New Roman" w:hAnsi="Times New Roman" w:eastAsia="仿宋_GB2312" w:cs="Times New Roman"/>
                <w:sz w:val="24"/>
                <w:szCs w:val="24"/>
              </w:rPr>
            </w:pPr>
          </w:p>
        </w:tc>
        <w:tc>
          <w:tcPr>
            <w:tcW w:w="2153"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大型商场</w:t>
            </w:r>
          </w:p>
        </w:tc>
        <w:tc>
          <w:tcPr>
            <w:tcW w:w="1864" w:type="dxa"/>
            <w:tcBorders>
              <w:bottom w:val="single" w:color="auto" w:sz="12" w:space="0"/>
            </w:tcBorders>
            <w:vAlign w:val="center"/>
          </w:tcPr>
          <w:p>
            <w:pPr>
              <w:rPr>
                <w:rFonts w:ascii="Times New Roman" w:hAnsi="Times New Roman" w:eastAsia="仿宋_GB2312" w:cs="Times New Roman"/>
                <w:sz w:val="24"/>
                <w:szCs w:val="24"/>
              </w:rPr>
            </w:pPr>
            <w:r>
              <w:rPr>
                <w:rFonts w:ascii="Times New Roman" w:hAnsi="Times New Roman" w:eastAsia="仿宋_GB2312" w:cs="Times New Roman"/>
                <w:sz w:val="24"/>
                <w:szCs w:val="24"/>
              </w:rPr>
              <w:t>火灾</w:t>
            </w:r>
          </w:p>
        </w:tc>
        <w:tc>
          <w:tcPr>
            <w:tcW w:w="1042" w:type="dxa"/>
            <w:tcBorders>
              <w:bottom w:val="single" w:color="auto" w:sz="12" w:space="0"/>
            </w:tcBorders>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5</w:t>
            </w:r>
          </w:p>
        </w:tc>
        <w:tc>
          <w:tcPr>
            <w:tcW w:w="1276" w:type="dxa"/>
            <w:tcBorders>
              <w:bottom w:val="single" w:color="auto" w:sz="12" w:space="0"/>
            </w:tcBorders>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3</w:t>
            </w:r>
          </w:p>
        </w:tc>
        <w:tc>
          <w:tcPr>
            <w:tcW w:w="1003" w:type="dxa"/>
            <w:tcBorders>
              <w:bottom w:val="single" w:color="auto" w:sz="12" w:space="0"/>
            </w:tcBorders>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8</w:t>
            </w:r>
          </w:p>
        </w:tc>
        <w:tc>
          <w:tcPr>
            <w:tcW w:w="956" w:type="dxa"/>
            <w:tcBorders>
              <w:bottom w:val="single" w:color="auto" w:sz="12" w:space="0"/>
            </w:tcBorders>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120</w:t>
            </w:r>
          </w:p>
        </w:tc>
        <w:tc>
          <w:tcPr>
            <w:tcW w:w="1160" w:type="dxa"/>
            <w:tcBorders>
              <w:bottom w:val="single" w:color="auto" w:sz="12" w:space="0"/>
            </w:tcBorders>
            <w:vAlign w:val="center"/>
          </w:tcPr>
          <w:p>
            <w:pPr>
              <w:jc w:val="center"/>
              <w:rPr>
                <w:rFonts w:ascii="Times New Roman" w:hAnsi="Times New Roman" w:eastAsia="仿宋_GB2312" w:cs="Times New Roman"/>
                <w:b/>
                <w:bCs/>
                <w:color w:val="auto"/>
                <w:sz w:val="24"/>
                <w:szCs w:val="24"/>
              </w:rPr>
            </w:pPr>
            <w:r>
              <w:rPr>
                <w:rFonts w:ascii="Times New Roman" w:hAnsi="Times New Roman" w:eastAsia="仿宋_GB2312" w:cs="Times New Roman"/>
                <w:color w:val="auto"/>
                <w:sz w:val="24"/>
                <w:szCs w:val="24"/>
              </w:rPr>
              <w:t>2</w:t>
            </w:r>
          </w:p>
        </w:tc>
        <w:tc>
          <w:tcPr>
            <w:tcW w:w="4100" w:type="dxa"/>
            <w:tcBorders>
              <w:bottom w:val="single" w:color="auto" w:sz="12" w:space="0"/>
              <w:right w:val="single" w:color="auto" w:sz="12" w:space="0"/>
            </w:tcBorders>
            <w:vAlign w:val="center"/>
          </w:tcPr>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室内装修、装饰，应当按照消防技术标准的要求，适用不燃、难燃材料二；</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不得在设有营运场所或仓库的建筑内设宿舍或饭堂；</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仓库、营运场所、办公室、员工宿舍不得用可燃材料装修、分隔；</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孔洞口、楼板、基坑等临边应有防护设施；</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人员密集场所应依据国家相关消防技术规范及地方消防强制性技术标准设置消防设施；</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不准擅自关闭、停用火灾自动报警系统以及相应的消防联动设备；</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应确保高位消防水箱、消防水池、气压水罐等消防储水设施水量充足；确保消防泵出水管阀门、自动喷水灭火系统管道上的阀门常开；确保消防水泵、防排烟风机等消防用电设备的配电柜开关处于自动（接通）位置；确保自动喷水灭火系统设置在自动状态；</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消防栓应有明显标识，不应埋压、圈占或遮挡；</w:t>
            </w:r>
          </w:p>
          <w:p>
            <w:pPr>
              <w:pStyle w:val="26"/>
              <w:numPr>
                <w:ilvl w:val="0"/>
                <w:numId w:val="430"/>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展品、商品、货柜、广告箱牌等的设置不应影响火灾探测器、手动火灾报警按钮、自动喷水灭火喷头等设施的正常使用；</w:t>
            </w:r>
          </w:p>
          <w:p>
            <w:pPr>
              <w:pStyle w:val="26"/>
              <w:numPr>
                <w:ilvl w:val="0"/>
                <w:numId w:val="4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按规定设置安全疏散指示标志和应急照明设施，保证防火门、防火卷帘、消防安全疏散指示标志、应急照明、机械排烟送风、火灾事故广播等设施处于正常状态；</w:t>
            </w:r>
          </w:p>
          <w:p>
            <w:pPr>
              <w:pStyle w:val="26"/>
              <w:numPr>
                <w:ilvl w:val="0"/>
                <w:numId w:val="4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保证疏散通道、安全出口的畅通。不得占用疏散通道或者在疏散通道、安全出口上设置影响疏散的障碍物，防火卷帘下不得堆放杂物；不得在营业、工作期间封闭安全出口，不得遮挡安全疏散指示标志；</w:t>
            </w:r>
          </w:p>
          <w:p>
            <w:pPr>
              <w:pStyle w:val="26"/>
              <w:numPr>
                <w:ilvl w:val="0"/>
                <w:numId w:val="431"/>
              </w:numPr>
              <w:ind w:firstLineChars="0"/>
              <w:rPr>
                <w:rFonts w:ascii="Times New Roman" w:hAnsi="Times New Roman" w:eastAsia="仿宋_GB2312" w:cs="Times New Roman"/>
                <w:sz w:val="24"/>
                <w:szCs w:val="24"/>
              </w:rPr>
            </w:pPr>
            <w:r>
              <w:rPr>
                <w:rFonts w:ascii="Times New Roman" w:hAnsi="Times New Roman" w:eastAsia="仿宋_GB2312" w:cs="Times New Roman"/>
                <w:sz w:val="24"/>
                <w:szCs w:val="24"/>
              </w:rPr>
              <w:t>消防控制室每班值班人员不应少于2人，必须持证上岗</w:t>
            </w:r>
          </w:p>
        </w:tc>
      </w:tr>
    </w:tbl>
    <w:p>
      <w:pPr>
        <w:ind w:firstLine="640"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商贸行业3级安全风险点主要包括：仓储设施；人员密集场所；计算机房设备；厨房设备；洗涤设备；车辆等。</w:t>
      </w:r>
    </w:p>
    <w:p>
      <w:pPr>
        <w:ind w:firstLine="640" w:firstLineChars="200"/>
        <w:rPr>
          <w:rFonts w:ascii="Times New Roman" w:hAnsi="Times New Roman" w:eastAsia="仿宋_GB2312" w:cs="Times New Roman"/>
          <w:sz w:val="32"/>
          <w:szCs w:val="32"/>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7096724"/>
    </w:sdtPr>
    <w:sdtContent>
      <w:p>
        <w:pPr>
          <w:pStyle w:val="13"/>
          <w:jc w:val="center"/>
        </w:pPr>
        <w:r>
          <w:rPr>
            <w:color w:val="FFFFFF" w:themeColor="background1"/>
            <w14:textFill>
              <w14:solidFill>
                <w14:schemeClr w14:val="bg1"/>
              </w14:solidFill>
            </w14:textFill>
          </w:rPr>
          <w:fldChar w:fldCharType="begin"/>
        </w:r>
        <w:r>
          <w:rPr>
            <w:color w:val="FFFFFF" w:themeColor="background1"/>
            <w14:textFill>
              <w14:solidFill>
                <w14:schemeClr w14:val="bg1"/>
              </w14:solidFill>
            </w14:textFill>
          </w:rPr>
          <w:instrText xml:space="preserve">PAGE   \* MERGEFORMAT</w:instrText>
        </w:r>
        <w:r>
          <w:rPr>
            <w:color w:val="FFFFFF" w:themeColor="background1"/>
            <w14:textFill>
              <w14:solidFill>
                <w14:schemeClr w14:val="bg1"/>
              </w14:solidFill>
            </w14:textFill>
          </w:rPr>
          <w:fldChar w:fldCharType="separate"/>
        </w:r>
        <w:r>
          <w:rPr>
            <w:color w:val="FFFFFF" w:themeColor="background1"/>
            <w:lang w:val="zh-CN"/>
            <w14:textFill>
              <w14:solidFill>
                <w14:schemeClr w14:val="bg1"/>
              </w14:solidFill>
            </w14:textFill>
          </w:rPr>
          <w:t>1</w:t>
        </w:r>
        <w:r>
          <w:rPr>
            <w:color w:val="FFFFFF" w:themeColor="background1"/>
            <w14:textFill>
              <w14:solidFill>
                <w14:schemeClr w14:val="bg1"/>
              </w14:solidFill>
            </w14:textFill>
          </w:rPr>
          <w:fldChar w:fldCharType="end"/>
        </w:r>
      </w:p>
    </w:sdtContent>
  </w:sdt>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7121962"/>
    </w:sdtPr>
    <w:sdtContent>
      <w:p>
        <w:pPr>
          <w:pStyle w:val="13"/>
          <w:jc w:val="center"/>
        </w:pPr>
        <w:r>
          <w:fldChar w:fldCharType="begin"/>
        </w:r>
        <w:r>
          <w:instrText xml:space="preserve">PAGE   \* MERGEFORMAT</w:instrText>
        </w:r>
        <w:r>
          <w:fldChar w:fldCharType="separate"/>
        </w:r>
        <w:r>
          <w:rPr>
            <w:lang w:val="zh-CN"/>
          </w:rPr>
          <w:t>2</w:t>
        </w:r>
        <w:r>
          <w:fldChar w:fldCharType="end"/>
        </w:r>
      </w:p>
    </w:sdtContent>
  </w:sdt>
  <w:p>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05166912"/>
    </w:sdtPr>
    <w:sdtContent>
      <w:p>
        <w:pPr>
          <w:pStyle w:val="13"/>
          <w:jc w:val="center"/>
        </w:pPr>
        <w:r>
          <w:fldChar w:fldCharType="begin"/>
        </w:r>
        <w:r>
          <w:instrText xml:space="preserve">PAGE   \* MERGEFORMAT</w:instrText>
        </w:r>
        <w:r>
          <w:fldChar w:fldCharType="separate"/>
        </w:r>
        <w:r>
          <w:rPr>
            <w:lang w:val="zh-CN"/>
          </w:rPr>
          <w:t>8</w:t>
        </w:r>
        <w:r>
          <w:fldChar w:fldCharType="end"/>
        </w:r>
      </w:p>
    </w:sdtContent>
  </w:sdt>
  <w:p>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09081400"/>
    </w:sdtPr>
    <w:sdtContent>
      <w:p>
        <w:pPr>
          <w:pStyle w:val="13"/>
          <w:jc w:val="center"/>
        </w:pPr>
        <w:r>
          <w:fldChar w:fldCharType="begin"/>
        </w:r>
        <w:r>
          <w:instrText xml:space="preserve">PAGE   \* MERGEFORMAT</w:instrText>
        </w:r>
        <w:r>
          <w:fldChar w:fldCharType="separate"/>
        </w:r>
        <w:r>
          <w:rPr>
            <w:lang w:val="zh-CN"/>
          </w:rPr>
          <w:t>2</w:t>
        </w:r>
        <w:r>
          <w:fldChar w:fldCharType="end"/>
        </w:r>
      </w:p>
    </w:sdtContent>
  </w:sdt>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14870"/>
    <w:multiLevelType w:val="multilevel"/>
    <w:tmpl w:val="0001487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5D139F"/>
    <w:multiLevelType w:val="multilevel"/>
    <w:tmpl w:val="005D139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624D98"/>
    <w:multiLevelType w:val="multilevel"/>
    <w:tmpl w:val="00624D9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1030B55"/>
    <w:multiLevelType w:val="multilevel"/>
    <w:tmpl w:val="01030B5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147303F"/>
    <w:multiLevelType w:val="multilevel"/>
    <w:tmpl w:val="0147303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17A4825"/>
    <w:multiLevelType w:val="multilevel"/>
    <w:tmpl w:val="017A482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1816DDF"/>
    <w:multiLevelType w:val="multilevel"/>
    <w:tmpl w:val="01816DD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1EE2AD8"/>
    <w:multiLevelType w:val="multilevel"/>
    <w:tmpl w:val="01EE2AD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2E54C24"/>
    <w:multiLevelType w:val="multilevel"/>
    <w:tmpl w:val="02E54C24"/>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02EF2D50"/>
    <w:multiLevelType w:val="multilevel"/>
    <w:tmpl w:val="02EF2D5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30215DD"/>
    <w:multiLevelType w:val="multilevel"/>
    <w:tmpl w:val="030215D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3436236"/>
    <w:multiLevelType w:val="multilevel"/>
    <w:tmpl w:val="0343623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383792C"/>
    <w:multiLevelType w:val="multilevel"/>
    <w:tmpl w:val="0383792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3C42182"/>
    <w:multiLevelType w:val="multilevel"/>
    <w:tmpl w:val="03C4218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4240087"/>
    <w:multiLevelType w:val="multilevel"/>
    <w:tmpl w:val="04240087"/>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044B6952"/>
    <w:multiLevelType w:val="multilevel"/>
    <w:tmpl w:val="044B695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44E61FD"/>
    <w:multiLevelType w:val="multilevel"/>
    <w:tmpl w:val="044E61F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4EF0132"/>
    <w:multiLevelType w:val="multilevel"/>
    <w:tmpl w:val="04EF013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4FD1F02"/>
    <w:multiLevelType w:val="multilevel"/>
    <w:tmpl w:val="04FD1F0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5E84DE0"/>
    <w:multiLevelType w:val="multilevel"/>
    <w:tmpl w:val="05E84DE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5F65B87"/>
    <w:multiLevelType w:val="multilevel"/>
    <w:tmpl w:val="05F65B8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6121D9B"/>
    <w:multiLevelType w:val="multilevel"/>
    <w:tmpl w:val="06121D9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61A4D44"/>
    <w:multiLevelType w:val="multilevel"/>
    <w:tmpl w:val="061A4D44"/>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3">
    <w:nsid w:val="06353DF8"/>
    <w:multiLevelType w:val="multilevel"/>
    <w:tmpl w:val="06353DF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6824D95"/>
    <w:multiLevelType w:val="multilevel"/>
    <w:tmpl w:val="06824D9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7050286"/>
    <w:multiLevelType w:val="multilevel"/>
    <w:tmpl w:val="0705028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0770162C"/>
    <w:multiLevelType w:val="multilevel"/>
    <w:tmpl w:val="0770162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7950D5F"/>
    <w:multiLevelType w:val="multilevel"/>
    <w:tmpl w:val="07950D5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7C84119"/>
    <w:multiLevelType w:val="multilevel"/>
    <w:tmpl w:val="07C8411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07D22284"/>
    <w:multiLevelType w:val="multilevel"/>
    <w:tmpl w:val="07D22284"/>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0">
    <w:nsid w:val="080556CC"/>
    <w:multiLevelType w:val="multilevel"/>
    <w:tmpl w:val="080556C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80A0851"/>
    <w:multiLevelType w:val="multilevel"/>
    <w:tmpl w:val="080A085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086529B2"/>
    <w:multiLevelType w:val="multilevel"/>
    <w:tmpl w:val="086529B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8BD7708"/>
    <w:multiLevelType w:val="multilevel"/>
    <w:tmpl w:val="08BD770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08D211B9"/>
    <w:multiLevelType w:val="multilevel"/>
    <w:tmpl w:val="08D211B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08E85FB1"/>
    <w:multiLevelType w:val="multilevel"/>
    <w:tmpl w:val="08E85FB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09D55045"/>
    <w:multiLevelType w:val="multilevel"/>
    <w:tmpl w:val="09D5504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0A08110B"/>
    <w:multiLevelType w:val="multilevel"/>
    <w:tmpl w:val="0A08110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0A0B0ADD"/>
    <w:multiLevelType w:val="multilevel"/>
    <w:tmpl w:val="0A0B0AD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0A4817E9"/>
    <w:multiLevelType w:val="multilevel"/>
    <w:tmpl w:val="0A4817E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0A697FAF"/>
    <w:multiLevelType w:val="multilevel"/>
    <w:tmpl w:val="0A697FA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0A6B4A84"/>
    <w:multiLevelType w:val="multilevel"/>
    <w:tmpl w:val="0A6B4A8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0AA21FF0"/>
    <w:multiLevelType w:val="multilevel"/>
    <w:tmpl w:val="0AA21FF0"/>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0AAE6C81"/>
    <w:multiLevelType w:val="multilevel"/>
    <w:tmpl w:val="0AAE6C81"/>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4">
    <w:nsid w:val="0AD71369"/>
    <w:multiLevelType w:val="multilevel"/>
    <w:tmpl w:val="0AD7136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0AFB633A"/>
    <w:multiLevelType w:val="multilevel"/>
    <w:tmpl w:val="0AFB63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0B3B7AB8"/>
    <w:multiLevelType w:val="multilevel"/>
    <w:tmpl w:val="0B3B7AB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0BDF1DBC"/>
    <w:multiLevelType w:val="multilevel"/>
    <w:tmpl w:val="0BDF1DB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0C7C15C3"/>
    <w:multiLevelType w:val="multilevel"/>
    <w:tmpl w:val="0C7C15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0D453089"/>
    <w:multiLevelType w:val="multilevel"/>
    <w:tmpl w:val="0D45308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0DC0247C"/>
    <w:multiLevelType w:val="multilevel"/>
    <w:tmpl w:val="0DC0247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0DC453D2"/>
    <w:multiLevelType w:val="multilevel"/>
    <w:tmpl w:val="0DC453D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0DC57838"/>
    <w:multiLevelType w:val="multilevel"/>
    <w:tmpl w:val="0DC5783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0DD26E16"/>
    <w:multiLevelType w:val="multilevel"/>
    <w:tmpl w:val="0DD26E16"/>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4">
    <w:nsid w:val="0E810BAF"/>
    <w:multiLevelType w:val="multilevel"/>
    <w:tmpl w:val="0E810BA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0E8955E8"/>
    <w:multiLevelType w:val="multilevel"/>
    <w:tmpl w:val="0E8955E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6">
    <w:nsid w:val="0F5B5802"/>
    <w:multiLevelType w:val="multilevel"/>
    <w:tmpl w:val="0F5B580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0FD75DEC"/>
    <w:multiLevelType w:val="multilevel"/>
    <w:tmpl w:val="0FD75DE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8">
    <w:nsid w:val="0FE60CDA"/>
    <w:multiLevelType w:val="multilevel"/>
    <w:tmpl w:val="0FE60CD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101B16A1"/>
    <w:multiLevelType w:val="multilevel"/>
    <w:tmpl w:val="101B16A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1055453A"/>
    <w:multiLevelType w:val="multilevel"/>
    <w:tmpl w:val="105545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10C57C24"/>
    <w:multiLevelType w:val="multilevel"/>
    <w:tmpl w:val="10C57C2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110A5758"/>
    <w:multiLevelType w:val="multilevel"/>
    <w:tmpl w:val="110A5758"/>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3">
    <w:nsid w:val="1127366F"/>
    <w:multiLevelType w:val="multilevel"/>
    <w:tmpl w:val="1127366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4">
    <w:nsid w:val="119B2363"/>
    <w:multiLevelType w:val="multilevel"/>
    <w:tmpl w:val="119B23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11C2786D"/>
    <w:multiLevelType w:val="multilevel"/>
    <w:tmpl w:val="11C2786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11C96E3F"/>
    <w:multiLevelType w:val="multilevel"/>
    <w:tmpl w:val="11C96E3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12102066"/>
    <w:multiLevelType w:val="multilevel"/>
    <w:tmpl w:val="1210206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8">
    <w:nsid w:val="123A6B08"/>
    <w:multiLevelType w:val="multilevel"/>
    <w:tmpl w:val="123A6B0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12711F49"/>
    <w:multiLevelType w:val="multilevel"/>
    <w:tmpl w:val="12711F4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127F463E"/>
    <w:multiLevelType w:val="multilevel"/>
    <w:tmpl w:val="127F463E"/>
    <w:lvl w:ilvl="0" w:tentative="0">
      <w:start w:val="1"/>
      <w:numFmt w:val="decimal"/>
      <w:lvlText w:val="%1"/>
      <w:lvlJc w:val="left"/>
      <w:pPr>
        <w:ind w:left="400" w:hanging="40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1080" w:hanging="1080"/>
      </w:pPr>
      <w:rPr>
        <w:rFonts w:hint="default"/>
      </w:rPr>
    </w:lvl>
    <w:lvl w:ilvl="3" w:tentative="0">
      <w:start w:val="1"/>
      <w:numFmt w:val="decimal"/>
      <w:lvlText w:val="%1.%2.%3.%4"/>
      <w:lvlJc w:val="left"/>
      <w:pPr>
        <w:ind w:left="1440" w:hanging="144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800" w:hanging="1800"/>
      </w:pPr>
      <w:rPr>
        <w:rFonts w:hint="default"/>
      </w:rPr>
    </w:lvl>
    <w:lvl w:ilvl="6" w:tentative="0">
      <w:start w:val="1"/>
      <w:numFmt w:val="decimal"/>
      <w:lvlText w:val="%1.%2.%3.%4.%5.%6.%7"/>
      <w:lvlJc w:val="left"/>
      <w:pPr>
        <w:ind w:left="2160" w:hanging="2160"/>
      </w:pPr>
      <w:rPr>
        <w:rFonts w:hint="default"/>
      </w:rPr>
    </w:lvl>
    <w:lvl w:ilvl="7" w:tentative="0">
      <w:start w:val="1"/>
      <w:numFmt w:val="decimal"/>
      <w:lvlText w:val="%1.%2.%3.%4.%5.%6.%7.%8"/>
      <w:lvlJc w:val="left"/>
      <w:pPr>
        <w:ind w:left="2520" w:hanging="2520"/>
      </w:pPr>
      <w:rPr>
        <w:rFonts w:hint="default"/>
      </w:rPr>
    </w:lvl>
    <w:lvl w:ilvl="8" w:tentative="0">
      <w:start w:val="1"/>
      <w:numFmt w:val="decimal"/>
      <w:lvlText w:val="%1.%2.%3.%4.%5.%6.%7.%8.%9"/>
      <w:lvlJc w:val="left"/>
      <w:pPr>
        <w:ind w:left="2880" w:hanging="2880"/>
      </w:pPr>
      <w:rPr>
        <w:rFonts w:hint="default"/>
      </w:rPr>
    </w:lvl>
  </w:abstractNum>
  <w:abstractNum w:abstractNumId="71">
    <w:nsid w:val="12A169DB"/>
    <w:multiLevelType w:val="multilevel"/>
    <w:tmpl w:val="12A169DB"/>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12AD37DA"/>
    <w:multiLevelType w:val="multilevel"/>
    <w:tmpl w:val="12AD37D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133D423A"/>
    <w:multiLevelType w:val="multilevel"/>
    <w:tmpl w:val="133D42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141E6741"/>
    <w:multiLevelType w:val="multilevel"/>
    <w:tmpl w:val="141E674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144B2EAF"/>
    <w:multiLevelType w:val="multilevel"/>
    <w:tmpl w:val="144B2EA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14D55ACE"/>
    <w:multiLevelType w:val="multilevel"/>
    <w:tmpl w:val="14D55AC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14E54C98"/>
    <w:multiLevelType w:val="multilevel"/>
    <w:tmpl w:val="14E54C98"/>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15156D24"/>
    <w:multiLevelType w:val="multilevel"/>
    <w:tmpl w:val="15156D2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15534C6D"/>
    <w:multiLevelType w:val="multilevel"/>
    <w:tmpl w:val="15534C6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15580625"/>
    <w:multiLevelType w:val="multilevel"/>
    <w:tmpl w:val="1558062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16B017F5"/>
    <w:multiLevelType w:val="multilevel"/>
    <w:tmpl w:val="16B017F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16DA57B6"/>
    <w:multiLevelType w:val="multilevel"/>
    <w:tmpl w:val="16DA57B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16DE703E"/>
    <w:multiLevelType w:val="multilevel"/>
    <w:tmpl w:val="16DE703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171A73B5"/>
    <w:multiLevelType w:val="multilevel"/>
    <w:tmpl w:val="171A73B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17850D8F"/>
    <w:multiLevelType w:val="multilevel"/>
    <w:tmpl w:val="17850D8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17A7261B"/>
    <w:multiLevelType w:val="multilevel"/>
    <w:tmpl w:val="17A7261B"/>
    <w:lvl w:ilvl="0" w:tentative="0">
      <w:start w:val="1"/>
      <w:numFmt w:val="decimalEnclosedParen"/>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87">
    <w:nsid w:val="17FD7ED3"/>
    <w:multiLevelType w:val="multilevel"/>
    <w:tmpl w:val="17FD7ED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181D3D4F"/>
    <w:multiLevelType w:val="multilevel"/>
    <w:tmpl w:val="181D3D4F"/>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9">
    <w:nsid w:val="187322D5"/>
    <w:multiLevelType w:val="multilevel"/>
    <w:tmpl w:val="187322D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18B75995"/>
    <w:multiLevelType w:val="multilevel"/>
    <w:tmpl w:val="18B7599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1">
    <w:nsid w:val="18C5699A"/>
    <w:multiLevelType w:val="multilevel"/>
    <w:tmpl w:val="18C5699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191E3F9C"/>
    <w:multiLevelType w:val="multilevel"/>
    <w:tmpl w:val="191E3F9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19975914"/>
    <w:multiLevelType w:val="multilevel"/>
    <w:tmpl w:val="1997591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4">
    <w:nsid w:val="1998124E"/>
    <w:multiLevelType w:val="multilevel"/>
    <w:tmpl w:val="199812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199E6C0A"/>
    <w:multiLevelType w:val="multilevel"/>
    <w:tmpl w:val="199E6C0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19CA1D34"/>
    <w:multiLevelType w:val="multilevel"/>
    <w:tmpl w:val="19CA1D3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19D008B9"/>
    <w:multiLevelType w:val="multilevel"/>
    <w:tmpl w:val="19D008B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19EA5A66"/>
    <w:multiLevelType w:val="multilevel"/>
    <w:tmpl w:val="19EA5A6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9">
    <w:nsid w:val="1A4C196A"/>
    <w:multiLevelType w:val="multilevel"/>
    <w:tmpl w:val="1A4C196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1B874A89"/>
    <w:multiLevelType w:val="multilevel"/>
    <w:tmpl w:val="1B874A8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1BAD7E13"/>
    <w:multiLevelType w:val="multilevel"/>
    <w:tmpl w:val="1BAD7E1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1BAF3627"/>
    <w:multiLevelType w:val="multilevel"/>
    <w:tmpl w:val="1BAF362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3">
    <w:nsid w:val="1BB0749D"/>
    <w:multiLevelType w:val="multilevel"/>
    <w:tmpl w:val="1BB0749D"/>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4">
    <w:nsid w:val="1BF35DA9"/>
    <w:multiLevelType w:val="multilevel"/>
    <w:tmpl w:val="1BF35D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1C2A368B"/>
    <w:multiLevelType w:val="multilevel"/>
    <w:tmpl w:val="1C2A368B"/>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1C4A6C5D"/>
    <w:multiLevelType w:val="multilevel"/>
    <w:tmpl w:val="1C4A6C5D"/>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7">
    <w:nsid w:val="1C56388D"/>
    <w:multiLevelType w:val="multilevel"/>
    <w:tmpl w:val="1C56388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1D6D1B39"/>
    <w:multiLevelType w:val="multilevel"/>
    <w:tmpl w:val="1D6D1B3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9">
    <w:nsid w:val="1E5F4900"/>
    <w:multiLevelType w:val="multilevel"/>
    <w:tmpl w:val="1E5F490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1EB827E5"/>
    <w:multiLevelType w:val="multilevel"/>
    <w:tmpl w:val="1EB827E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1">
    <w:nsid w:val="1F722211"/>
    <w:multiLevelType w:val="multilevel"/>
    <w:tmpl w:val="1F7222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2">
    <w:nsid w:val="1FE5512E"/>
    <w:multiLevelType w:val="multilevel"/>
    <w:tmpl w:val="1FE5512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3">
    <w:nsid w:val="200A64A9"/>
    <w:multiLevelType w:val="multilevel"/>
    <w:tmpl w:val="200A64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4">
    <w:nsid w:val="205C26BF"/>
    <w:multiLevelType w:val="multilevel"/>
    <w:tmpl w:val="205C26BF"/>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15">
    <w:nsid w:val="209D4C45"/>
    <w:multiLevelType w:val="multilevel"/>
    <w:tmpl w:val="209D4C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20B73188"/>
    <w:multiLevelType w:val="multilevel"/>
    <w:tmpl w:val="20B7318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214B6125"/>
    <w:multiLevelType w:val="multilevel"/>
    <w:tmpl w:val="214B612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8">
    <w:nsid w:val="215D1BEF"/>
    <w:multiLevelType w:val="multilevel"/>
    <w:tmpl w:val="215D1BE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9">
    <w:nsid w:val="21736E07"/>
    <w:multiLevelType w:val="multilevel"/>
    <w:tmpl w:val="21736E0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0">
    <w:nsid w:val="224860F1"/>
    <w:multiLevelType w:val="multilevel"/>
    <w:tmpl w:val="224860F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1">
    <w:nsid w:val="22B64DD7"/>
    <w:multiLevelType w:val="multilevel"/>
    <w:tmpl w:val="22B64DD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2">
    <w:nsid w:val="22F30CE5"/>
    <w:multiLevelType w:val="multilevel"/>
    <w:tmpl w:val="22F30CE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3">
    <w:nsid w:val="235C2A34"/>
    <w:multiLevelType w:val="multilevel"/>
    <w:tmpl w:val="235C2A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4">
    <w:nsid w:val="238561B4"/>
    <w:multiLevelType w:val="multilevel"/>
    <w:tmpl w:val="238561B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5">
    <w:nsid w:val="239F4C92"/>
    <w:multiLevelType w:val="multilevel"/>
    <w:tmpl w:val="239F4C9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6">
    <w:nsid w:val="23D1334E"/>
    <w:multiLevelType w:val="multilevel"/>
    <w:tmpl w:val="23D133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7">
    <w:nsid w:val="23F64E60"/>
    <w:multiLevelType w:val="multilevel"/>
    <w:tmpl w:val="23F64E6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8">
    <w:nsid w:val="24587A4B"/>
    <w:multiLevelType w:val="multilevel"/>
    <w:tmpl w:val="24587A4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9">
    <w:nsid w:val="258C15E9"/>
    <w:multiLevelType w:val="multilevel"/>
    <w:tmpl w:val="258C15E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0">
    <w:nsid w:val="25F5612F"/>
    <w:multiLevelType w:val="multilevel"/>
    <w:tmpl w:val="25F5612F"/>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1">
    <w:nsid w:val="26037113"/>
    <w:multiLevelType w:val="multilevel"/>
    <w:tmpl w:val="2603711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2">
    <w:nsid w:val="260B2D5B"/>
    <w:multiLevelType w:val="multilevel"/>
    <w:tmpl w:val="260B2D5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3">
    <w:nsid w:val="26554823"/>
    <w:multiLevelType w:val="multilevel"/>
    <w:tmpl w:val="265548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4">
    <w:nsid w:val="26E43A04"/>
    <w:multiLevelType w:val="multilevel"/>
    <w:tmpl w:val="26E43A0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5">
    <w:nsid w:val="27A7602B"/>
    <w:multiLevelType w:val="multilevel"/>
    <w:tmpl w:val="27A7602B"/>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36">
    <w:nsid w:val="28686520"/>
    <w:multiLevelType w:val="multilevel"/>
    <w:tmpl w:val="2868652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7">
    <w:nsid w:val="28DA5DC7"/>
    <w:multiLevelType w:val="multilevel"/>
    <w:tmpl w:val="28DA5DC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8">
    <w:nsid w:val="28DB228D"/>
    <w:multiLevelType w:val="multilevel"/>
    <w:tmpl w:val="28DB228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9">
    <w:nsid w:val="297F3A8B"/>
    <w:multiLevelType w:val="multilevel"/>
    <w:tmpl w:val="297F3A8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0">
    <w:nsid w:val="29BC56C7"/>
    <w:multiLevelType w:val="multilevel"/>
    <w:tmpl w:val="29BC56C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1">
    <w:nsid w:val="29E8650E"/>
    <w:multiLevelType w:val="multilevel"/>
    <w:tmpl w:val="29E8650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2">
    <w:nsid w:val="29E9144F"/>
    <w:multiLevelType w:val="multilevel"/>
    <w:tmpl w:val="29E9144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3">
    <w:nsid w:val="2A331F67"/>
    <w:multiLevelType w:val="multilevel"/>
    <w:tmpl w:val="2A331F6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4">
    <w:nsid w:val="2A621E44"/>
    <w:multiLevelType w:val="multilevel"/>
    <w:tmpl w:val="2A621E44"/>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5">
    <w:nsid w:val="2A913F2F"/>
    <w:multiLevelType w:val="multilevel"/>
    <w:tmpl w:val="2A913F2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6">
    <w:nsid w:val="2B5A4F82"/>
    <w:multiLevelType w:val="multilevel"/>
    <w:tmpl w:val="2B5A4F82"/>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7">
    <w:nsid w:val="2B9E143D"/>
    <w:multiLevelType w:val="multilevel"/>
    <w:tmpl w:val="2B9E143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8">
    <w:nsid w:val="2BD5540E"/>
    <w:multiLevelType w:val="multilevel"/>
    <w:tmpl w:val="2BD5540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9">
    <w:nsid w:val="2CF1641B"/>
    <w:multiLevelType w:val="multilevel"/>
    <w:tmpl w:val="2CF1641B"/>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0">
    <w:nsid w:val="2D5263FA"/>
    <w:multiLevelType w:val="multilevel"/>
    <w:tmpl w:val="2D5263F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1">
    <w:nsid w:val="2D7051D2"/>
    <w:multiLevelType w:val="multilevel"/>
    <w:tmpl w:val="2D7051D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2">
    <w:nsid w:val="2D85741F"/>
    <w:multiLevelType w:val="multilevel"/>
    <w:tmpl w:val="2D85741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3">
    <w:nsid w:val="2DC528C7"/>
    <w:multiLevelType w:val="multilevel"/>
    <w:tmpl w:val="2DC528C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4">
    <w:nsid w:val="2E1C2AE5"/>
    <w:multiLevelType w:val="multilevel"/>
    <w:tmpl w:val="2E1C2AE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5">
    <w:nsid w:val="2E3613DD"/>
    <w:multiLevelType w:val="multilevel"/>
    <w:tmpl w:val="2E3613D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6">
    <w:nsid w:val="2E5F3BD9"/>
    <w:multiLevelType w:val="multilevel"/>
    <w:tmpl w:val="2E5F3BD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7">
    <w:nsid w:val="2EC32579"/>
    <w:multiLevelType w:val="multilevel"/>
    <w:tmpl w:val="2EC3257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8">
    <w:nsid w:val="2EEA15F7"/>
    <w:multiLevelType w:val="multilevel"/>
    <w:tmpl w:val="2EEA15F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9">
    <w:nsid w:val="2F2A22AA"/>
    <w:multiLevelType w:val="multilevel"/>
    <w:tmpl w:val="2F2A22A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0">
    <w:nsid w:val="30415FE1"/>
    <w:multiLevelType w:val="multilevel"/>
    <w:tmpl w:val="30415FE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1">
    <w:nsid w:val="3123524A"/>
    <w:multiLevelType w:val="multilevel"/>
    <w:tmpl w:val="3123524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2">
    <w:nsid w:val="31CA61F6"/>
    <w:multiLevelType w:val="multilevel"/>
    <w:tmpl w:val="31CA61F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3">
    <w:nsid w:val="31FF3669"/>
    <w:multiLevelType w:val="multilevel"/>
    <w:tmpl w:val="31FF366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4">
    <w:nsid w:val="32BC18B3"/>
    <w:multiLevelType w:val="multilevel"/>
    <w:tmpl w:val="32BC18B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5">
    <w:nsid w:val="32D54850"/>
    <w:multiLevelType w:val="multilevel"/>
    <w:tmpl w:val="32D5485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6">
    <w:nsid w:val="3343591B"/>
    <w:multiLevelType w:val="multilevel"/>
    <w:tmpl w:val="3343591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7">
    <w:nsid w:val="34171A76"/>
    <w:multiLevelType w:val="multilevel"/>
    <w:tmpl w:val="34171A7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8">
    <w:nsid w:val="35176D22"/>
    <w:multiLevelType w:val="multilevel"/>
    <w:tmpl w:val="35176D2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9">
    <w:nsid w:val="351D44CA"/>
    <w:multiLevelType w:val="multilevel"/>
    <w:tmpl w:val="351D44C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0">
    <w:nsid w:val="35234C6F"/>
    <w:multiLevelType w:val="multilevel"/>
    <w:tmpl w:val="35234C6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1">
    <w:nsid w:val="35EF5B56"/>
    <w:multiLevelType w:val="multilevel"/>
    <w:tmpl w:val="35EF5B5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2">
    <w:nsid w:val="36297CA7"/>
    <w:multiLevelType w:val="multilevel"/>
    <w:tmpl w:val="36297CA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3">
    <w:nsid w:val="36371E91"/>
    <w:multiLevelType w:val="multilevel"/>
    <w:tmpl w:val="36371E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4">
    <w:nsid w:val="366878E9"/>
    <w:multiLevelType w:val="multilevel"/>
    <w:tmpl w:val="366878E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5">
    <w:nsid w:val="366B58E0"/>
    <w:multiLevelType w:val="multilevel"/>
    <w:tmpl w:val="366B58E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6">
    <w:nsid w:val="36761A4E"/>
    <w:multiLevelType w:val="multilevel"/>
    <w:tmpl w:val="36761A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7">
    <w:nsid w:val="37904966"/>
    <w:multiLevelType w:val="multilevel"/>
    <w:tmpl w:val="3790496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8">
    <w:nsid w:val="37CC3DA7"/>
    <w:multiLevelType w:val="multilevel"/>
    <w:tmpl w:val="37CC3DA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9">
    <w:nsid w:val="37DB7D6D"/>
    <w:multiLevelType w:val="multilevel"/>
    <w:tmpl w:val="37DB7D6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0">
    <w:nsid w:val="37F612D3"/>
    <w:multiLevelType w:val="multilevel"/>
    <w:tmpl w:val="37F612D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1">
    <w:nsid w:val="384E3DD0"/>
    <w:multiLevelType w:val="multilevel"/>
    <w:tmpl w:val="384E3DD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2">
    <w:nsid w:val="38652FBE"/>
    <w:multiLevelType w:val="multilevel"/>
    <w:tmpl w:val="38652FB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3">
    <w:nsid w:val="38E72C18"/>
    <w:multiLevelType w:val="multilevel"/>
    <w:tmpl w:val="38E72C1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4">
    <w:nsid w:val="39302D75"/>
    <w:multiLevelType w:val="multilevel"/>
    <w:tmpl w:val="39302D7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5">
    <w:nsid w:val="39830994"/>
    <w:multiLevelType w:val="multilevel"/>
    <w:tmpl w:val="3983099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6">
    <w:nsid w:val="39A76922"/>
    <w:multiLevelType w:val="multilevel"/>
    <w:tmpl w:val="39A7692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7">
    <w:nsid w:val="3A3B1A96"/>
    <w:multiLevelType w:val="multilevel"/>
    <w:tmpl w:val="3A3B1A96"/>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8">
    <w:nsid w:val="3A3E108E"/>
    <w:multiLevelType w:val="multilevel"/>
    <w:tmpl w:val="3A3E108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9">
    <w:nsid w:val="3ABB6871"/>
    <w:multiLevelType w:val="multilevel"/>
    <w:tmpl w:val="3ABB687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0">
    <w:nsid w:val="3B8A5B47"/>
    <w:multiLevelType w:val="multilevel"/>
    <w:tmpl w:val="3B8A5B4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1">
    <w:nsid w:val="3B8E745C"/>
    <w:multiLevelType w:val="multilevel"/>
    <w:tmpl w:val="3B8E745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2">
    <w:nsid w:val="3BC708FE"/>
    <w:multiLevelType w:val="multilevel"/>
    <w:tmpl w:val="3BC708F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3">
    <w:nsid w:val="3BE506A4"/>
    <w:multiLevelType w:val="multilevel"/>
    <w:tmpl w:val="3BE506A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4">
    <w:nsid w:val="3C082D4D"/>
    <w:multiLevelType w:val="multilevel"/>
    <w:tmpl w:val="3C082D4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5">
    <w:nsid w:val="3C140441"/>
    <w:multiLevelType w:val="multilevel"/>
    <w:tmpl w:val="3C14044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6">
    <w:nsid w:val="3C222DB8"/>
    <w:multiLevelType w:val="multilevel"/>
    <w:tmpl w:val="3C222DB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7">
    <w:nsid w:val="3C357F67"/>
    <w:multiLevelType w:val="multilevel"/>
    <w:tmpl w:val="3C357F6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8">
    <w:nsid w:val="3E237D54"/>
    <w:multiLevelType w:val="multilevel"/>
    <w:tmpl w:val="3E237D5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9">
    <w:nsid w:val="3E755998"/>
    <w:multiLevelType w:val="multilevel"/>
    <w:tmpl w:val="3E75599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0">
    <w:nsid w:val="3ECF46F5"/>
    <w:multiLevelType w:val="multilevel"/>
    <w:tmpl w:val="3ECF46F5"/>
    <w:lvl w:ilvl="0" w:tentative="0">
      <w:start w:val="1"/>
      <w:numFmt w:val="japaneseCounting"/>
      <w:lvlText w:val="第%1章"/>
      <w:lvlJc w:val="left"/>
      <w:pPr>
        <w:ind w:left="1260" w:hanging="12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1">
    <w:nsid w:val="3EE065EE"/>
    <w:multiLevelType w:val="multilevel"/>
    <w:tmpl w:val="3EE065EE"/>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2">
    <w:nsid w:val="3F3758A3"/>
    <w:multiLevelType w:val="multilevel"/>
    <w:tmpl w:val="3F3758A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3">
    <w:nsid w:val="401D6BCF"/>
    <w:multiLevelType w:val="multilevel"/>
    <w:tmpl w:val="401D6BC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4">
    <w:nsid w:val="40565DE1"/>
    <w:multiLevelType w:val="multilevel"/>
    <w:tmpl w:val="40565DE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5">
    <w:nsid w:val="409A2352"/>
    <w:multiLevelType w:val="multilevel"/>
    <w:tmpl w:val="409A2352"/>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6">
    <w:nsid w:val="40AA7AFC"/>
    <w:multiLevelType w:val="multilevel"/>
    <w:tmpl w:val="40AA7AF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7">
    <w:nsid w:val="40CE626B"/>
    <w:multiLevelType w:val="multilevel"/>
    <w:tmpl w:val="40CE626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8">
    <w:nsid w:val="413721F1"/>
    <w:multiLevelType w:val="multilevel"/>
    <w:tmpl w:val="413721F1"/>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09">
    <w:nsid w:val="420459B7"/>
    <w:multiLevelType w:val="multilevel"/>
    <w:tmpl w:val="420459B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0">
    <w:nsid w:val="42087734"/>
    <w:multiLevelType w:val="multilevel"/>
    <w:tmpl w:val="42087734"/>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11">
    <w:nsid w:val="4210174B"/>
    <w:multiLevelType w:val="multilevel"/>
    <w:tmpl w:val="4210174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2">
    <w:nsid w:val="421B426C"/>
    <w:multiLevelType w:val="multilevel"/>
    <w:tmpl w:val="421B4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3">
    <w:nsid w:val="424E70C6"/>
    <w:multiLevelType w:val="multilevel"/>
    <w:tmpl w:val="424E70C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4">
    <w:nsid w:val="429D48CE"/>
    <w:multiLevelType w:val="multilevel"/>
    <w:tmpl w:val="429D48C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5">
    <w:nsid w:val="42E812F3"/>
    <w:multiLevelType w:val="multilevel"/>
    <w:tmpl w:val="42E812F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6">
    <w:nsid w:val="42FC72A7"/>
    <w:multiLevelType w:val="multilevel"/>
    <w:tmpl w:val="42FC72A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7">
    <w:nsid w:val="43513057"/>
    <w:multiLevelType w:val="multilevel"/>
    <w:tmpl w:val="4351305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8">
    <w:nsid w:val="43BA7AF7"/>
    <w:multiLevelType w:val="multilevel"/>
    <w:tmpl w:val="43BA7AF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9">
    <w:nsid w:val="43C23810"/>
    <w:multiLevelType w:val="multilevel"/>
    <w:tmpl w:val="43C2381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0">
    <w:nsid w:val="44535E74"/>
    <w:multiLevelType w:val="multilevel"/>
    <w:tmpl w:val="44535E7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1">
    <w:nsid w:val="445954D3"/>
    <w:multiLevelType w:val="multilevel"/>
    <w:tmpl w:val="445954D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2">
    <w:nsid w:val="45396863"/>
    <w:multiLevelType w:val="multilevel"/>
    <w:tmpl w:val="453968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3">
    <w:nsid w:val="459F1CAF"/>
    <w:multiLevelType w:val="multilevel"/>
    <w:tmpl w:val="459F1CA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4">
    <w:nsid w:val="45A63D45"/>
    <w:multiLevelType w:val="multilevel"/>
    <w:tmpl w:val="45A63D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5">
    <w:nsid w:val="45B02DF6"/>
    <w:multiLevelType w:val="multilevel"/>
    <w:tmpl w:val="45B02DF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6">
    <w:nsid w:val="46463321"/>
    <w:multiLevelType w:val="multilevel"/>
    <w:tmpl w:val="4646332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7">
    <w:nsid w:val="464A45D4"/>
    <w:multiLevelType w:val="multilevel"/>
    <w:tmpl w:val="464A45D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8">
    <w:nsid w:val="469D2E9D"/>
    <w:multiLevelType w:val="multilevel"/>
    <w:tmpl w:val="469D2E9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9">
    <w:nsid w:val="476A7383"/>
    <w:multiLevelType w:val="multilevel"/>
    <w:tmpl w:val="476A738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0">
    <w:nsid w:val="47A6797D"/>
    <w:multiLevelType w:val="multilevel"/>
    <w:tmpl w:val="47A6797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1">
    <w:nsid w:val="47C92F25"/>
    <w:multiLevelType w:val="multilevel"/>
    <w:tmpl w:val="47C92F25"/>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2">
    <w:nsid w:val="48077E74"/>
    <w:multiLevelType w:val="multilevel"/>
    <w:tmpl w:val="48077E74"/>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33">
    <w:nsid w:val="481A5A91"/>
    <w:multiLevelType w:val="multilevel"/>
    <w:tmpl w:val="481A5A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4">
    <w:nsid w:val="48866F5D"/>
    <w:multiLevelType w:val="multilevel"/>
    <w:tmpl w:val="48866F5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5">
    <w:nsid w:val="48CB5EA7"/>
    <w:multiLevelType w:val="multilevel"/>
    <w:tmpl w:val="48CB5EA7"/>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36">
    <w:nsid w:val="48D7244F"/>
    <w:multiLevelType w:val="multilevel"/>
    <w:tmpl w:val="48D7244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7">
    <w:nsid w:val="48DF57B0"/>
    <w:multiLevelType w:val="multilevel"/>
    <w:tmpl w:val="48DF57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8">
    <w:nsid w:val="49051663"/>
    <w:multiLevelType w:val="multilevel"/>
    <w:tmpl w:val="4905166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9">
    <w:nsid w:val="490A393D"/>
    <w:multiLevelType w:val="multilevel"/>
    <w:tmpl w:val="490A393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0">
    <w:nsid w:val="498701DC"/>
    <w:multiLevelType w:val="multilevel"/>
    <w:tmpl w:val="498701D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1">
    <w:nsid w:val="4AF5588B"/>
    <w:multiLevelType w:val="multilevel"/>
    <w:tmpl w:val="4AF5588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2">
    <w:nsid w:val="4B0A0796"/>
    <w:multiLevelType w:val="multilevel"/>
    <w:tmpl w:val="4B0A079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3">
    <w:nsid w:val="4B250EB1"/>
    <w:multiLevelType w:val="multilevel"/>
    <w:tmpl w:val="4B250EB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4">
    <w:nsid w:val="4B7C1A5E"/>
    <w:multiLevelType w:val="multilevel"/>
    <w:tmpl w:val="4B7C1A5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5">
    <w:nsid w:val="4B9F4A7D"/>
    <w:multiLevelType w:val="multilevel"/>
    <w:tmpl w:val="4B9F4A7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6">
    <w:nsid w:val="4BA83987"/>
    <w:multiLevelType w:val="multilevel"/>
    <w:tmpl w:val="4BA8398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7">
    <w:nsid w:val="4BD459D5"/>
    <w:multiLevelType w:val="multilevel"/>
    <w:tmpl w:val="4BD459D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8">
    <w:nsid w:val="4C1F789D"/>
    <w:multiLevelType w:val="multilevel"/>
    <w:tmpl w:val="4C1F789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9">
    <w:nsid w:val="4CD37660"/>
    <w:multiLevelType w:val="multilevel"/>
    <w:tmpl w:val="4CD3766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0">
    <w:nsid w:val="4D1A2D43"/>
    <w:multiLevelType w:val="multilevel"/>
    <w:tmpl w:val="4D1A2D4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1">
    <w:nsid w:val="4E3A4EC7"/>
    <w:multiLevelType w:val="multilevel"/>
    <w:tmpl w:val="4E3A4EC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2">
    <w:nsid w:val="4E821AC3"/>
    <w:multiLevelType w:val="multilevel"/>
    <w:tmpl w:val="4E821AC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3">
    <w:nsid w:val="4ED47277"/>
    <w:multiLevelType w:val="multilevel"/>
    <w:tmpl w:val="4ED4727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4">
    <w:nsid w:val="4EF8489C"/>
    <w:multiLevelType w:val="multilevel"/>
    <w:tmpl w:val="4EF8489C"/>
    <w:lvl w:ilvl="0" w:tentative="0">
      <w:start w:val="1"/>
      <w:numFmt w:val="decimal"/>
      <w:lvlText w:val="%1）"/>
      <w:lvlJc w:val="left"/>
      <w:pPr>
        <w:ind w:left="360" w:hanging="360"/>
      </w:pPr>
      <w:rPr>
        <w:rFonts w:hint="default" w:ascii="Times New Roman" w:hAnsi="Times New Roman"/>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5">
    <w:nsid w:val="4F4000BC"/>
    <w:multiLevelType w:val="multilevel"/>
    <w:tmpl w:val="4F4000B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6">
    <w:nsid w:val="50261737"/>
    <w:multiLevelType w:val="multilevel"/>
    <w:tmpl w:val="50261737"/>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7">
    <w:nsid w:val="5043553E"/>
    <w:multiLevelType w:val="multilevel"/>
    <w:tmpl w:val="5043553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8">
    <w:nsid w:val="506F0683"/>
    <w:multiLevelType w:val="multilevel"/>
    <w:tmpl w:val="506F068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9">
    <w:nsid w:val="508A74EE"/>
    <w:multiLevelType w:val="multilevel"/>
    <w:tmpl w:val="508A74E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0">
    <w:nsid w:val="509479FC"/>
    <w:multiLevelType w:val="multilevel"/>
    <w:tmpl w:val="509479F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1">
    <w:nsid w:val="50C01D23"/>
    <w:multiLevelType w:val="multilevel"/>
    <w:tmpl w:val="50C01D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2">
    <w:nsid w:val="50ED62D3"/>
    <w:multiLevelType w:val="multilevel"/>
    <w:tmpl w:val="50ED62D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3">
    <w:nsid w:val="515B5766"/>
    <w:multiLevelType w:val="multilevel"/>
    <w:tmpl w:val="515B576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4">
    <w:nsid w:val="51811695"/>
    <w:multiLevelType w:val="multilevel"/>
    <w:tmpl w:val="5181169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5">
    <w:nsid w:val="518943D0"/>
    <w:multiLevelType w:val="multilevel"/>
    <w:tmpl w:val="518943D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6">
    <w:nsid w:val="51C07697"/>
    <w:multiLevelType w:val="multilevel"/>
    <w:tmpl w:val="51C076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7">
    <w:nsid w:val="520D01F3"/>
    <w:multiLevelType w:val="multilevel"/>
    <w:tmpl w:val="520D01F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8">
    <w:nsid w:val="521B2C9C"/>
    <w:multiLevelType w:val="multilevel"/>
    <w:tmpl w:val="521B2C9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9">
    <w:nsid w:val="524735A3"/>
    <w:multiLevelType w:val="multilevel"/>
    <w:tmpl w:val="524735A3"/>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0">
    <w:nsid w:val="524C731B"/>
    <w:multiLevelType w:val="multilevel"/>
    <w:tmpl w:val="524C731B"/>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71">
    <w:nsid w:val="52A53D88"/>
    <w:multiLevelType w:val="multilevel"/>
    <w:tmpl w:val="52A53D8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2">
    <w:nsid w:val="53036556"/>
    <w:multiLevelType w:val="multilevel"/>
    <w:tmpl w:val="53036556"/>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73">
    <w:nsid w:val="53354F5E"/>
    <w:multiLevelType w:val="multilevel"/>
    <w:tmpl w:val="53354F5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4">
    <w:nsid w:val="535F20F4"/>
    <w:multiLevelType w:val="multilevel"/>
    <w:tmpl w:val="535F20F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5">
    <w:nsid w:val="537907E9"/>
    <w:multiLevelType w:val="multilevel"/>
    <w:tmpl w:val="537907E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6">
    <w:nsid w:val="54050BEE"/>
    <w:multiLevelType w:val="multilevel"/>
    <w:tmpl w:val="54050BE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7">
    <w:nsid w:val="54103DB1"/>
    <w:multiLevelType w:val="multilevel"/>
    <w:tmpl w:val="54103DB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8">
    <w:nsid w:val="543A6C47"/>
    <w:multiLevelType w:val="multilevel"/>
    <w:tmpl w:val="543A6C4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9">
    <w:nsid w:val="548B303C"/>
    <w:multiLevelType w:val="multilevel"/>
    <w:tmpl w:val="548B303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0">
    <w:nsid w:val="5497608B"/>
    <w:multiLevelType w:val="multilevel"/>
    <w:tmpl w:val="5497608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1">
    <w:nsid w:val="549C39B7"/>
    <w:multiLevelType w:val="multilevel"/>
    <w:tmpl w:val="549C39B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2">
    <w:nsid w:val="54D547C4"/>
    <w:multiLevelType w:val="multilevel"/>
    <w:tmpl w:val="54D547C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3">
    <w:nsid w:val="54DF2B28"/>
    <w:multiLevelType w:val="multilevel"/>
    <w:tmpl w:val="54DF2B2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4">
    <w:nsid w:val="55AF55DB"/>
    <w:multiLevelType w:val="multilevel"/>
    <w:tmpl w:val="55AF55D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5">
    <w:nsid w:val="561C4792"/>
    <w:multiLevelType w:val="multilevel"/>
    <w:tmpl w:val="561C479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6">
    <w:nsid w:val="56635745"/>
    <w:multiLevelType w:val="multilevel"/>
    <w:tmpl w:val="5663574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7">
    <w:nsid w:val="56716256"/>
    <w:multiLevelType w:val="multilevel"/>
    <w:tmpl w:val="5671625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8">
    <w:nsid w:val="56AE0B67"/>
    <w:multiLevelType w:val="multilevel"/>
    <w:tmpl w:val="56AE0B6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9">
    <w:nsid w:val="57104506"/>
    <w:multiLevelType w:val="multilevel"/>
    <w:tmpl w:val="5710450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0">
    <w:nsid w:val="579525BD"/>
    <w:multiLevelType w:val="multilevel"/>
    <w:tmpl w:val="579525B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1">
    <w:nsid w:val="57E65F46"/>
    <w:multiLevelType w:val="multilevel"/>
    <w:tmpl w:val="57E65F4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2">
    <w:nsid w:val="59282B25"/>
    <w:multiLevelType w:val="multilevel"/>
    <w:tmpl w:val="59282B2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3">
    <w:nsid w:val="59677FED"/>
    <w:multiLevelType w:val="multilevel"/>
    <w:tmpl w:val="59677FE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4">
    <w:nsid w:val="59B24FC1"/>
    <w:multiLevelType w:val="multilevel"/>
    <w:tmpl w:val="59B24FC1"/>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95">
    <w:nsid w:val="5A012F38"/>
    <w:multiLevelType w:val="multilevel"/>
    <w:tmpl w:val="5A012F38"/>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96">
    <w:nsid w:val="5A9C49E1"/>
    <w:multiLevelType w:val="multilevel"/>
    <w:tmpl w:val="5A9C49E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7">
    <w:nsid w:val="5B510EA2"/>
    <w:multiLevelType w:val="multilevel"/>
    <w:tmpl w:val="5B510EA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8">
    <w:nsid w:val="5B7573A2"/>
    <w:multiLevelType w:val="multilevel"/>
    <w:tmpl w:val="5B7573A2"/>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9">
    <w:nsid w:val="5B884CBD"/>
    <w:multiLevelType w:val="multilevel"/>
    <w:tmpl w:val="5B884CBD"/>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00">
    <w:nsid w:val="5C544792"/>
    <w:multiLevelType w:val="multilevel"/>
    <w:tmpl w:val="5C54479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1">
    <w:nsid w:val="5CA86668"/>
    <w:multiLevelType w:val="multilevel"/>
    <w:tmpl w:val="5CA8666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2">
    <w:nsid w:val="5CCF4082"/>
    <w:multiLevelType w:val="multilevel"/>
    <w:tmpl w:val="5CCF408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3">
    <w:nsid w:val="5D320C9C"/>
    <w:multiLevelType w:val="multilevel"/>
    <w:tmpl w:val="5D320C9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4">
    <w:nsid w:val="5D624804"/>
    <w:multiLevelType w:val="multilevel"/>
    <w:tmpl w:val="5D62480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5">
    <w:nsid w:val="5D6C3EB4"/>
    <w:multiLevelType w:val="multilevel"/>
    <w:tmpl w:val="5D6C3EB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6">
    <w:nsid w:val="5DD035F6"/>
    <w:multiLevelType w:val="multilevel"/>
    <w:tmpl w:val="5DD035F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7">
    <w:nsid w:val="5EEB2274"/>
    <w:multiLevelType w:val="multilevel"/>
    <w:tmpl w:val="5EEB2274"/>
    <w:lvl w:ilvl="0" w:tentative="0">
      <w:start w:val="1"/>
      <w:numFmt w:val="decimal"/>
      <w:suff w:val="nothing"/>
      <w:lvlText w:val="%1）"/>
      <w:lvlJc w:val="left"/>
      <w:pPr>
        <w:ind w:left="360" w:hanging="36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08">
    <w:nsid w:val="5F2E3314"/>
    <w:multiLevelType w:val="multilevel"/>
    <w:tmpl w:val="5F2E331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9">
    <w:nsid w:val="5F370995"/>
    <w:multiLevelType w:val="multilevel"/>
    <w:tmpl w:val="5F37099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0">
    <w:nsid w:val="60086AF9"/>
    <w:multiLevelType w:val="multilevel"/>
    <w:tmpl w:val="60086AF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1">
    <w:nsid w:val="60351CBF"/>
    <w:multiLevelType w:val="multilevel"/>
    <w:tmpl w:val="60351CB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2">
    <w:nsid w:val="60567E17"/>
    <w:multiLevelType w:val="multilevel"/>
    <w:tmpl w:val="60567E1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3">
    <w:nsid w:val="60741371"/>
    <w:multiLevelType w:val="multilevel"/>
    <w:tmpl w:val="60741371"/>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4">
    <w:nsid w:val="60B30B7E"/>
    <w:multiLevelType w:val="multilevel"/>
    <w:tmpl w:val="60B30B7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5">
    <w:nsid w:val="60F67F77"/>
    <w:multiLevelType w:val="multilevel"/>
    <w:tmpl w:val="60F67F7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6">
    <w:nsid w:val="61530704"/>
    <w:multiLevelType w:val="multilevel"/>
    <w:tmpl w:val="6153070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7">
    <w:nsid w:val="61985A95"/>
    <w:multiLevelType w:val="multilevel"/>
    <w:tmpl w:val="61985A95"/>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8">
    <w:nsid w:val="62814030"/>
    <w:multiLevelType w:val="multilevel"/>
    <w:tmpl w:val="6281403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9">
    <w:nsid w:val="62C33180"/>
    <w:multiLevelType w:val="multilevel"/>
    <w:tmpl w:val="62C3318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0">
    <w:nsid w:val="62E52F40"/>
    <w:multiLevelType w:val="multilevel"/>
    <w:tmpl w:val="62E52F4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1">
    <w:nsid w:val="6302008F"/>
    <w:multiLevelType w:val="multilevel"/>
    <w:tmpl w:val="6302008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2">
    <w:nsid w:val="631D0A5D"/>
    <w:multiLevelType w:val="multilevel"/>
    <w:tmpl w:val="631D0A5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3">
    <w:nsid w:val="63C67A68"/>
    <w:multiLevelType w:val="multilevel"/>
    <w:tmpl w:val="63C67A6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4">
    <w:nsid w:val="63C950E2"/>
    <w:multiLevelType w:val="multilevel"/>
    <w:tmpl w:val="63C950E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5">
    <w:nsid w:val="63E05D2B"/>
    <w:multiLevelType w:val="multilevel"/>
    <w:tmpl w:val="63E05D2B"/>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26">
    <w:nsid w:val="643E6386"/>
    <w:multiLevelType w:val="multilevel"/>
    <w:tmpl w:val="643E638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7">
    <w:nsid w:val="64991BF9"/>
    <w:multiLevelType w:val="multilevel"/>
    <w:tmpl w:val="64991BF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8">
    <w:nsid w:val="64BD6440"/>
    <w:multiLevelType w:val="multilevel"/>
    <w:tmpl w:val="64BD644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9">
    <w:nsid w:val="6528706C"/>
    <w:multiLevelType w:val="multilevel"/>
    <w:tmpl w:val="652870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0">
    <w:nsid w:val="653624D0"/>
    <w:multiLevelType w:val="multilevel"/>
    <w:tmpl w:val="653624D0"/>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31">
    <w:nsid w:val="65444062"/>
    <w:multiLevelType w:val="multilevel"/>
    <w:tmpl w:val="65444062"/>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2">
    <w:nsid w:val="65D858C6"/>
    <w:multiLevelType w:val="multilevel"/>
    <w:tmpl w:val="65D858C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3">
    <w:nsid w:val="6602270B"/>
    <w:multiLevelType w:val="multilevel"/>
    <w:tmpl w:val="6602270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4">
    <w:nsid w:val="660929CE"/>
    <w:multiLevelType w:val="multilevel"/>
    <w:tmpl w:val="660929C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5">
    <w:nsid w:val="66371472"/>
    <w:multiLevelType w:val="multilevel"/>
    <w:tmpl w:val="6637147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6">
    <w:nsid w:val="66842A00"/>
    <w:multiLevelType w:val="multilevel"/>
    <w:tmpl w:val="66842A0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7">
    <w:nsid w:val="66C971B3"/>
    <w:multiLevelType w:val="multilevel"/>
    <w:tmpl w:val="66C971B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8">
    <w:nsid w:val="6705044E"/>
    <w:multiLevelType w:val="multilevel"/>
    <w:tmpl w:val="6705044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9">
    <w:nsid w:val="676431B6"/>
    <w:multiLevelType w:val="multilevel"/>
    <w:tmpl w:val="676431B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0">
    <w:nsid w:val="67A03298"/>
    <w:multiLevelType w:val="multilevel"/>
    <w:tmpl w:val="67A03298"/>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1">
    <w:nsid w:val="67A73B0A"/>
    <w:multiLevelType w:val="multilevel"/>
    <w:tmpl w:val="67A73B0A"/>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2">
    <w:nsid w:val="67DE6FBF"/>
    <w:multiLevelType w:val="multilevel"/>
    <w:tmpl w:val="67DE6FB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3">
    <w:nsid w:val="680A1361"/>
    <w:multiLevelType w:val="multilevel"/>
    <w:tmpl w:val="680A136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4">
    <w:nsid w:val="684608CE"/>
    <w:multiLevelType w:val="multilevel"/>
    <w:tmpl w:val="684608CE"/>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45">
    <w:nsid w:val="688C0F67"/>
    <w:multiLevelType w:val="multilevel"/>
    <w:tmpl w:val="688C0F6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6">
    <w:nsid w:val="68CC24B1"/>
    <w:multiLevelType w:val="multilevel"/>
    <w:tmpl w:val="68CC24B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7">
    <w:nsid w:val="69900AF3"/>
    <w:multiLevelType w:val="multilevel"/>
    <w:tmpl w:val="69900AF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8">
    <w:nsid w:val="6994147B"/>
    <w:multiLevelType w:val="multilevel"/>
    <w:tmpl w:val="6994147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9">
    <w:nsid w:val="69D313A3"/>
    <w:multiLevelType w:val="multilevel"/>
    <w:tmpl w:val="69D313A3"/>
    <w:lvl w:ilvl="0" w:tentative="0">
      <w:start w:val="1"/>
      <w:numFmt w:val="decimal"/>
      <w:lvlText w:val="%1、"/>
      <w:lvlJc w:val="left"/>
      <w:pPr>
        <w:ind w:left="1347" w:hanging="720"/>
      </w:pPr>
      <w:rPr>
        <w:rFonts w:hint="default"/>
      </w:rPr>
    </w:lvl>
    <w:lvl w:ilvl="1" w:tentative="0">
      <w:start w:val="1"/>
      <w:numFmt w:val="lowerLetter"/>
      <w:lvlText w:val="%2)"/>
      <w:lvlJc w:val="left"/>
      <w:pPr>
        <w:ind w:left="1467" w:hanging="420"/>
      </w:pPr>
    </w:lvl>
    <w:lvl w:ilvl="2" w:tentative="0">
      <w:start w:val="1"/>
      <w:numFmt w:val="lowerRoman"/>
      <w:lvlText w:val="%3."/>
      <w:lvlJc w:val="right"/>
      <w:pPr>
        <w:ind w:left="1887" w:hanging="420"/>
      </w:pPr>
    </w:lvl>
    <w:lvl w:ilvl="3" w:tentative="0">
      <w:start w:val="1"/>
      <w:numFmt w:val="decimal"/>
      <w:lvlText w:val="%4."/>
      <w:lvlJc w:val="left"/>
      <w:pPr>
        <w:ind w:left="2307" w:hanging="420"/>
      </w:pPr>
    </w:lvl>
    <w:lvl w:ilvl="4" w:tentative="0">
      <w:start w:val="1"/>
      <w:numFmt w:val="lowerLetter"/>
      <w:lvlText w:val="%5)"/>
      <w:lvlJc w:val="left"/>
      <w:pPr>
        <w:ind w:left="2727" w:hanging="420"/>
      </w:pPr>
    </w:lvl>
    <w:lvl w:ilvl="5" w:tentative="0">
      <w:start w:val="1"/>
      <w:numFmt w:val="lowerRoman"/>
      <w:lvlText w:val="%6."/>
      <w:lvlJc w:val="right"/>
      <w:pPr>
        <w:ind w:left="3147" w:hanging="420"/>
      </w:pPr>
    </w:lvl>
    <w:lvl w:ilvl="6" w:tentative="0">
      <w:start w:val="1"/>
      <w:numFmt w:val="decimal"/>
      <w:lvlText w:val="%7."/>
      <w:lvlJc w:val="left"/>
      <w:pPr>
        <w:ind w:left="3567" w:hanging="420"/>
      </w:pPr>
    </w:lvl>
    <w:lvl w:ilvl="7" w:tentative="0">
      <w:start w:val="1"/>
      <w:numFmt w:val="lowerLetter"/>
      <w:lvlText w:val="%8)"/>
      <w:lvlJc w:val="left"/>
      <w:pPr>
        <w:ind w:left="3987" w:hanging="420"/>
      </w:pPr>
    </w:lvl>
    <w:lvl w:ilvl="8" w:tentative="0">
      <w:start w:val="1"/>
      <w:numFmt w:val="lowerRoman"/>
      <w:lvlText w:val="%9."/>
      <w:lvlJc w:val="right"/>
      <w:pPr>
        <w:ind w:left="4407" w:hanging="420"/>
      </w:pPr>
    </w:lvl>
  </w:abstractNum>
  <w:abstractNum w:abstractNumId="350">
    <w:nsid w:val="69D60A33"/>
    <w:multiLevelType w:val="multilevel"/>
    <w:tmpl w:val="69D60A3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1">
    <w:nsid w:val="6A963A36"/>
    <w:multiLevelType w:val="multilevel"/>
    <w:tmpl w:val="6A963A3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2">
    <w:nsid w:val="6AAA4B3F"/>
    <w:multiLevelType w:val="multilevel"/>
    <w:tmpl w:val="6AAA4B3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3">
    <w:nsid w:val="6AE51E03"/>
    <w:multiLevelType w:val="multilevel"/>
    <w:tmpl w:val="6AE51E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4">
    <w:nsid w:val="6B2F3210"/>
    <w:multiLevelType w:val="multilevel"/>
    <w:tmpl w:val="6B2F321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5">
    <w:nsid w:val="6B305512"/>
    <w:multiLevelType w:val="multilevel"/>
    <w:tmpl w:val="6B3055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6">
    <w:nsid w:val="6B987AAE"/>
    <w:multiLevelType w:val="multilevel"/>
    <w:tmpl w:val="6B987AA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7">
    <w:nsid w:val="6B9F005A"/>
    <w:multiLevelType w:val="multilevel"/>
    <w:tmpl w:val="6B9F005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8">
    <w:nsid w:val="6BB54F76"/>
    <w:multiLevelType w:val="multilevel"/>
    <w:tmpl w:val="6BB54F7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9">
    <w:nsid w:val="6C7A63FF"/>
    <w:multiLevelType w:val="multilevel"/>
    <w:tmpl w:val="6C7A63F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0">
    <w:nsid w:val="6CCD4D1D"/>
    <w:multiLevelType w:val="multilevel"/>
    <w:tmpl w:val="6CCD4D1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1">
    <w:nsid w:val="6D1229DB"/>
    <w:multiLevelType w:val="multilevel"/>
    <w:tmpl w:val="6D1229D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2">
    <w:nsid w:val="6DF94AD8"/>
    <w:multiLevelType w:val="multilevel"/>
    <w:tmpl w:val="6DF94AD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3">
    <w:nsid w:val="6ED70BB1"/>
    <w:multiLevelType w:val="multilevel"/>
    <w:tmpl w:val="6ED70BB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4">
    <w:nsid w:val="6F987C72"/>
    <w:multiLevelType w:val="multilevel"/>
    <w:tmpl w:val="6F987C7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5">
    <w:nsid w:val="6FAA155C"/>
    <w:multiLevelType w:val="multilevel"/>
    <w:tmpl w:val="6FAA155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6">
    <w:nsid w:val="6FC11CEC"/>
    <w:multiLevelType w:val="multilevel"/>
    <w:tmpl w:val="6FC11CE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7">
    <w:nsid w:val="70250A66"/>
    <w:multiLevelType w:val="multilevel"/>
    <w:tmpl w:val="70250A6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8">
    <w:nsid w:val="707D4BCB"/>
    <w:multiLevelType w:val="multilevel"/>
    <w:tmpl w:val="707D4BCB"/>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9">
    <w:nsid w:val="70B10E18"/>
    <w:multiLevelType w:val="multilevel"/>
    <w:tmpl w:val="70B10E1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0">
    <w:nsid w:val="710E748A"/>
    <w:multiLevelType w:val="multilevel"/>
    <w:tmpl w:val="710E748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1">
    <w:nsid w:val="712E4B51"/>
    <w:multiLevelType w:val="multilevel"/>
    <w:tmpl w:val="712E4B5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2">
    <w:nsid w:val="71337A17"/>
    <w:multiLevelType w:val="multilevel"/>
    <w:tmpl w:val="71337A1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3">
    <w:nsid w:val="715A58BB"/>
    <w:multiLevelType w:val="multilevel"/>
    <w:tmpl w:val="715A58B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4">
    <w:nsid w:val="71744A2D"/>
    <w:multiLevelType w:val="multilevel"/>
    <w:tmpl w:val="71744A2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5">
    <w:nsid w:val="71EB07D2"/>
    <w:multiLevelType w:val="multilevel"/>
    <w:tmpl w:val="71EB07D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6">
    <w:nsid w:val="72556D65"/>
    <w:multiLevelType w:val="multilevel"/>
    <w:tmpl w:val="72556D6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7">
    <w:nsid w:val="727A7B8B"/>
    <w:multiLevelType w:val="multilevel"/>
    <w:tmpl w:val="727A7B8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8">
    <w:nsid w:val="73235F6E"/>
    <w:multiLevelType w:val="multilevel"/>
    <w:tmpl w:val="73235F6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9">
    <w:nsid w:val="732B17D5"/>
    <w:multiLevelType w:val="multilevel"/>
    <w:tmpl w:val="732B17D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0">
    <w:nsid w:val="73BE12BB"/>
    <w:multiLevelType w:val="multilevel"/>
    <w:tmpl w:val="73BE12BB"/>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1">
    <w:nsid w:val="74163D9A"/>
    <w:multiLevelType w:val="multilevel"/>
    <w:tmpl w:val="74163D9A"/>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2">
    <w:nsid w:val="74BE61B2"/>
    <w:multiLevelType w:val="multilevel"/>
    <w:tmpl w:val="74BE61B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3">
    <w:nsid w:val="75336F28"/>
    <w:multiLevelType w:val="multilevel"/>
    <w:tmpl w:val="75336F2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4">
    <w:nsid w:val="75CB2E92"/>
    <w:multiLevelType w:val="multilevel"/>
    <w:tmpl w:val="75CB2E92"/>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85">
    <w:nsid w:val="767540DD"/>
    <w:multiLevelType w:val="multilevel"/>
    <w:tmpl w:val="767540D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6">
    <w:nsid w:val="768102B1"/>
    <w:multiLevelType w:val="multilevel"/>
    <w:tmpl w:val="768102B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7">
    <w:nsid w:val="76B67A48"/>
    <w:multiLevelType w:val="multilevel"/>
    <w:tmpl w:val="76B67A4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8">
    <w:nsid w:val="76C00220"/>
    <w:multiLevelType w:val="multilevel"/>
    <w:tmpl w:val="76C0022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9">
    <w:nsid w:val="76C417FD"/>
    <w:multiLevelType w:val="multilevel"/>
    <w:tmpl w:val="76C417F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0">
    <w:nsid w:val="76E509BF"/>
    <w:multiLevelType w:val="multilevel"/>
    <w:tmpl w:val="76E509B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1">
    <w:nsid w:val="77471F70"/>
    <w:multiLevelType w:val="multilevel"/>
    <w:tmpl w:val="77471F7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2">
    <w:nsid w:val="785B7C68"/>
    <w:multiLevelType w:val="multilevel"/>
    <w:tmpl w:val="785B7C6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3">
    <w:nsid w:val="787D252E"/>
    <w:multiLevelType w:val="multilevel"/>
    <w:tmpl w:val="787D252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4">
    <w:nsid w:val="789666AF"/>
    <w:multiLevelType w:val="multilevel"/>
    <w:tmpl w:val="789666A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5">
    <w:nsid w:val="78E6667C"/>
    <w:multiLevelType w:val="multilevel"/>
    <w:tmpl w:val="78E6667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6">
    <w:nsid w:val="790E552C"/>
    <w:multiLevelType w:val="multilevel"/>
    <w:tmpl w:val="790E552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7">
    <w:nsid w:val="798548E4"/>
    <w:multiLevelType w:val="multilevel"/>
    <w:tmpl w:val="798548E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8">
    <w:nsid w:val="79C07EF0"/>
    <w:multiLevelType w:val="multilevel"/>
    <w:tmpl w:val="79C07EF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9">
    <w:nsid w:val="7A50294C"/>
    <w:multiLevelType w:val="multilevel"/>
    <w:tmpl w:val="7A50294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0">
    <w:nsid w:val="7BF128A7"/>
    <w:multiLevelType w:val="multilevel"/>
    <w:tmpl w:val="7BF128A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1">
    <w:nsid w:val="7BF2404A"/>
    <w:multiLevelType w:val="multilevel"/>
    <w:tmpl w:val="7BF2404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2">
    <w:nsid w:val="7C423473"/>
    <w:multiLevelType w:val="multilevel"/>
    <w:tmpl w:val="7C42347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3">
    <w:nsid w:val="7C6F0D23"/>
    <w:multiLevelType w:val="multilevel"/>
    <w:tmpl w:val="7C6F0D2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4">
    <w:nsid w:val="7C7B43D6"/>
    <w:multiLevelType w:val="multilevel"/>
    <w:tmpl w:val="7C7B43D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5">
    <w:nsid w:val="7C976E38"/>
    <w:multiLevelType w:val="multilevel"/>
    <w:tmpl w:val="7C976E3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6">
    <w:nsid w:val="7D255656"/>
    <w:multiLevelType w:val="multilevel"/>
    <w:tmpl w:val="7D25565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7">
    <w:nsid w:val="7D531AA5"/>
    <w:multiLevelType w:val="multilevel"/>
    <w:tmpl w:val="7D531AA5"/>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08">
    <w:nsid w:val="7E0D05B8"/>
    <w:multiLevelType w:val="multilevel"/>
    <w:tmpl w:val="7E0D05B8"/>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9">
    <w:nsid w:val="7EA66D03"/>
    <w:multiLevelType w:val="multilevel"/>
    <w:tmpl w:val="7EA66D03"/>
    <w:lvl w:ilvl="0" w:tentative="0">
      <w:start w:val="1"/>
      <w:numFmt w:val="decimal"/>
      <w:suff w:val="nothing"/>
      <w:lvlText w:val="%1）"/>
      <w:lvlJc w:val="left"/>
      <w:pPr>
        <w:ind w:left="360" w:hanging="360"/>
      </w:pPr>
      <w:rPr>
        <w:rFonts w:hint="default"/>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10">
    <w:nsid w:val="7FDF569B"/>
    <w:multiLevelType w:val="multilevel"/>
    <w:tmpl w:val="7FDF569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49"/>
  </w:num>
  <w:num w:numId="2">
    <w:abstractNumId w:val="200"/>
  </w:num>
  <w:num w:numId="3">
    <w:abstractNumId w:val="70"/>
  </w:num>
  <w:num w:numId="4">
    <w:abstractNumId w:val="86"/>
  </w:num>
  <w:num w:numId="5">
    <w:abstractNumId w:val="77"/>
  </w:num>
  <w:num w:numId="6">
    <w:abstractNumId w:val="256"/>
  </w:num>
  <w:num w:numId="7">
    <w:abstractNumId w:val="178"/>
  </w:num>
  <w:num w:numId="8">
    <w:abstractNumId w:val="298"/>
  </w:num>
  <w:num w:numId="9">
    <w:abstractNumId w:val="341"/>
  </w:num>
  <w:num w:numId="10">
    <w:abstractNumId w:val="187"/>
  </w:num>
  <w:num w:numId="11">
    <w:abstractNumId w:val="205"/>
  </w:num>
  <w:num w:numId="12">
    <w:abstractNumId w:val="368"/>
  </w:num>
  <w:num w:numId="13">
    <w:abstractNumId w:val="317"/>
  </w:num>
  <w:num w:numId="14">
    <w:abstractNumId w:val="340"/>
  </w:num>
  <w:num w:numId="15">
    <w:abstractNumId w:val="130"/>
  </w:num>
  <w:num w:numId="16">
    <w:abstractNumId w:val="105"/>
  </w:num>
  <w:num w:numId="17">
    <w:abstractNumId w:val="71"/>
  </w:num>
  <w:num w:numId="18">
    <w:abstractNumId w:val="231"/>
  </w:num>
  <w:num w:numId="19">
    <w:abstractNumId w:val="313"/>
  </w:num>
  <w:num w:numId="20">
    <w:abstractNumId w:val="201"/>
  </w:num>
  <w:num w:numId="21">
    <w:abstractNumId w:val="148"/>
  </w:num>
  <w:num w:numId="22">
    <w:abstractNumId w:val="380"/>
  </w:num>
  <w:num w:numId="23">
    <w:abstractNumId w:val="25"/>
  </w:num>
  <w:num w:numId="24">
    <w:abstractNumId w:val="42"/>
  </w:num>
  <w:num w:numId="25">
    <w:abstractNumId w:val="331"/>
  </w:num>
  <w:num w:numId="26">
    <w:abstractNumId w:val="381"/>
  </w:num>
  <w:num w:numId="27">
    <w:abstractNumId w:val="212"/>
  </w:num>
  <w:num w:numId="28">
    <w:abstractNumId w:val="301"/>
  </w:num>
  <w:num w:numId="29">
    <w:abstractNumId w:val="278"/>
  </w:num>
  <w:num w:numId="30">
    <w:abstractNumId w:val="24"/>
  </w:num>
  <w:num w:numId="31">
    <w:abstractNumId w:val="299"/>
  </w:num>
  <w:num w:numId="32">
    <w:abstractNumId w:val="264"/>
  </w:num>
  <w:num w:numId="33">
    <w:abstractNumId w:val="261"/>
  </w:num>
  <w:num w:numId="34">
    <w:abstractNumId w:val="319"/>
  </w:num>
  <w:num w:numId="35">
    <w:abstractNumId w:val="209"/>
  </w:num>
  <w:num w:numId="36">
    <w:abstractNumId w:val="249"/>
  </w:num>
  <w:num w:numId="37">
    <w:abstractNumId w:val="387"/>
  </w:num>
  <w:num w:numId="38">
    <w:abstractNumId w:val="123"/>
  </w:num>
  <w:num w:numId="39">
    <w:abstractNumId w:val="307"/>
  </w:num>
  <w:num w:numId="40">
    <w:abstractNumId w:val="306"/>
  </w:num>
  <w:num w:numId="41">
    <w:abstractNumId w:val="303"/>
  </w:num>
  <w:num w:numId="42">
    <w:abstractNumId w:val="363"/>
  </w:num>
  <w:num w:numId="43">
    <w:abstractNumId w:val="342"/>
  </w:num>
  <w:num w:numId="44">
    <w:abstractNumId w:val="170"/>
  </w:num>
  <w:num w:numId="45">
    <w:abstractNumId w:val="334"/>
  </w:num>
  <w:num w:numId="46">
    <w:abstractNumId w:val="188"/>
  </w:num>
  <w:num w:numId="47">
    <w:abstractNumId w:val="254"/>
  </w:num>
  <w:num w:numId="48">
    <w:abstractNumId w:val="254"/>
    <w:lvlOverride w:ilvl="0">
      <w:lvl w:ilvl="0" w:tentative="1">
        <w:start w:val="1"/>
        <w:numFmt w:val="decimal"/>
        <w:suff w:val="nothing"/>
        <w:lvlText w:val="%1）"/>
        <w:lvlJc w:val="left"/>
        <w:pPr>
          <w:ind w:left="360" w:hanging="360"/>
        </w:pPr>
        <w:rPr>
          <w:rFonts w:hint="default" w:ascii="Times New Roman" w:hAnsi="Times New Roman"/>
          <w:color w:val="000000"/>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49">
    <w:abstractNumId w:val="78"/>
  </w:num>
  <w:num w:numId="50">
    <w:abstractNumId w:val="384"/>
  </w:num>
  <w:num w:numId="51">
    <w:abstractNumId w:val="403"/>
  </w:num>
  <w:num w:numId="52">
    <w:abstractNumId w:val="109"/>
  </w:num>
  <w:num w:numId="53">
    <w:abstractNumId w:val="250"/>
  </w:num>
  <w:num w:numId="54">
    <w:abstractNumId w:val="166"/>
  </w:num>
  <w:num w:numId="55">
    <w:abstractNumId w:val="203"/>
  </w:num>
  <w:num w:numId="56">
    <w:abstractNumId w:val="99"/>
  </w:num>
  <w:num w:numId="57">
    <w:abstractNumId w:val="79"/>
  </w:num>
  <w:num w:numId="58">
    <w:abstractNumId w:val="191"/>
  </w:num>
  <w:num w:numId="59">
    <w:abstractNumId w:val="72"/>
  </w:num>
  <w:num w:numId="60">
    <w:abstractNumId w:val="140"/>
  </w:num>
  <w:num w:numId="61">
    <w:abstractNumId w:val="304"/>
  </w:num>
  <w:num w:numId="62">
    <w:abstractNumId w:val="163"/>
  </w:num>
  <w:num w:numId="63">
    <w:abstractNumId w:val="163"/>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64">
    <w:abstractNumId w:val="163"/>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65">
    <w:abstractNumId w:val="102"/>
  </w:num>
  <w:num w:numId="66">
    <w:abstractNumId w:val="17"/>
  </w:num>
  <w:num w:numId="67">
    <w:abstractNumId w:val="221"/>
  </w:num>
  <w:num w:numId="68">
    <w:abstractNumId w:val="100"/>
  </w:num>
  <w:num w:numId="69">
    <w:abstractNumId w:val="179"/>
  </w:num>
  <w:num w:numId="70">
    <w:abstractNumId w:val="389"/>
  </w:num>
  <w:num w:numId="71">
    <w:abstractNumId w:val="171"/>
  </w:num>
  <w:num w:numId="72">
    <w:abstractNumId w:val="362"/>
  </w:num>
  <w:num w:numId="73">
    <w:abstractNumId w:val="263"/>
  </w:num>
  <w:num w:numId="74">
    <w:abstractNumId w:val="316"/>
  </w:num>
  <w:num w:numId="75">
    <w:abstractNumId w:val="277"/>
  </w:num>
  <w:num w:numId="76">
    <w:abstractNumId w:val="398"/>
  </w:num>
  <w:num w:numId="77">
    <w:abstractNumId w:val="94"/>
  </w:num>
  <w:num w:numId="78">
    <w:abstractNumId w:val="165"/>
  </w:num>
  <w:num w:numId="79">
    <w:abstractNumId w:val="338"/>
  </w:num>
  <w:num w:numId="80">
    <w:abstractNumId w:val="259"/>
  </w:num>
  <w:num w:numId="81">
    <w:abstractNumId w:val="48"/>
  </w:num>
  <w:num w:numId="82">
    <w:abstractNumId w:val="385"/>
  </w:num>
  <w:num w:numId="83">
    <w:abstractNumId w:val="324"/>
  </w:num>
  <w:num w:numId="84">
    <w:abstractNumId w:val="159"/>
  </w:num>
  <w:num w:numId="85">
    <w:abstractNumId w:val="4"/>
  </w:num>
  <w:num w:numId="86">
    <w:abstractNumId w:val="328"/>
  </w:num>
  <w:num w:numId="87">
    <w:abstractNumId w:val="242"/>
  </w:num>
  <w:num w:numId="88">
    <w:abstractNumId w:val="318"/>
  </w:num>
  <w:num w:numId="89">
    <w:abstractNumId w:val="339"/>
  </w:num>
  <w:num w:numId="90">
    <w:abstractNumId w:val="181"/>
  </w:num>
  <w:num w:numId="91">
    <w:abstractNumId w:val="110"/>
  </w:num>
  <w:num w:numId="92">
    <w:abstractNumId w:val="15"/>
  </w:num>
  <w:num w:numId="93">
    <w:abstractNumId w:val="199"/>
  </w:num>
  <w:num w:numId="94">
    <w:abstractNumId w:val="117"/>
  </w:num>
  <w:num w:numId="95">
    <w:abstractNumId w:val="255"/>
  </w:num>
  <w:num w:numId="96">
    <w:abstractNumId w:val="335"/>
  </w:num>
  <w:num w:numId="97">
    <w:abstractNumId w:val="172"/>
  </w:num>
  <w:num w:numId="98">
    <w:abstractNumId w:val="172"/>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99">
    <w:abstractNumId w:val="18"/>
  </w:num>
  <w:num w:numId="100">
    <w:abstractNumId w:val="204"/>
  </w:num>
  <w:num w:numId="101">
    <w:abstractNumId w:val="189"/>
  </w:num>
  <w:num w:numId="102">
    <w:abstractNumId w:val="202"/>
  </w:num>
  <w:num w:numId="103">
    <w:abstractNumId w:val="6"/>
  </w:num>
  <w:num w:numId="104">
    <w:abstractNumId w:val="214"/>
  </w:num>
  <w:num w:numId="105">
    <w:abstractNumId w:val="216"/>
  </w:num>
  <w:num w:numId="106">
    <w:abstractNumId w:val="388"/>
  </w:num>
  <w:num w:numId="107">
    <w:abstractNumId w:val="280"/>
  </w:num>
  <w:num w:numId="108">
    <w:abstractNumId w:val="397"/>
  </w:num>
  <w:num w:numId="109">
    <w:abstractNumId w:val="136"/>
  </w:num>
  <w:num w:numId="110">
    <w:abstractNumId w:val="5"/>
  </w:num>
  <w:num w:numId="111">
    <w:abstractNumId w:val="5"/>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112">
    <w:abstractNumId w:val="129"/>
  </w:num>
  <w:num w:numId="113">
    <w:abstractNumId w:val="122"/>
  </w:num>
  <w:num w:numId="114">
    <w:abstractNumId w:val="243"/>
  </w:num>
  <w:num w:numId="115">
    <w:abstractNumId w:val="235"/>
  </w:num>
  <w:num w:numId="116">
    <w:abstractNumId w:val="169"/>
  </w:num>
  <w:num w:numId="117">
    <w:abstractNumId w:val="55"/>
  </w:num>
  <w:num w:numId="118">
    <w:abstractNumId w:val="267"/>
  </w:num>
  <w:num w:numId="119">
    <w:abstractNumId w:val="90"/>
  </w:num>
  <w:num w:numId="120">
    <w:abstractNumId w:val="322"/>
  </w:num>
  <w:num w:numId="121">
    <w:abstractNumId w:val="173"/>
  </w:num>
  <w:num w:numId="122">
    <w:abstractNumId w:val="118"/>
  </w:num>
  <w:num w:numId="123">
    <w:abstractNumId w:val="333"/>
  </w:num>
  <w:num w:numId="124">
    <w:abstractNumId w:val="296"/>
  </w:num>
  <w:num w:numId="125">
    <w:abstractNumId w:val="351"/>
  </w:num>
  <w:num w:numId="126">
    <w:abstractNumId w:val="354"/>
  </w:num>
  <w:num w:numId="127">
    <w:abstractNumId w:val="134"/>
  </w:num>
  <w:num w:numId="128">
    <w:abstractNumId w:val="365"/>
  </w:num>
  <w:num w:numId="129">
    <w:abstractNumId w:val="364"/>
  </w:num>
  <w:num w:numId="130">
    <w:abstractNumId w:val="29"/>
  </w:num>
  <w:num w:numId="131">
    <w:abstractNumId w:val="320"/>
  </w:num>
  <w:num w:numId="132">
    <w:abstractNumId w:val="97"/>
  </w:num>
  <w:num w:numId="133">
    <w:abstractNumId w:val="111"/>
  </w:num>
  <w:num w:numId="134">
    <w:abstractNumId w:val="151"/>
  </w:num>
  <w:num w:numId="135">
    <w:abstractNumId w:val="26"/>
  </w:num>
  <w:num w:numId="136">
    <w:abstractNumId w:val="273"/>
  </w:num>
  <w:num w:numId="137">
    <w:abstractNumId w:val="232"/>
  </w:num>
  <w:num w:numId="138">
    <w:abstractNumId w:val="164"/>
  </w:num>
  <w:num w:numId="139">
    <w:abstractNumId w:val="244"/>
  </w:num>
  <w:num w:numId="140">
    <w:abstractNumId w:val="253"/>
  </w:num>
  <w:num w:numId="141">
    <w:abstractNumId w:val="346"/>
  </w:num>
  <w:num w:numId="142">
    <w:abstractNumId w:val="88"/>
  </w:num>
  <w:num w:numId="143">
    <w:abstractNumId w:val="251"/>
  </w:num>
  <w:num w:numId="144">
    <w:abstractNumId w:val="125"/>
  </w:num>
  <w:num w:numId="145">
    <w:abstractNumId w:val="283"/>
  </w:num>
  <w:num w:numId="146">
    <w:abstractNumId w:val="65"/>
  </w:num>
  <w:num w:numId="147">
    <w:abstractNumId w:val="154"/>
  </w:num>
  <w:num w:numId="148">
    <w:abstractNumId w:val="145"/>
  </w:num>
  <w:num w:numId="149">
    <w:abstractNumId w:val="367"/>
  </w:num>
  <w:num w:numId="150">
    <w:abstractNumId w:val="66"/>
  </w:num>
  <w:num w:numId="151">
    <w:abstractNumId w:val="265"/>
  </w:num>
  <w:num w:numId="152">
    <w:abstractNumId w:val="285"/>
  </w:num>
  <w:num w:numId="153">
    <w:abstractNumId w:val="327"/>
  </w:num>
  <w:num w:numId="154">
    <w:abstractNumId w:val="357"/>
  </w:num>
  <w:num w:numId="155">
    <w:abstractNumId w:val="153"/>
  </w:num>
  <w:num w:numId="156">
    <w:abstractNumId w:val="126"/>
  </w:num>
  <w:num w:numId="157">
    <w:abstractNumId w:val="68"/>
  </w:num>
  <w:num w:numId="158">
    <w:abstractNumId w:val="14"/>
  </w:num>
  <w:num w:numId="159">
    <w:abstractNumId w:val="330"/>
  </w:num>
  <w:num w:numId="160">
    <w:abstractNumId w:val="407"/>
  </w:num>
  <w:num w:numId="161">
    <w:abstractNumId w:val="67"/>
  </w:num>
  <w:num w:numId="162">
    <w:abstractNumId w:val="124"/>
  </w:num>
  <w:num w:numId="163">
    <w:abstractNumId w:val="271"/>
  </w:num>
  <w:num w:numId="164">
    <w:abstractNumId w:val="226"/>
  </w:num>
  <w:num w:numId="165">
    <w:abstractNumId w:val="98"/>
  </w:num>
  <w:num w:numId="166">
    <w:abstractNumId w:val="314"/>
  </w:num>
  <w:num w:numId="167">
    <w:abstractNumId w:val="184"/>
  </w:num>
  <w:num w:numId="168">
    <w:abstractNumId w:val="106"/>
  </w:num>
  <w:num w:numId="169">
    <w:abstractNumId w:val="208"/>
  </w:num>
  <w:num w:numId="170">
    <w:abstractNumId w:val="190"/>
  </w:num>
  <w:num w:numId="171">
    <w:abstractNumId w:val="149"/>
  </w:num>
  <w:num w:numId="172">
    <w:abstractNumId w:val="87"/>
  </w:num>
  <w:num w:numId="173">
    <w:abstractNumId w:val="272"/>
  </w:num>
  <w:num w:numId="174">
    <w:abstractNumId w:val="292"/>
  </w:num>
  <w:num w:numId="175">
    <w:abstractNumId w:val="326"/>
  </w:num>
  <w:num w:numId="176">
    <w:abstractNumId w:val="383"/>
  </w:num>
  <w:num w:numId="177">
    <w:abstractNumId w:val="82"/>
  </w:num>
  <w:num w:numId="178">
    <w:abstractNumId w:val="69"/>
  </w:num>
  <w:num w:numId="179">
    <w:abstractNumId w:val="69"/>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180">
    <w:abstractNumId w:val="289"/>
  </w:num>
  <w:num w:numId="181">
    <w:abstractNumId w:val="217"/>
  </w:num>
  <w:num w:numId="182">
    <w:abstractNumId w:val="113"/>
  </w:num>
  <w:num w:numId="183">
    <w:abstractNumId w:val="315"/>
  </w:num>
  <w:num w:numId="184">
    <w:abstractNumId w:val="300"/>
  </w:num>
  <w:num w:numId="185">
    <w:abstractNumId w:val="224"/>
  </w:num>
  <w:num w:numId="186">
    <w:abstractNumId w:val="182"/>
  </w:num>
  <w:num w:numId="187">
    <w:abstractNumId w:val="229"/>
  </w:num>
  <w:num w:numId="188">
    <w:abstractNumId w:val="395"/>
  </w:num>
  <w:num w:numId="189">
    <w:abstractNumId w:val="215"/>
  </w:num>
  <w:num w:numId="190">
    <w:abstractNumId w:val="32"/>
  </w:num>
  <w:num w:numId="191">
    <w:abstractNumId w:val="222"/>
  </w:num>
  <w:num w:numId="192">
    <w:abstractNumId w:val="220"/>
  </w:num>
  <w:num w:numId="193">
    <w:abstractNumId w:val="282"/>
  </w:num>
  <w:num w:numId="194">
    <w:abstractNumId w:val="155"/>
  </w:num>
  <w:num w:numId="195">
    <w:abstractNumId w:val="27"/>
  </w:num>
  <w:num w:numId="196">
    <w:abstractNumId w:val="156"/>
  </w:num>
  <w:num w:numId="197">
    <w:abstractNumId w:val="158"/>
  </w:num>
  <w:num w:numId="198">
    <w:abstractNumId w:val="238"/>
  </w:num>
  <w:num w:numId="199">
    <w:abstractNumId w:val="85"/>
  </w:num>
  <w:num w:numId="200">
    <w:abstractNumId w:val="288"/>
  </w:num>
  <w:num w:numId="201">
    <w:abstractNumId w:val="58"/>
  </w:num>
  <w:num w:numId="202">
    <w:abstractNumId w:val="63"/>
  </w:num>
  <w:num w:numId="203">
    <w:abstractNumId w:val="3"/>
  </w:num>
  <w:num w:numId="204">
    <w:abstractNumId w:val="391"/>
  </w:num>
  <w:num w:numId="205">
    <w:abstractNumId w:val="168"/>
  </w:num>
  <w:num w:numId="206">
    <w:abstractNumId w:val="10"/>
  </w:num>
  <w:num w:numId="207">
    <w:abstractNumId w:val="19"/>
  </w:num>
  <w:num w:numId="208">
    <w:abstractNumId w:val="246"/>
  </w:num>
  <w:num w:numId="209">
    <w:abstractNumId w:val="195"/>
  </w:num>
  <w:num w:numId="210">
    <w:abstractNumId w:val="290"/>
  </w:num>
  <w:num w:numId="211">
    <w:abstractNumId w:val="13"/>
  </w:num>
  <w:num w:numId="212">
    <w:abstractNumId w:val="141"/>
  </w:num>
  <w:num w:numId="213">
    <w:abstractNumId w:val="133"/>
  </w:num>
  <w:num w:numId="214">
    <w:abstractNumId w:val="160"/>
  </w:num>
  <w:num w:numId="215">
    <w:abstractNumId w:val="75"/>
  </w:num>
  <w:num w:numId="216">
    <w:abstractNumId w:val="269"/>
  </w:num>
  <w:num w:numId="217">
    <w:abstractNumId w:val="270"/>
  </w:num>
  <w:num w:numId="218">
    <w:abstractNumId w:val="43"/>
  </w:num>
  <w:num w:numId="219">
    <w:abstractNumId w:val="210"/>
  </w:num>
  <w:num w:numId="220">
    <w:abstractNumId w:val="332"/>
  </w:num>
  <w:num w:numId="221">
    <w:abstractNumId w:val="372"/>
  </w:num>
  <w:num w:numId="222">
    <w:abstractNumId w:val="281"/>
  </w:num>
  <w:num w:numId="223">
    <w:abstractNumId w:val="305"/>
  </w:num>
  <w:num w:numId="224">
    <w:abstractNumId w:val="293"/>
  </w:num>
  <w:num w:numId="225">
    <w:abstractNumId w:val="21"/>
  </w:num>
  <w:num w:numId="226">
    <w:abstractNumId w:val="233"/>
  </w:num>
  <w:num w:numId="227">
    <w:abstractNumId w:val="227"/>
  </w:num>
  <w:num w:numId="228">
    <w:abstractNumId w:val="95"/>
  </w:num>
  <w:num w:numId="229">
    <w:abstractNumId w:val="57"/>
  </w:num>
  <w:num w:numId="230">
    <w:abstractNumId w:val="310"/>
  </w:num>
  <w:num w:numId="231">
    <w:abstractNumId w:val="366"/>
  </w:num>
  <w:num w:numId="232">
    <w:abstractNumId w:val="53"/>
  </w:num>
  <w:num w:numId="233">
    <w:abstractNumId w:val="329"/>
  </w:num>
  <w:num w:numId="234">
    <w:abstractNumId w:val="104"/>
  </w:num>
  <w:num w:numId="235">
    <w:abstractNumId w:val="286"/>
  </w:num>
  <w:num w:numId="236">
    <w:abstractNumId w:val="287"/>
  </w:num>
  <w:num w:numId="237">
    <w:abstractNumId w:val="183"/>
  </w:num>
  <w:num w:numId="238">
    <w:abstractNumId w:val="12"/>
  </w:num>
  <w:num w:numId="239">
    <w:abstractNumId w:val="137"/>
  </w:num>
  <w:num w:numId="240">
    <w:abstractNumId w:val="374"/>
  </w:num>
  <w:num w:numId="241">
    <w:abstractNumId w:val="408"/>
  </w:num>
  <w:num w:numId="242">
    <w:abstractNumId w:val="45"/>
  </w:num>
  <w:num w:numId="243">
    <w:abstractNumId w:val="382"/>
  </w:num>
  <w:num w:numId="244">
    <w:abstractNumId w:val="142"/>
  </w:num>
  <w:num w:numId="245">
    <w:abstractNumId w:val="112"/>
  </w:num>
  <w:num w:numId="246">
    <w:abstractNumId w:val="80"/>
  </w:num>
  <w:num w:numId="247">
    <w:abstractNumId w:val="386"/>
  </w:num>
  <w:num w:numId="248">
    <w:abstractNumId w:val="295"/>
  </w:num>
  <w:num w:numId="249">
    <w:abstractNumId w:val="62"/>
  </w:num>
  <w:num w:numId="250">
    <w:abstractNumId w:val="206"/>
  </w:num>
  <w:num w:numId="251">
    <w:abstractNumId w:val="399"/>
  </w:num>
  <w:num w:numId="252">
    <w:abstractNumId w:val="409"/>
  </w:num>
  <w:num w:numId="253">
    <w:abstractNumId w:val="38"/>
  </w:num>
  <w:num w:numId="254">
    <w:abstractNumId w:val="38"/>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255">
    <w:abstractNumId w:val="92"/>
  </w:num>
  <w:num w:numId="256">
    <w:abstractNumId w:val="194"/>
  </w:num>
  <w:num w:numId="257">
    <w:abstractNumId w:val="390"/>
  </w:num>
  <w:num w:numId="258">
    <w:abstractNumId w:val="174"/>
  </w:num>
  <w:num w:numId="259">
    <w:abstractNumId w:val="180"/>
  </w:num>
  <w:num w:numId="260">
    <w:abstractNumId w:val="146"/>
  </w:num>
  <w:num w:numId="261">
    <w:abstractNumId w:val="343"/>
  </w:num>
  <w:num w:numId="262">
    <w:abstractNumId w:val="41"/>
  </w:num>
  <w:num w:numId="263">
    <w:abstractNumId w:val="54"/>
  </w:num>
  <w:num w:numId="264">
    <w:abstractNumId w:val="410"/>
  </w:num>
  <w:num w:numId="265">
    <w:abstractNumId w:val="161"/>
  </w:num>
  <w:num w:numId="266">
    <w:abstractNumId w:val="64"/>
  </w:num>
  <w:num w:numId="267">
    <w:abstractNumId w:val="150"/>
  </w:num>
  <w:num w:numId="268">
    <w:abstractNumId w:val="60"/>
  </w:num>
  <w:num w:numId="269">
    <w:abstractNumId w:val="393"/>
  </w:num>
  <w:num w:numId="270">
    <w:abstractNumId w:val="120"/>
  </w:num>
  <w:num w:numId="271">
    <w:abstractNumId w:val="33"/>
  </w:num>
  <w:num w:numId="272">
    <w:abstractNumId w:val="392"/>
  </w:num>
  <w:num w:numId="273">
    <w:abstractNumId w:val="392"/>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274">
    <w:abstractNumId w:val="192"/>
  </w:num>
  <w:num w:numId="275">
    <w:abstractNumId w:val="73"/>
  </w:num>
  <w:num w:numId="276">
    <w:abstractNumId w:val="337"/>
  </w:num>
  <w:num w:numId="277">
    <w:abstractNumId w:val="213"/>
  </w:num>
  <w:num w:numId="278">
    <w:abstractNumId w:val="31"/>
  </w:num>
  <w:num w:numId="279">
    <w:abstractNumId w:val="402"/>
  </w:num>
  <w:num w:numId="280">
    <w:abstractNumId w:val="345"/>
  </w:num>
  <w:num w:numId="281">
    <w:abstractNumId w:val="89"/>
  </w:num>
  <w:num w:numId="282">
    <w:abstractNumId w:val="46"/>
  </w:num>
  <w:num w:numId="283">
    <w:abstractNumId w:val="239"/>
  </w:num>
  <w:num w:numId="284">
    <w:abstractNumId w:val="44"/>
  </w:num>
  <w:num w:numId="285">
    <w:abstractNumId w:val="8"/>
  </w:num>
  <w:num w:numId="286">
    <w:abstractNumId w:val="8"/>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287">
    <w:abstractNumId w:val="131"/>
  </w:num>
  <w:num w:numId="288">
    <w:abstractNumId w:val="83"/>
  </w:num>
  <w:num w:numId="289">
    <w:abstractNumId w:val="49"/>
  </w:num>
  <w:num w:numId="290">
    <w:abstractNumId w:val="198"/>
  </w:num>
  <w:num w:numId="291">
    <w:abstractNumId w:val="157"/>
  </w:num>
  <w:num w:numId="292">
    <w:abstractNumId w:val="132"/>
  </w:num>
  <w:num w:numId="293">
    <w:abstractNumId w:val="139"/>
  </w:num>
  <w:num w:numId="294">
    <w:abstractNumId w:val="375"/>
  </w:num>
  <w:num w:numId="295">
    <w:abstractNumId w:val="34"/>
  </w:num>
  <w:num w:numId="296">
    <w:abstractNumId w:val="147"/>
  </w:num>
  <w:num w:numId="297">
    <w:abstractNumId w:val="147"/>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298">
    <w:abstractNumId w:val="193"/>
  </w:num>
  <w:num w:numId="299">
    <w:abstractNumId w:val="218"/>
  </w:num>
  <w:num w:numId="300">
    <w:abstractNumId w:val="394"/>
  </w:num>
  <w:num w:numId="301">
    <w:abstractNumId w:val="175"/>
  </w:num>
  <w:num w:numId="302">
    <w:abstractNumId w:val="248"/>
  </w:num>
  <w:num w:numId="303">
    <w:abstractNumId w:val="245"/>
  </w:num>
  <w:num w:numId="304">
    <w:abstractNumId w:val="291"/>
  </w:num>
  <w:num w:numId="305">
    <w:abstractNumId w:val="240"/>
  </w:num>
  <w:num w:numId="306">
    <w:abstractNumId w:val="76"/>
  </w:num>
  <w:num w:numId="307">
    <w:abstractNumId w:val="50"/>
  </w:num>
  <w:num w:numId="308">
    <w:abstractNumId w:val="30"/>
  </w:num>
  <w:num w:numId="309">
    <w:abstractNumId w:val="52"/>
  </w:num>
  <w:num w:numId="310">
    <w:abstractNumId w:val="52"/>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311">
    <w:abstractNumId w:val="121"/>
  </w:num>
  <w:num w:numId="312">
    <w:abstractNumId w:val="284"/>
  </w:num>
  <w:num w:numId="313">
    <w:abstractNumId w:val="355"/>
  </w:num>
  <w:num w:numId="314">
    <w:abstractNumId w:val="237"/>
  </w:num>
  <w:num w:numId="315">
    <w:abstractNumId w:val="225"/>
  </w:num>
  <w:num w:numId="316">
    <w:abstractNumId w:val="359"/>
  </w:num>
  <w:num w:numId="317">
    <w:abstractNumId w:val="371"/>
  </w:num>
  <w:num w:numId="318">
    <w:abstractNumId w:val="177"/>
  </w:num>
  <w:num w:numId="319">
    <w:abstractNumId w:val="138"/>
  </w:num>
  <w:num w:numId="320">
    <w:abstractNumId w:val="127"/>
  </w:num>
  <w:num w:numId="321">
    <w:abstractNumId w:val="274"/>
  </w:num>
  <w:num w:numId="322">
    <w:abstractNumId w:val="91"/>
  </w:num>
  <w:num w:numId="323">
    <w:abstractNumId w:val="360"/>
  </w:num>
  <w:num w:numId="324">
    <w:abstractNumId w:val="128"/>
  </w:num>
  <w:num w:numId="325">
    <w:abstractNumId w:val="266"/>
  </w:num>
  <w:num w:numId="326">
    <w:abstractNumId w:val="378"/>
  </w:num>
  <w:num w:numId="327">
    <w:abstractNumId w:val="258"/>
  </w:num>
  <w:num w:numId="328">
    <w:abstractNumId w:val="376"/>
  </w:num>
  <w:num w:numId="329">
    <w:abstractNumId w:val="103"/>
  </w:num>
  <w:num w:numId="330">
    <w:abstractNumId w:val="373"/>
  </w:num>
  <w:num w:numId="331">
    <w:abstractNumId w:val="275"/>
  </w:num>
  <w:num w:numId="332">
    <w:abstractNumId w:val="144"/>
  </w:num>
  <w:num w:numId="333">
    <w:abstractNumId w:val="211"/>
  </w:num>
  <w:num w:numId="334">
    <w:abstractNumId w:val="211"/>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335">
    <w:abstractNumId w:val="16"/>
  </w:num>
  <w:num w:numId="336">
    <w:abstractNumId w:val="268"/>
  </w:num>
  <w:num w:numId="337">
    <w:abstractNumId w:val="135"/>
  </w:num>
  <w:num w:numId="338">
    <w:abstractNumId w:val="40"/>
  </w:num>
  <w:num w:numId="339">
    <w:abstractNumId w:val="115"/>
  </w:num>
  <w:num w:numId="340">
    <w:abstractNumId w:val="96"/>
  </w:num>
  <w:num w:numId="341">
    <w:abstractNumId w:val="223"/>
  </w:num>
  <w:num w:numId="342">
    <w:abstractNumId w:val="114"/>
  </w:num>
  <w:num w:numId="343">
    <w:abstractNumId w:val="162"/>
  </w:num>
  <w:num w:numId="344">
    <w:abstractNumId w:val="297"/>
  </w:num>
  <w:num w:numId="345">
    <w:abstractNumId w:val="107"/>
  </w:num>
  <w:num w:numId="346">
    <w:abstractNumId w:val="219"/>
  </w:num>
  <w:num w:numId="347">
    <w:abstractNumId w:val="353"/>
  </w:num>
  <w:num w:numId="348">
    <w:abstractNumId w:val="11"/>
  </w:num>
  <w:num w:numId="349">
    <w:abstractNumId w:val="196"/>
  </w:num>
  <w:num w:numId="350">
    <w:abstractNumId w:val="176"/>
  </w:num>
  <w:num w:numId="351">
    <w:abstractNumId w:val="176"/>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352">
    <w:abstractNumId w:val="406"/>
  </w:num>
  <w:num w:numId="353">
    <w:abstractNumId w:val="197"/>
  </w:num>
  <w:num w:numId="354">
    <w:abstractNumId w:val="396"/>
  </w:num>
  <w:num w:numId="355">
    <w:abstractNumId w:val="252"/>
  </w:num>
  <w:num w:numId="356">
    <w:abstractNumId w:val="302"/>
  </w:num>
  <w:num w:numId="357">
    <w:abstractNumId w:val="1"/>
  </w:num>
  <w:num w:numId="358">
    <w:abstractNumId w:val="323"/>
  </w:num>
  <w:num w:numId="359">
    <w:abstractNumId w:val="321"/>
  </w:num>
  <w:num w:numId="360">
    <w:abstractNumId w:val="101"/>
  </w:num>
  <w:num w:numId="361">
    <w:abstractNumId w:val="348"/>
  </w:num>
  <w:num w:numId="362">
    <w:abstractNumId w:val="379"/>
  </w:num>
  <w:num w:numId="363">
    <w:abstractNumId w:val="405"/>
  </w:num>
  <w:num w:numId="364">
    <w:abstractNumId w:val="108"/>
  </w:num>
  <w:num w:numId="365">
    <w:abstractNumId w:val="47"/>
  </w:num>
  <w:num w:numId="366">
    <w:abstractNumId w:val="308"/>
  </w:num>
  <w:num w:numId="367">
    <w:abstractNumId w:val="311"/>
  </w:num>
  <w:num w:numId="368">
    <w:abstractNumId w:val="369"/>
  </w:num>
  <w:num w:numId="369">
    <w:abstractNumId w:val="276"/>
  </w:num>
  <w:num w:numId="370">
    <w:abstractNumId w:val="262"/>
  </w:num>
  <w:num w:numId="371">
    <w:abstractNumId w:val="59"/>
  </w:num>
  <w:num w:numId="372">
    <w:abstractNumId w:val="230"/>
  </w:num>
  <w:num w:numId="373">
    <w:abstractNumId w:val="377"/>
  </w:num>
  <w:num w:numId="374">
    <w:abstractNumId w:val="361"/>
  </w:num>
  <w:num w:numId="375">
    <w:abstractNumId w:val="228"/>
  </w:num>
  <w:num w:numId="376">
    <w:abstractNumId w:val="347"/>
  </w:num>
  <w:num w:numId="377">
    <w:abstractNumId w:val="241"/>
  </w:num>
  <w:num w:numId="378">
    <w:abstractNumId w:val="241"/>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379">
    <w:abstractNumId w:val="20"/>
  </w:num>
  <w:num w:numId="380">
    <w:abstractNumId w:val="119"/>
  </w:num>
  <w:num w:numId="381">
    <w:abstractNumId w:val="119"/>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382">
    <w:abstractNumId w:val="247"/>
  </w:num>
  <w:num w:numId="383">
    <w:abstractNumId w:val="2"/>
  </w:num>
  <w:num w:numId="384">
    <w:abstractNumId w:val="279"/>
  </w:num>
  <w:num w:numId="385">
    <w:abstractNumId w:val="35"/>
  </w:num>
  <w:num w:numId="386">
    <w:abstractNumId w:val="257"/>
  </w:num>
  <w:num w:numId="387">
    <w:abstractNumId w:val="400"/>
  </w:num>
  <w:num w:numId="388">
    <w:abstractNumId w:val="260"/>
  </w:num>
  <w:num w:numId="389">
    <w:abstractNumId w:val="37"/>
  </w:num>
  <w:num w:numId="390">
    <w:abstractNumId w:val="23"/>
  </w:num>
  <w:num w:numId="391">
    <w:abstractNumId w:val="9"/>
  </w:num>
  <w:num w:numId="392">
    <w:abstractNumId w:val="39"/>
  </w:num>
  <w:num w:numId="393">
    <w:abstractNumId w:val="185"/>
  </w:num>
  <w:num w:numId="394">
    <w:abstractNumId w:val="350"/>
  </w:num>
  <w:num w:numId="395">
    <w:abstractNumId w:val="28"/>
  </w:num>
  <w:num w:numId="396">
    <w:abstractNumId w:val="143"/>
  </w:num>
  <w:num w:numId="397">
    <w:abstractNumId w:val="143"/>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398">
    <w:abstractNumId w:val="325"/>
  </w:num>
  <w:num w:numId="399">
    <w:abstractNumId w:val="84"/>
  </w:num>
  <w:num w:numId="400">
    <w:abstractNumId w:val="236"/>
  </w:num>
  <w:num w:numId="401">
    <w:abstractNumId w:val="152"/>
  </w:num>
  <w:num w:numId="402">
    <w:abstractNumId w:val="51"/>
  </w:num>
  <w:num w:numId="403">
    <w:abstractNumId w:val="36"/>
  </w:num>
  <w:num w:numId="404">
    <w:abstractNumId w:val="312"/>
  </w:num>
  <w:num w:numId="405">
    <w:abstractNumId w:val="401"/>
  </w:num>
  <w:num w:numId="406">
    <w:abstractNumId w:val="116"/>
  </w:num>
  <w:num w:numId="407">
    <w:abstractNumId w:val="358"/>
  </w:num>
  <w:num w:numId="408">
    <w:abstractNumId w:val="81"/>
  </w:num>
  <w:num w:numId="409">
    <w:abstractNumId w:val="186"/>
  </w:num>
  <w:num w:numId="410">
    <w:abstractNumId w:val="74"/>
  </w:num>
  <w:num w:numId="411">
    <w:abstractNumId w:val="93"/>
  </w:num>
  <w:num w:numId="412">
    <w:abstractNumId w:val="294"/>
  </w:num>
  <w:num w:numId="413">
    <w:abstractNumId w:val="56"/>
  </w:num>
  <w:num w:numId="414">
    <w:abstractNumId w:val="56"/>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415">
    <w:abstractNumId w:val="22"/>
  </w:num>
  <w:num w:numId="416">
    <w:abstractNumId w:val="167"/>
  </w:num>
  <w:num w:numId="417">
    <w:abstractNumId w:val="352"/>
  </w:num>
  <w:num w:numId="418">
    <w:abstractNumId w:val="336"/>
  </w:num>
  <w:num w:numId="419">
    <w:abstractNumId w:val="370"/>
  </w:num>
  <w:num w:numId="420">
    <w:abstractNumId w:val="356"/>
  </w:num>
  <w:num w:numId="421">
    <w:abstractNumId w:val="356"/>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422">
    <w:abstractNumId w:val="404"/>
  </w:num>
  <w:num w:numId="423">
    <w:abstractNumId w:val="61"/>
  </w:num>
  <w:num w:numId="424">
    <w:abstractNumId w:val="61"/>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 w:numId="425">
    <w:abstractNumId w:val="207"/>
  </w:num>
  <w:num w:numId="426">
    <w:abstractNumId w:val="309"/>
  </w:num>
  <w:num w:numId="427">
    <w:abstractNumId w:val="234"/>
  </w:num>
  <w:num w:numId="428">
    <w:abstractNumId w:val="7"/>
  </w:num>
  <w:num w:numId="429">
    <w:abstractNumId w:val="344"/>
  </w:num>
  <w:num w:numId="430">
    <w:abstractNumId w:val="0"/>
  </w:num>
  <w:num w:numId="431">
    <w:abstractNumId w:val="0"/>
    <w:lvlOverride w:ilvl="0">
      <w:lvl w:ilvl="0" w:tentative="1">
        <w:start w:val="1"/>
        <w:numFmt w:val="decimal"/>
        <w:suff w:val="nothing"/>
        <w:lvlText w:val="%1）"/>
        <w:lvlJc w:val="left"/>
        <w:pPr>
          <w:ind w:left="360" w:hanging="360"/>
        </w:pPr>
        <w:rPr>
          <w:rFonts w:hint="default"/>
        </w:rPr>
      </w:lvl>
    </w:lvlOverride>
    <w:lvlOverride w:ilvl="1">
      <w:lvl w:ilvl="1" w:tentative="1">
        <w:start w:val="1"/>
        <w:numFmt w:val="lowerLetter"/>
        <w:lvlText w:val="%2)"/>
        <w:lvlJc w:val="left"/>
        <w:pPr>
          <w:ind w:left="840" w:hanging="420"/>
        </w:pPr>
        <w:rPr>
          <w:rFonts w:hint="eastAsia"/>
        </w:rPr>
      </w:lvl>
    </w:lvlOverride>
    <w:lvlOverride w:ilvl="2">
      <w:lvl w:ilvl="2" w:tentative="1">
        <w:start w:val="1"/>
        <w:numFmt w:val="lowerRoman"/>
        <w:lvlText w:val="%3."/>
        <w:lvlJc w:val="right"/>
        <w:pPr>
          <w:ind w:left="1260" w:hanging="420"/>
        </w:pPr>
        <w:rPr>
          <w:rFonts w:hint="eastAsia"/>
        </w:rPr>
      </w:lvl>
    </w:lvlOverride>
    <w:lvlOverride w:ilvl="3">
      <w:lvl w:ilvl="3" w:tentative="1">
        <w:start w:val="1"/>
        <w:numFmt w:val="decimal"/>
        <w:lvlText w:val="%4."/>
        <w:lvlJc w:val="left"/>
        <w:pPr>
          <w:ind w:left="1680" w:hanging="420"/>
        </w:pPr>
        <w:rPr>
          <w:rFonts w:hint="eastAsia"/>
        </w:rPr>
      </w:lvl>
    </w:lvlOverride>
    <w:lvlOverride w:ilvl="4">
      <w:lvl w:ilvl="4" w:tentative="1">
        <w:start w:val="1"/>
        <w:numFmt w:val="lowerLetter"/>
        <w:lvlText w:val="%5)"/>
        <w:lvlJc w:val="left"/>
        <w:pPr>
          <w:ind w:left="2100" w:hanging="420"/>
        </w:pPr>
        <w:rPr>
          <w:rFonts w:hint="eastAsia"/>
        </w:rPr>
      </w:lvl>
    </w:lvlOverride>
    <w:lvlOverride w:ilvl="5">
      <w:lvl w:ilvl="5" w:tentative="1">
        <w:start w:val="1"/>
        <w:numFmt w:val="lowerRoman"/>
        <w:lvlText w:val="%6."/>
        <w:lvlJc w:val="right"/>
        <w:pPr>
          <w:ind w:left="2520" w:hanging="420"/>
        </w:pPr>
        <w:rPr>
          <w:rFonts w:hint="eastAsia"/>
        </w:rPr>
      </w:lvl>
    </w:lvlOverride>
    <w:lvlOverride w:ilvl="6">
      <w:lvl w:ilvl="6" w:tentative="1">
        <w:start w:val="1"/>
        <w:numFmt w:val="decimal"/>
        <w:lvlText w:val="%7."/>
        <w:lvlJc w:val="left"/>
        <w:pPr>
          <w:ind w:left="2940" w:hanging="420"/>
        </w:pPr>
        <w:rPr>
          <w:rFonts w:hint="eastAsia"/>
        </w:rPr>
      </w:lvl>
    </w:lvlOverride>
    <w:lvlOverride w:ilvl="7">
      <w:lvl w:ilvl="7" w:tentative="1">
        <w:start w:val="1"/>
        <w:numFmt w:val="lowerLetter"/>
        <w:lvlText w:val="%8)"/>
        <w:lvlJc w:val="left"/>
        <w:pPr>
          <w:ind w:left="3360" w:hanging="420"/>
        </w:pPr>
        <w:rPr>
          <w:rFonts w:hint="eastAsia"/>
        </w:rPr>
      </w:lvl>
    </w:lvlOverride>
    <w:lvlOverride w:ilvl="8">
      <w:lvl w:ilvl="8" w:tentative="1">
        <w:start w:val="1"/>
        <w:numFmt w:val="lowerRoman"/>
        <w:lvlText w:val="%9."/>
        <w:lvlJc w:val="right"/>
        <w:pPr>
          <w:ind w:left="3780" w:hanging="420"/>
        </w:pPr>
        <w:rPr>
          <w:rFonts w:hint="eastAsia"/>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572"/>
    <w:rsid w:val="00001129"/>
    <w:rsid w:val="00014787"/>
    <w:rsid w:val="00025DFA"/>
    <w:rsid w:val="00032459"/>
    <w:rsid w:val="00046609"/>
    <w:rsid w:val="0005002C"/>
    <w:rsid w:val="0006489E"/>
    <w:rsid w:val="0008248C"/>
    <w:rsid w:val="000C152D"/>
    <w:rsid w:val="000D0392"/>
    <w:rsid w:val="000D0446"/>
    <w:rsid w:val="000F0279"/>
    <w:rsid w:val="000F1185"/>
    <w:rsid w:val="001267F2"/>
    <w:rsid w:val="00142A8F"/>
    <w:rsid w:val="00144E63"/>
    <w:rsid w:val="00166884"/>
    <w:rsid w:val="0017080C"/>
    <w:rsid w:val="00181544"/>
    <w:rsid w:val="001847DE"/>
    <w:rsid w:val="001A7A5C"/>
    <w:rsid w:val="001B48B0"/>
    <w:rsid w:val="001C6F35"/>
    <w:rsid w:val="001D5CE9"/>
    <w:rsid w:val="001D73EE"/>
    <w:rsid w:val="001E3E54"/>
    <w:rsid w:val="001F4DDB"/>
    <w:rsid w:val="002346F9"/>
    <w:rsid w:val="0024031B"/>
    <w:rsid w:val="00261710"/>
    <w:rsid w:val="00272AD4"/>
    <w:rsid w:val="00275F87"/>
    <w:rsid w:val="00281032"/>
    <w:rsid w:val="00297BC3"/>
    <w:rsid w:val="002C42FA"/>
    <w:rsid w:val="002C53DD"/>
    <w:rsid w:val="002D3E0E"/>
    <w:rsid w:val="002F0F8D"/>
    <w:rsid w:val="002F4572"/>
    <w:rsid w:val="00305303"/>
    <w:rsid w:val="00340780"/>
    <w:rsid w:val="003451EC"/>
    <w:rsid w:val="003457C1"/>
    <w:rsid w:val="0034736D"/>
    <w:rsid w:val="0037209D"/>
    <w:rsid w:val="003744D2"/>
    <w:rsid w:val="00380EF9"/>
    <w:rsid w:val="003C21AE"/>
    <w:rsid w:val="003C5F62"/>
    <w:rsid w:val="003F0DAB"/>
    <w:rsid w:val="003F5E09"/>
    <w:rsid w:val="004054BD"/>
    <w:rsid w:val="004066EE"/>
    <w:rsid w:val="00414777"/>
    <w:rsid w:val="00465B7E"/>
    <w:rsid w:val="004809F4"/>
    <w:rsid w:val="00481B1B"/>
    <w:rsid w:val="0048357E"/>
    <w:rsid w:val="00483E66"/>
    <w:rsid w:val="004A56B5"/>
    <w:rsid w:val="004B03A6"/>
    <w:rsid w:val="004D368B"/>
    <w:rsid w:val="004E7E11"/>
    <w:rsid w:val="004F59CC"/>
    <w:rsid w:val="00523D40"/>
    <w:rsid w:val="005274A5"/>
    <w:rsid w:val="0054265F"/>
    <w:rsid w:val="005461B3"/>
    <w:rsid w:val="0055492E"/>
    <w:rsid w:val="00567C27"/>
    <w:rsid w:val="00571D34"/>
    <w:rsid w:val="0059030E"/>
    <w:rsid w:val="005A1F16"/>
    <w:rsid w:val="005C0181"/>
    <w:rsid w:val="005C0558"/>
    <w:rsid w:val="005D6FF4"/>
    <w:rsid w:val="005F276C"/>
    <w:rsid w:val="00616D84"/>
    <w:rsid w:val="00623753"/>
    <w:rsid w:val="00627DB1"/>
    <w:rsid w:val="00631322"/>
    <w:rsid w:val="0063398F"/>
    <w:rsid w:val="006345A8"/>
    <w:rsid w:val="00651EB2"/>
    <w:rsid w:val="00672BA5"/>
    <w:rsid w:val="006752E9"/>
    <w:rsid w:val="006B7BC9"/>
    <w:rsid w:val="006C3F88"/>
    <w:rsid w:val="006F2526"/>
    <w:rsid w:val="006F2783"/>
    <w:rsid w:val="0072054D"/>
    <w:rsid w:val="00730C2B"/>
    <w:rsid w:val="007412AB"/>
    <w:rsid w:val="00776225"/>
    <w:rsid w:val="00781C50"/>
    <w:rsid w:val="00782EBD"/>
    <w:rsid w:val="007A7F72"/>
    <w:rsid w:val="007B24A7"/>
    <w:rsid w:val="007C0DA7"/>
    <w:rsid w:val="007D61B4"/>
    <w:rsid w:val="007F5084"/>
    <w:rsid w:val="007F5FA3"/>
    <w:rsid w:val="00815D34"/>
    <w:rsid w:val="0083097E"/>
    <w:rsid w:val="00830B7B"/>
    <w:rsid w:val="00862DCE"/>
    <w:rsid w:val="00893CBE"/>
    <w:rsid w:val="008A0907"/>
    <w:rsid w:val="008A675B"/>
    <w:rsid w:val="008B16A3"/>
    <w:rsid w:val="008B17DD"/>
    <w:rsid w:val="008C5762"/>
    <w:rsid w:val="008E0274"/>
    <w:rsid w:val="008F263E"/>
    <w:rsid w:val="00906F88"/>
    <w:rsid w:val="00911D73"/>
    <w:rsid w:val="0092088F"/>
    <w:rsid w:val="00930E75"/>
    <w:rsid w:val="0093190E"/>
    <w:rsid w:val="00931916"/>
    <w:rsid w:val="0095611D"/>
    <w:rsid w:val="00956CA7"/>
    <w:rsid w:val="00960F15"/>
    <w:rsid w:val="009B2370"/>
    <w:rsid w:val="009D1947"/>
    <w:rsid w:val="009D607E"/>
    <w:rsid w:val="00A15E97"/>
    <w:rsid w:val="00A201D8"/>
    <w:rsid w:val="00A26B15"/>
    <w:rsid w:val="00A4450D"/>
    <w:rsid w:val="00A546BC"/>
    <w:rsid w:val="00A552A2"/>
    <w:rsid w:val="00A746F5"/>
    <w:rsid w:val="00A773E4"/>
    <w:rsid w:val="00A83267"/>
    <w:rsid w:val="00A8683D"/>
    <w:rsid w:val="00AA28BA"/>
    <w:rsid w:val="00AA33A3"/>
    <w:rsid w:val="00AA52BC"/>
    <w:rsid w:val="00AB2E0D"/>
    <w:rsid w:val="00AB7235"/>
    <w:rsid w:val="00AC57B6"/>
    <w:rsid w:val="00AE00F3"/>
    <w:rsid w:val="00AE4299"/>
    <w:rsid w:val="00B0505E"/>
    <w:rsid w:val="00B07B45"/>
    <w:rsid w:val="00B10E5E"/>
    <w:rsid w:val="00B33030"/>
    <w:rsid w:val="00B40671"/>
    <w:rsid w:val="00B508E1"/>
    <w:rsid w:val="00B53787"/>
    <w:rsid w:val="00B61B41"/>
    <w:rsid w:val="00B92D91"/>
    <w:rsid w:val="00B97D8D"/>
    <w:rsid w:val="00BA48A5"/>
    <w:rsid w:val="00BA6BB8"/>
    <w:rsid w:val="00BB3B66"/>
    <w:rsid w:val="00BB7C3D"/>
    <w:rsid w:val="00C06A49"/>
    <w:rsid w:val="00C11E01"/>
    <w:rsid w:val="00C259E6"/>
    <w:rsid w:val="00C44C25"/>
    <w:rsid w:val="00C46921"/>
    <w:rsid w:val="00C53F75"/>
    <w:rsid w:val="00C60780"/>
    <w:rsid w:val="00C62211"/>
    <w:rsid w:val="00C6712F"/>
    <w:rsid w:val="00C67431"/>
    <w:rsid w:val="00C70D82"/>
    <w:rsid w:val="00C71315"/>
    <w:rsid w:val="00C72C05"/>
    <w:rsid w:val="00CB620D"/>
    <w:rsid w:val="00CD4DB9"/>
    <w:rsid w:val="00CE2CB4"/>
    <w:rsid w:val="00CF55ED"/>
    <w:rsid w:val="00CF7999"/>
    <w:rsid w:val="00D0356A"/>
    <w:rsid w:val="00D05845"/>
    <w:rsid w:val="00D06209"/>
    <w:rsid w:val="00D17A07"/>
    <w:rsid w:val="00D24809"/>
    <w:rsid w:val="00D24E42"/>
    <w:rsid w:val="00D46D57"/>
    <w:rsid w:val="00D67BCA"/>
    <w:rsid w:val="00D7462B"/>
    <w:rsid w:val="00D815F6"/>
    <w:rsid w:val="00D865A1"/>
    <w:rsid w:val="00DB56AE"/>
    <w:rsid w:val="00DC25AB"/>
    <w:rsid w:val="00DC6FE3"/>
    <w:rsid w:val="00DD4F1F"/>
    <w:rsid w:val="00DF2DDF"/>
    <w:rsid w:val="00E0064E"/>
    <w:rsid w:val="00E232A0"/>
    <w:rsid w:val="00E249F3"/>
    <w:rsid w:val="00E34EBC"/>
    <w:rsid w:val="00E42364"/>
    <w:rsid w:val="00E55A04"/>
    <w:rsid w:val="00E75004"/>
    <w:rsid w:val="00E80292"/>
    <w:rsid w:val="00E917AB"/>
    <w:rsid w:val="00E93A1B"/>
    <w:rsid w:val="00E93A39"/>
    <w:rsid w:val="00EA6EA7"/>
    <w:rsid w:val="00EC555D"/>
    <w:rsid w:val="00F1084E"/>
    <w:rsid w:val="00F16322"/>
    <w:rsid w:val="00F203BB"/>
    <w:rsid w:val="00F61BEE"/>
    <w:rsid w:val="00F7328D"/>
    <w:rsid w:val="00F902EF"/>
    <w:rsid w:val="00F911A1"/>
    <w:rsid w:val="00FB0395"/>
    <w:rsid w:val="00FB24C1"/>
    <w:rsid w:val="00FB24F0"/>
    <w:rsid w:val="00FB632D"/>
    <w:rsid w:val="0A0329DE"/>
    <w:rsid w:val="10E6281F"/>
    <w:rsid w:val="130B04E5"/>
    <w:rsid w:val="23412422"/>
    <w:rsid w:val="2B8727EB"/>
    <w:rsid w:val="2DAE1065"/>
    <w:rsid w:val="346957CC"/>
    <w:rsid w:val="354C0563"/>
    <w:rsid w:val="3D511211"/>
    <w:rsid w:val="3EE84973"/>
    <w:rsid w:val="49737E88"/>
    <w:rsid w:val="4EEE3327"/>
    <w:rsid w:val="5A212632"/>
    <w:rsid w:val="5C833D91"/>
    <w:rsid w:val="62420598"/>
    <w:rsid w:val="63DD3E26"/>
    <w:rsid w:val="68CA4B24"/>
    <w:rsid w:val="6B3800B8"/>
    <w:rsid w:val="706D731C"/>
    <w:rsid w:val="71317818"/>
    <w:rsid w:val="F7DF50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
    <w:pPr>
      <w:keepNext/>
      <w:keepLines/>
      <w:spacing w:before="260" w:after="260" w:line="415" w:lineRule="auto"/>
      <w:outlineLvl w:val="1"/>
    </w:pPr>
    <w:rPr>
      <w:rFonts w:ascii="Cambria" w:hAnsi="Cambria" w:eastAsia="宋体" w:cs="Times New Roman"/>
      <w:b/>
      <w:bCs/>
      <w:sz w:val="32"/>
      <w:szCs w:val="32"/>
    </w:rPr>
  </w:style>
  <w:style w:type="paragraph" w:styleId="4">
    <w:name w:val="heading 3"/>
    <w:basedOn w:val="1"/>
    <w:next w:val="1"/>
    <w:link w:val="29"/>
    <w:qFormat/>
    <w:uiPriority w:val="0"/>
    <w:pPr>
      <w:keepNext/>
      <w:keepLines/>
      <w:spacing w:before="240" w:after="240"/>
      <w:outlineLvl w:val="2"/>
    </w:pPr>
    <w:rPr>
      <w:rFonts w:ascii="Calibri" w:hAnsi="Calibri" w:eastAsia="宋体" w:cs="Times New Roman"/>
      <w:b/>
      <w:bCs/>
      <w:sz w:val="32"/>
      <w:szCs w:val="32"/>
    </w:rPr>
  </w:style>
  <w:style w:type="paragraph" w:styleId="5">
    <w:name w:val="heading 4"/>
    <w:basedOn w:val="1"/>
    <w:next w:val="1"/>
    <w:link w:val="3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2"/>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33"/>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0">
    <w:name w:val="Default Paragraph Font"/>
    <w:unhideWhenUsed/>
    <w:qFormat/>
    <w:uiPriority w:val="1"/>
  </w:style>
  <w:style w:type="table" w:default="1" w:styleId="18">
    <w:name w:val="Normal Table"/>
    <w:unhideWhenUsed/>
    <w:qFormat/>
    <w:uiPriority w:val="99"/>
    <w:tblPr>
      <w:tblCellMar>
        <w:top w:w="0" w:type="dxa"/>
        <w:left w:w="108" w:type="dxa"/>
        <w:bottom w:w="0" w:type="dxa"/>
        <w:right w:w="108" w:type="dxa"/>
      </w:tblCellMar>
    </w:tblPr>
  </w:style>
  <w:style w:type="paragraph" w:styleId="8">
    <w:name w:val="annotation text"/>
    <w:basedOn w:val="1"/>
    <w:link w:val="84"/>
    <w:unhideWhenUsed/>
    <w:qFormat/>
    <w:uiPriority w:val="99"/>
    <w:pPr>
      <w:jc w:val="left"/>
    </w:pPr>
  </w:style>
  <w:style w:type="paragraph" w:styleId="9">
    <w:name w:val="toc 3"/>
    <w:basedOn w:val="1"/>
    <w:next w:val="1"/>
    <w:unhideWhenUsed/>
    <w:qFormat/>
    <w:uiPriority w:val="39"/>
    <w:pPr>
      <w:ind w:left="840" w:leftChars="400"/>
    </w:pPr>
  </w:style>
  <w:style w:type="paragraph" w:styleId="10">
    <w:name w:val="Plain Text"/>
    <w:basedOn w:val="1"/>
    <w:link w:val="36"/>
    <w:qFormat/>
    <w:uiPriority w:val="0"/>
    <w:rPr>
      <w:rFonts w:ascii="宋体" w:hAnsi="Courier New" w:eastAsia="宋体" w:cs="Times New Roman"/>
      <w:szCs w:val="20"/>
    </w:rPr>
  </w:style>
  <w:style w:type="paragraph" w:styleId="11">
    <w:name w:val="Date"/>
    <w:basedOn w:val="1"/>
    <w:next w:val="1"/>
    <w:link w:val="87"/>
    <w:unhideWhenUsed/>
    <w:qFormat/>
    <w:uiPriority w:val="99"/>
    <w:pPr>
      <w:ind w:left="100" w:leftChars="2500"/>
    </w:pPr>
  </w:style>
  <w:style w:type="paragraph" w:styleId="12">
    <w:name w:val="Balloon Text"/>
    <w:basedOn w:val="1"/>
    <w:link w:val="27"/>
    <w:unhideWhenUsed/>
    <w:qFormat/>
    <w:uiPriority w:val="99"/>
    <w:rPr>
      <w:sz w:val="18"/>
      <w:szCs w:val="18"/>
    </w:rPr>
  </w:style>
  <w:style w:type="paragraph" w:styleId="13">
    <w:name w:val="footer"/>
    <w:basedOn w:val="1"/>
    <w:link w:val="35"/>
    <w:unhideWhenUsed/>
    <w:qFormat/>
    <w:uiPriority w:val="99"/>
    <w:pPr>
      <w:tabs>
        <w:tab w:val="center" w:pos="4153"/>
        <w:tab w:val="right" w:pos="8306"/>
      </w:tabs>
      <w:snapToGrid w:val="0"/>
      <w:jc w:val="left"/>
    </w:pPr>
    <w:rPr>
      <w:sz w:val="18"/>
      <w:szCs w:val="18"/>
    </w:rPr>
  </w:style>
  <w:style w:type="paragraph" w:styleId="14">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2"/>
    <w:basedOn w:val="1"/>
    <w:next w:val="1"/>
    <w:unhideWhenUsed/>
    <w:qFormat/>
    <w:uiPriority w:val="39"/>
    <w:pPr>
      <w:ind w:left="420" w:leftChars="200"/>
    </w:pPr>
  </w:style>
  <w:style w:type="paragraph" w:styleId="17">
    <w:name w:val="annotation subject"/>
    <w:basedOn w:val="8"/>
    <w:next w:val="8"/>
    <w:link w:val="85"/>
    <w:unhideWhenUsed/>
    <w:qFormat/>
    <w:uiPriority w:val="99"/>
    <w:rPr>
      <w:b/>
      <w:bCs/>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FollowedHyperlink"/>
    <w:basedOn w:val="20"/>
    <w:unhideWhenUsed/>
    <w:qFormat/>
    <w:uiPriority w:val="99"/>
    <w:rPr>
      <w:color w:val="954F72"/>
      <w:u w:val="single"/>
    </w:rPr>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unhideWhenUsed/>
    <w:qFormat/>
    <w:uiPriority w:val="99"/>
    <w:rPr>
      <w:sz w:val="21"/>
      <w:szCs w:val="21"/>
    </w:rPr>
  </w:style>
  <w:style w:type="character" w:customStyle="1" w:styleId="24">
    <w:name w:val="标题 1 字符"/>
    <w:basedOn w:val="20"/>
    <w:link w:val="2"/>
    <w:qFormat/>
    <w:uiPriority w:val="9"/>
    <w:rPr>
      <w:b/>
      <w:bCs/>
      <w:kern w:val="44"/>
      <w:sz w:val="44"/>
      <w:szCs w:val="44"/>
    </w:rPr>
  </w:style>
  <w:style w:type="paragraph" w:customStyle="1" w:styleId="25">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6">
    <w:name w:val="列表段落1"/>
    <w:basedOn w:val="1"/>
    <w:qFormat/>
    <w:uiPriority w:val="34"/>
    <w:pPr>
      <w:ind w:firstLine="420" w:firstLineChars="200"/>
    </w:pPr>
  </w:style>
  <w:style w:type="character" w:customStyle="1" w:styleId="27">
    <w:name w:val="批注框文本 字符"/>
    <w:basedOn w:val="20"/>
    <w:link w:val="12"/>
    <w:semiHidden/>
    <w:qFormat/>
    <w:uiPriority w:val="99"/>
    <w:rPr>
      <w:sz w:val="18"/>
      <w:szCs w:val="18"/>
    </w:rPr>
  </w:style>
  <w:style w:type="character" w:customStyle="1" w:styleId="28">
    <w:name w:val="标题 2 字符"/>
    <w:basedOn w:val="20"/>
    <w:link w:val="3"/>
    <w:qFormat/>
    <w:uiPriority w:val="9"/>
    <w:rPr>
      <w:rFonts w:ascii="Cambria" w:hAnsi="Cambria"/>
      <w:b/>
      <w:bCs/>
      <w:kern w:val="2"/>
      <w:sz w:val="32"/>
      <w:szCs w:val="32"/>
    </w:rPr>
  </w:style>
  <w:style w:type="character" w:customStyle="1" w:styleId="29">
    <w:name w:val="标题 3 字符"/>
    <w:basedOn w:val="20"/>
    <w:link w:val="4"/>
    <w:qFormat/>
    <w:uiPriority w:val="0"/>
    <w:rPr>
      <w:rFonts w:ascii="Calibri" w:hAnsi="Calibri"/>
      <w:b/>
      <w:bCs/>
      <w:kern w:val="2"/>
      <w:sz w:val="32"/>
      <w:szCs w:val="32"/>
    </w:rPr>
  </w:style>
  <w:style w:type="paragraph" w:customStyle="1" w:styleId="30">
    <w:name w:val="段"/>
    <w:link w:val="3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ar-SA"/>
    </w:rPr>
  </w:style>
  <w:style w:type="character" w:customStyle="1" w:styleId="31">
    <w:name w:val="标题 4 字符"/>
    <w:basedOn w:val="20"/>
    <w:link w:val="5"/>
    <w:qFormat/>
    <w:uiPriority w:val="9"/>
    <w:rPr>
      <w:rFonts w:asciiTheme="majorHAnsi" w:hAnsiTheme="majorHAnsi" w:eastAsiaTheme="majorEastAsia" w:cstheme="majorBidi"/>
      <w:b/>
      <w:bCs/>
      <w:sz w:val="28"/>
      <w:szCs w:val="28"/>
    </w:rPr>
  </w:style>
  <w:style w:type="character" w:customStyle="1" w:styleId="32">
    <w:name w:val="标题 5 字符"/>
    <w:basedOn w:val="20"/>
    <w:link w:val="6"/>
    <w:qFormat/>
    <w:uiPriority w:val="9"/>
    <w:rPr>
      <w:b/>
      <w:bCs/>
      <w:sz w:val="28"/>
      <w:szCs w:val="28"/>
    </w:rPr>
  </w:style>
  <w:style w:type="character" w:customStyle="1" w:styleId="33">
    <w:name w:val="标题 6 字符"/>
    <w:basedOn w:val="20"/>
    <w:link w:val="7"/>
    <w:qFormat/>
    <w:uiPriority w:val="9"/>
    <w:rPr>
      <w:rFonts w:asciiTheme="majorHAnsi" w:hAnsiTheme="majorHAnsi" w:eastAsiaTheme="majorEastAsia" w:cstheme="majorBidi"/>
      <w:b/>
      <w:bCs/>
      <w:sz w:val="24"/>
      <w:szCs w:val="24"/>
    </w:rPr>
  </w:style>
  <w:style w:type="character" w:customStyle="1" w:styleId="34">
    <w:name w:val="段 Char"/>
    <w:link w:val="30"/>
    <w:qFormat/>
    <w:uiPriority w:val="0"/>
    <w:rPr>
      <w:rFonts w:ascii="宋体" w:hAnsi="Times New Roman" w:eastAsia="宋体" w:cs="Times New Roman"/>
      <w:kern w:val="0"/>
    </w:rPr>
  </w:style>
  <w:style w:type="character" w:customStyle="1" w:styleId="35">
    <w:name w:val="页脚 字符"/>
    <w:basedOn w:val="20"/>
    <w:link w:val="13"/>
    <w:qFormat/>
    <w:uiPriority w:val="99"/>
    <w:rPr>
      <w:sz w:val="18"/>
      <w:szCs w:val="18"/>
    </w:rPr>
  </w:style>
  <w:style w:type="character" w:customStyle="1" w:styleId="36">
    <w:name w:val="纯文本 字符"/>
    <w:basedOn w:val="20"/>
    <w:link w:val="10"/>
    <w:qFormat/>
    <w:uiPriority w:val="0"/>
    <w:rPr>
      <w:rFonts w:ascii="宋体" w:hAnsi="Courier New" w:eastAsia="宋体" w:cs="Times New Roman"/>
      <w:szCs w:val="20"/>
    </w:rPr>
  </w:style>
  <w:style w:type="paragraph" w:customStyle="1" w:styleId="37">
    <w:name w:val="附录表标题"/>
    <w:basedOn w:val="1"/>
    <w:next w:val="30"/>
    <w:qFormat/>
    <w:uiPriority w:val="0"/>
    <w:pPr>
      <w:tabs>
        <w:tab w:val="left" w:pos="180"/>
      </w:tabs>
      <w:spacing w:beforeLines="50" w:afterLines="50"/>
      <w:jc w:val="center"/>
    </w:pPr>
    <w:rPr>
      <w:rFonts w:ascii="黑体" w:hAnsi="Times New Roman" w:eastAsia="黑体" w:cs="Times New Roman"/>
      <w:szCs w:val="21"/>
    </w:rPr>
  </w:style>
  <w:style w:type="paragraph" w:customStyle="1" w:styleId="3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character" w:customStyle="1" w:styleId="39">
    <w:name w:val="页眉 字符"/>
    <w:basedOn w:val="20"/>
    <w:link w:val="14"/>
    <w:qFormat/>
    <w:uiPriority w:val="99"/>
    <w:rPr>
      <w:sz w:val="18"/>
      <w:szCs w:val="18"/>
    </w:rPr>
  </w:style>
  <w:style w:type="paragraph" w:customStyle="1" w:styleId="40">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1">
    <w:name w:val="font5"/>
    <w:basedOn w:val="1"/>
    <w:qFormat/>
    <w:uiPriority w:val="0"/>
    <w:pPr>
      <w:widowControl/>
      <w:spacing w:before="100" w:beforeAutospacing="1" w:after="100" w:afterAutospacing="1"/>
      <w:jc w:val="left"/>
    </w:pPr>
    <w:rPr>
      <w:rFonts w:ascii="宋体" w:hAnsi="宋体" w:eastAsia="宋体" w:cs="宋体"/>
      <w:color w:val="000000"/>
      <w:kern w:val="0"/>
      <w:szCs w:val="21"/>
    </w:rPr>
  </w:style>
  <w:style w:type="paragraph" w:customStyle="1" w:styleId="42">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3">
    <w:name w:val="xl6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4">
    <w:name w:val="xl6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xl67"/>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46">
    <w:name w:val="xl68"/>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4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1"/>
    </w:rPr>
  </w:style>
  <w:style w:type="paragraph" w:customStyle="1" w:styleId="4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49">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1"/>
    </w:rPr>
  </w:style>
  <w:style w:type="paragraph" w:customStyle="1" w:styleId="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5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宋体"/>
      <w:kern w:val="0"/>
      <w:szCs w:val="21"/>
    </w:rPr>
  </w:style>
  <w:style w:type="paragraph" w:customStyle="1" w:styleId="5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1"/>
    </w:rPr>
  </w:style>
  <w:style w:type="paragraph" w:customStyle="1" w:styleId="5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宋体" w:cs="宋体"/>
      <w:color w:val="000000"/>
      <w:kern w:val="0"/>
      <w:szCs w:val="21"/>
    </w:rPr>
  </w:style>
  <w:style w:type="paragraph" w:customStyle="1" w:styleId="54">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1"/>
    </w:rPr>
  </w:style>
  <w:style w:type="paragraph" w:customStyle="1" w:styleId="5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1"/>
    </w:rPr>
  </w:style>
  <w:style w:type="paragraph" w:customStyle="1" w:styleId="56">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57">
    <w:name w:val="xl7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Cs w:val="21"/>
    </w:rPr>
  </w:style>
  <w:style w:type="paragraph" w:customStyle="1" w:styleId="58">
    <w:name w:val="xl80"/>
    <w:basedOn w:val="1"/>
    <w:qFormat/>
    <w:uiPriority w:val="0"/>
    <w:pPr>
      <w:widowControl/>
      <w:pBdr>
        <w:top w:val="single" w:color="auto" w:sz="4" w:space="0"/>
        <w:left w:val="single" w:color="auto" w:sz="4" w:space="0"/>
        <w:right w:val="single" w:color="auto" w:sz="4" w:space="0"/>
      </w:pBdr>
      <w:shd w:val="clear" w:color="000000" w:fill="00B0F0"/>
      <w:spacing w:before="100" w:beforeAutospacing="1" w:after="100" w:afterAutospacing="1"/>
      <w:jc w:val="center"/>
    </w:pPr>
    <w:rPr>
      <w:rFonts w:ascii="宋体" w:hAnsi="宋体" w:eastAsia="宋体" w:cs="宋体"/>
      <w:kern w:val="0"/>
      <w:szCs w:val="21"/>
    </w:rPr>
  </w:style>
  <w:style w:type="paragraph" w:customStyle="1" w:styleId="59">
    <w:name w:val="xl81"/>
    <w:basedOn w:val="1"/>
    <w:qFormat/>
    <w:uiPriority w:val="0"/>
    <w:pPr>
      <w:widowControl/>
      <w:pBdr>
        <w:left w:val="single" w:color="auto" w:sz="4" w:space="0"/>
        <w:right w:val="single" w:color="auto" w:sz="4" w:space="0"/>
      </w:pBdr>
      <w:shd w:val="clear" w:color="000000" w:fill="00B0F0"/>
      <w:spacing w:before="100" w:beforeAutospacing="1" w:after="100" w:afterAutospacing="1"/>
      <w:jc w:val="center"/>
    </w:pPr>
    <w:rPr>
      <w:rFonts w:ascii="宋体" w:hAnsi="宋体" w:eastAsia="宋体" w:cs="宋体"/>
      <w:kern w:val="0"/>
      <w:szCs w:val="21"/>
    </w:rPr>
  </w:style>
  <w:style w:type="paragraph" w:customStyle="1" w:styleId="60">
    <w:name w:val="xl82"/>
    <w:basedOn w:val="1"/>
    <w:qFormat/>
    <w:uiPriority w:val="0"/>
    <w:pPr>
      <w:widowControl/>
      <w:pBdr>
        <w:left w:val="single" w:color="auto" w:sz="4" w:space="0"/>
        <w:bottom w:val="single" w:color="auto" w:sz="4" w:space="0"/>
        <w:right w:val="single" w:color="auto" w:sz="4" w:space="0"/>
      </w:pBdr>
      <w:shd w:val="clear" w:color="000000" w:fill="00B0F0"/>
      <w:spacing w:before="100" w:beforeAutospacing="1" w:after="100" w:afterAutospacing="1"/>
      <w:jc w:val="center"/>
    </w:pPr>
    <w:rPr>
      <w:rFonts w:ascii="宋体" w:hAnsi="宋体" w:eastAsia="宋体" w:cs="宋体"/>
      <w:kern w:val="0"/>
      <w:szCs w:val="21"/>
    </w:rPr>
  </w:style>
  <w:style w:type="paragraph" w:customStyle="1" w:styleId="61">
    <w:name w:val="xl83"/>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62">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Cs w:val="21"/>
    </w:rPr>
  </w:style>
  <w:style w:type="paragraph" w:customStyle="1" w:styleId="63">
    <w:name w:val="xl8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b/>
      <w:bCs/>
      <w:kern w:val="0"/>
      <w:szCs w:val="21"/>
    </w:rPr>
  </w:style>
  <w:style w:type="paragraph" w:customStyle="1" w:styleId="64">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1"/>
    </w:rPr>
  </w:style>
  <w:style w:type="paragraph" w:customStyle="1" w:styleId="65">
    <w:name w:val="xl87"/>
    <w:basedOn w:val="1"/>
    <w:qFormat/>
    <w:uiPriority w:val="0"/>
    <w:pPr>
      <w:widowControl/>
      <w:pBdr>
        <w:top w:val="single" w:color="auto" w:sz="4" w:space="0"/>
        <w:left w:val="single" w:color="auto" w:sz="4" w:space="0"/>
        <w:right w:val="single" w:color="auto" w:sz="4" w:space="0"/>
      </w:pBdr>
      <w:shd w:val="clear" w:color="000000" w:fill="FFC000"/>
      <w:spacing w:before="100" w:beforeAutospacing="1" w:after="100" w:afterAutospacing="1"/>
      <w:jc w:val="center"/>
    </w:pPr>
    <w:rPr>
      <w:rFonts w:ascii="宋体" w:hAnsi="宋体" w:eastAsia="宋体" w:cs="宋体"/>
      <w:kern w:val="0"/>
      <w:szCs w:val="21"/>
    </w:rPr>
  </w:style>
  <w:style w:type="paragraph" w:customStyle="1" w:styleId="66">
    <w:name w:val="xl88"/>
    <w:basedOn w:val="1"/>
    <w:qFormat/>
    <w:uiPriority w:val="0"/>
    <w:pPr>
      <w:widowControl/>
      <w:pBdr>
        <w:left w:val="single" w:color="auto" w:sz="4" w:space="0"/>
        <w:right w:val="single" w:color="auto" w:sz="4" w:space="0"/>
      </w:pBdr>
      <w:shd w:val="clear" w:color="000000" w:fill="FFC000"/>
      <w:spacing w:before="100" w:beforeAutospacing="1" w:after="100" w:afterAutospacing="1"/>
      <w:jc w:val="center"/>
    </w:pPr>
    <w:rPr>
      <w:rFonts w:ascii="宋体" w:hAnsi="宋体" w:eastAsia="宋体" w:cs="宋体"/>
      <w:kern w:val="0"/>
      <w:szCs w:val="21"/>
    </w:rPr>
  </w:style>
  <w:style w:type="paragraph" w:customStyle="1" w:styleId="67">
    <w:name w:val="xl89"/>
    <w:basedOn w:val="1"/>
    <w:qFormat/>
    <w:uiPriority w:val="0"/>
    <w:pPr>
      <w:widowControl/>
      <w:pBdr>
        <w:left w:val="single" w:color="auto" w:sz="4" w:space="0"/>
        <w:bottom w:val="single" w:color="auto" w:sz="4" w:space="0"/>
        <w:right w:val="single" w:color="auto" w:sz="4" w:space="0"/>
      </w:pBdr>
      <w:shd w:val="clear" w:color="000000" w:fill="FFC000"/>
      <w:spacing w:before="100" w:beforeAutospacing="1" w:after="100" w:afterAutospacing="1"/>
      <w:jc w:val="center"/>
    </w:pPr>
    <w:rPr>
      <w:rFonts w:ascii="宋体" w:hAnsi="宋体" w:eastAsia="宋体" w:cs="宋体"/>
      <w:kern w:val="0"/>
      <w:szCs w:val="21"/>
    </w:rPr>
  </w:style>
  <w:style w:type="paragraph" w:customStyle="1" w:styleId="68">
    <w:name w:val="xl90"/>
    <w:basedOn w:val="1"/>
    <w:qFormat/>
    <w:uiPriority w:val="0"/>
    <w:pPr>
      <w:widowControl/>
      <w:pBdr>
        <w:top w:val="single" w:color="auto" w:sz="4" w:space="0"/>
        <w:left w:val="single" w:color="auto" w:sz="4" w:space="0"/>
        <w:right w:val="single" w:color="auto" w:sz="4" w:space="0"/>
      </w:pBdr>
      <w:spacing w:before="100" w:beforeAutospacing="1" w:after="100" w:afterAutospacing="1"/>
    </w:pPr>
    <w:rPr>
      <w:rFonts w:ascii="宋体" w:hAnsi="宋体" w:eastAsia="宋体" w:cs="宋体"/>
      <w:kern w:val="0"/>
      <w:szCs w:val="21"/>
    </w:rPr>
  </w:style>
  <w:style w:type="paragraph" w:customStyle="1" w:styleId="69">
    <w:name w:val="xl91"/>
    <w:basedOn w:val="1"/>
    <w:qFormat/>
    <w:uiPriority w:val="0"/>
    <w:pPr>
      <w:widowControl/>
      <w:pBdr>
        <w:left w:val="single" w:color="auto" w:sz="4" w:space="0"/>
        <w:right w:val="single" w:color="auto" w:sz="4" w:space="0"/>
      </w:pBdr>
      <w:spacing w:before="100" w:beforeAutospacing="1" w:after="100" w:afterAutospacing="1"/>
    </w:pPr>
    <w:rPr>
      <w:rFonts w:ascii="宋体" w:hAnsi="宋体" w:eastAsia="宋体" w:cs="宋体"/>
      <w:kern w:val="0"/>
      <w:szCs w:val="21"/>
    </w:rPr>
  </w:style>
  <w:style w:type="paragraph" w:customStyle="1" w:styleId="70">
    <w:name w:val="xl92"/>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宋体" w:hAnsi="宋体" w:eastAsia="宋体" w:cs="宋体"/>
      <w:kern w:val="0"/>
      <w:szCs w:val="21"/>
    </w:rPr>
  </w:style>
  <w:style w:type="paragraph" w:customStyle="1" w:styleId="71">
    <w:name w:val="xl93"/>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Cs w:val="21"/>
    </w:rPr>
  </w:style>
  <w:style w:type="paragraph" w:customStyle="1" w:styleId="72">
    <w:name w:val="xl9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Cs w:val="21"/>
    </w:rPr>
  </w:style>
  <w:style w:type="paragraph" w:customStyle="1" w:styleId="73">
    <w:name w:val="xl95"/>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Cs w:val="21"/>
    </w:rPr>
  </w:style>
  <w:style w:type="paragraph" w:customStyle="1" w:styleId="74">
    <w:name w:val="xl96"/>
    <w:basedOn w:val="1"/>
    <w:qFormat/>
    <w:uiPriority w:val="0"/>
    <w:pPr>
      <w:widowControl/>
      <w:pBdr>
        <w:top w:val="single" w:color="auto" w:sz="4" w:space="0"/>
        <w:left w:val="single" w:color="auto" w:sz="4" w:space="0"/>
        <w:right w:val="single" w:color="auto" w:sz="4" w:space="0"/>
      </w:pBdr>
      <w:spacing w:before="100" w:beforeAutospacing="1" w:after="100" w:afterAutospacing="1"/>
    </w:pPr>
    <w:rPr>
      <w:rFonts w:ascii="宋体" w:hAnsi="宋体" w:eastAsia="宋体" w:cs="宋体"/>
      <w:color w:val="000000"/>
      <w:kern w:val="0"/>
      <w:szCs w:val="21"/>
    </w:rPr>
  </w:style>
  <w:style w:type="paragraph" w:customStyle="1" w:styleId="75">
    <w:name w:val="xl97"/>
    <w:basedOn w:val="1"/>
    <w:qFormat/>
    <w:uiPriority w:val="0"/>
    <w:pPr>
      <w:widowControl/>
      <w:pBdr>
        <w:left w:val="single" w:color="auto" w:sz="4" w:space="0"/>
        <w:right w:val="single" w:color="auto" w:sz="4" w:space="0"/>
      </w:pBdr>
      <w:spacing w:before="100" w:beforeAutospacing="1" w:after="100" w:afterAutospacing="1"/>
    </w:pPr>
    <w:rPr>
      <w:rFonts w:ascii="宋体" w:hAnsi="宋体" w:eastAsia="宋体" w:cs="宋体"/>
      <w:color w:val="000000"/>
      <w:kern w:val="0"/>
      <w:szCs w:val="21"/>
    </w:rPr>
  </w:style>
  <w:style w:type="paragraph" w:customStyle="1" w:styleId="76">
    <w:name w:val="xl98"/>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宋体" w:hAnsi="宋体" w:eastAsia="宋体" w:cs="宋体"/>
      <w:color w:val="000000"/>
      <w:kern w:val="0"/>
      <w:szCs w:val="21"/>
    </w:rPr>
  </w:style>
  <w:style w:type="paragraph" w:customStyle="1" w:styleId="77">
    <w:name w:val="xl9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1"/>
    </w:rPr>
  </w:style>
  <w:style w:type="paragraph" w:customStyle="1" w:styleId="78">
    <w:name w:val="xl10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Cs w:val="21"/>
    </w:rPr>
  </w:style>
  <w:style w:type="paragraph" w:customStyle="1" w:styleId="79">
    <w:name w:val="xl101"/>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eastAsia="宋体" w:cs="宋体"/>
      <w:color w:val="000000"/>
      <w:kern w:val="0"/>
      <w:szCs w:val="21"/>
    </w:rPr>
  </w:style>
  <w:style w:type="paragraph" w:customStyle="1" w:styleId="80">
    <w:name w:val="xl102"/>
    <w:basedOn w:val="1"/>
    <w:qFormat/>
    <w:uiPriority w:val="0"/>
    <w:pPr>
      <w:widowControl/>
      <w:pBdr>
        <w:bottom w:val="single" w:color="auto" w:sz="4" w:space="0"/>
      </w:pBdr>
      <w:spacing w:before="100" w:beforeAutospacing="1" w:after="100" w:afterAutospacing="1"/>
      <w:jc w:val="center"/>
    </w:pPr>
    <w:rPr>
      <w:rFonts w:ascii="宋体" w:hAnsi="宋体" w:eastAsia="宋体" w:cs="宋体"/>
      <w:b/>
      <w:bCs/>
      <w:kern w:val="0"/>
      <w:szCs w:val="21"/>
    </w:rPr>
  </w:style>
  <w:style w:type="paragraph" w:customStyle="1" w:styleId="81">
    <w:name w:val="xl10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Cs w:val="21"/>
    </w:rPr>
  </w:style>
  <w:style w:type="paragraph" w:customStyle="1" w:styleId="82">
    <w:name w:val="xl104"/>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kern w:val="0"/>
      <w:szCs w:val="21"/>
    </w:rPr>
  </w:style>
  <w:style w:type="paragraph" w:customStyle="1" w:styleId="83">
    <w:name w:val="xl10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Cs w:val="21"/>
    </w:rPr>
  </w:style>
  <w:style w:type="character" w:customStyle="1" w:styleId="84">
    <w:name w:val="批注文字 字符"/>
    <w:basedOn w:val="20"/>
    <w:link w:val="8"/>
    <w:qFormat/>
    <w:uiPriority w:val="99"/>
  </w:style>
  <w:style w:type="character" w:customStyle="1" w:styleId="85">
    <w:name w:val="批注主题 字符"/>
    <w:basedOn w:val="84"/>
    <w:link w:val="17"/>
    <w:semiHidden/>
    <w:qFormat/>
    <w:uiPriority w:val="99"/>
    <w:rPr>
      <w:b/>
      <w:bCs/>
    </w:rPr>
  </w:style>
  <w:style w:type="table" w:customStyle="1" w:styleId="86">
    <w:name w:val="网格型1"/>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7">
    <w:name w:val="日期 字符"/>
    <w:basedOn w:val="20"/>
    <w:link w:val="11"/>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278</Pages>
  <Words>83202</Words>
  <Characters>85421</Characters>
  <Lines>681</Lines>
  <Paragraphs>191</Paragraphs>
  <TotalTime>0</TotalTime>
  <ScaleCrop>false</ScaleCrop>
  <LinksUpToDate>false</LinksUpToDate>
  <CharactersWithSpaces>85941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2022-01-19T22:30:00Z</dcterms:created>
  <dc:creator>Huawei</dc:creator>
  <cp:lastModifiedBy>Administrator</cp:lastModifiedBy>
  <dcterms:modified xsi:type="dcterms:W3CDTF">2022-02-07T08:07:51Z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82188AF6B663465784EE34E7BD8E8BFF</vt:lpwstr>
  </property>
</Properties>
</file>