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320" w:firstLineChars="100"/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  <w:t>附件2</w:t>
      </w:r>
    </w:p>
    <w:p>
      <w:pPr>
        <w:spacing w:line="560" w:lineRule="exact"/>
        <w:jc w:val="center"/>
        <w:rPr>
          <w:rFonts w:hint="eastAsia" w:ascii="华文中宋" w:hAnsi="华文中宋" w:eastAsia="华文中宋"/>
          <w:b/>
          <w:color w:val="auto"/>
          <w:sz w:val="44"/>
          <w:szCs w:val="44"/>
        </w:rPr>
      </w:pPr>
    </w:p>
    <w:p>
      <w:pPr>
        <w:spacing w:line="560" w:lineRule="exact"/>
        <w:jc w:val="center"/>
        <w:rPr>
          <w:rFonts w:hint="eastAsia" w:ascii="华文中宋" w:hAnsi="华文中宋" w:eastAsia="华文中宋"/>
          <w:b/>
          <w:color w:val="auto"/>
          <w:sz w:val="44"/>
          <w:szCs w:val="44"/>
        </w:rPr>
      </w:pPr>
      <w:r>
        <w:rPr>
          <w:rFonts w:ascii="华文中宋" w:hAnsi="华文中宋" w:eastAsia="华文中宋"/>
          <w:b/>
          <w:color w:val="auto"/>
          <w:sz w:val="44"/>
          <w:szCs w:val="44"/>
        </w:rPr>
        <w:t>烟花爆竹</w:t>
      </w:r>
      <w:r>
        <w:rPr>
          <w:rFonts w:hint="eastAsia" w:ascii="华文中宋" w:hAnsi="华文中宋" w:eastAsia="华文中宋"/>
          <w:b/>
          <w:color w:val="auto"/>
          <w:sz w:val="44"/>
          <w:szCs w:val="44"/>
        </w:rPr>
        <w:t>批发企业</w:t>
      </w:r>
      <w:r>
        <w:rPr>
          <w:rFonts w:ascii="华文中宋" w:hAnsi="华文中宋" w:eastAsia="华文中宋"/>
          <w:b/>
          <w:color w:val="auto"/>
          <w:sz w:val="44"/>
          <w:szCs w:val="44"/>
        </w:rPr>
        <w:t>安全风险隐患排查表</w:t>
      </w:r>
    </w:p>
    <w:p>
      <w:pPr>
        <w:spacing w:line="560" w:lineRule="exact"/>
        <w:jc w:val="both"/>
        <w:rPr>
          <w:rFonts w:hint="eastAsia" w:eastAsia="仿宋_GB2312"/>
          <w:b/>
          <w:color w:val="auto"/>
          <w:szCs w:val="32"/>
          <w:lang w:eastAsia="zh-CN"/>
        </w:rPr>
      </w:pPr>
      <w:r>
        <w:rPr>
          <w:rFonts w:hint="eastAsia" w:eastAsia="仿宋_GB2312"/>
          <w:b/>
          <w:color w:val="auto"/>
          <w:szCs w:val="32"/>
          <w:lang w:eastAsia="zh-CN"/>
        </w:rPr>
        <w:t>企业名称：</w:t>
      </w:r>
      <w:r>
        <w:rPr>
          <w:rFonts w:hint="eastAsia" w:eastAsia="仿宋_GB2312"/>
          <w:b/>
          <w:color w:val="auto"/>
          <w:szCs w:val="32"/>
          <w:lang w:val="en-US" w:eastAsia="zh-CN"/>
        </w:rPr>
        <w:t xml:space="preserve">                                       </w:t>
      </w:r>
      <w:r>
        <w:rPr>
          <w:rFonts w:hint="eastAsia" w:eastAsia="仿宋_GB2312"/>
          <w:b/>
          <w:color w:val="auto"/>
          <w:szCs w:val="32"/>
          <w:lang w:eastAsia="zh-CN"/>
        </w:rPr>
        <w:t>检查时间：</w:t>
      </w:r>
    </w:p>
    <w:tbl>
      <w:tblPr>
        <w:tblStyle w:val="2"/>
        <w:tblW w:w="135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6"/>
        <w:gridCol w:w="7242"/>
        <w:gridCol w:w="50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tblHeader/>
          <w:jc w:val="center"/>
        </w:trPr>
        <w:tc>
          <w:tcPr>
            <w:tcW w:w="129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eastAsia="黑体"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724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eastAsia="黑体"/>
                <w:color w:val="auto"/>
                <w:sz w:val="28"/>
                <w:szCs w:val="28"/>
              </w:rPr>
              <w:t>排查内容</w:t>
            </w:r>
          </w:p>
        </w:tc>
        <w:tc>
          <w:tcPr>
            <w:tcW w:w="505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黑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eastAsia="黑体"/>
                <w:color w:val="auto"/>
                <w:sz w:val="28"/>
                <w:szCs w:val="28"/>
                <w:lang w:eastAsia="zh-CN"/>
              </w:rPr>
              <w:t>检查情况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tblHeader/>
          <w:jc w:val="center"/>
        </w:trPr>
        <w:tc>
          <w:tcPr>
            <w:tcW w:w="129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STIX"/>
                <w:color w:val="auto"/>
                <w:sz w:val="28"/>
                <w:szCs w:val="28"/>
              </w:rPr>
            </w:pPr>
            <w:r>
              <w:rPr>
                <w:rFonts w:eastAsia="STIX"/>
                <w:color w:val="auto"/>
                <w:sz w:val="28"/>
                <w:szCs w:val="28"/>
              </w:rPr>
              <w:t>1</w:t>
            </w:r>
          </w:p>
        </w:tc>
        <w:tc>
          <w:tcPr>
            <w:tcW w:w="7242" w:type="dxa"/>
            <w:noWrap w:val="0"/>
            <w:vAlign w:val="center"/>
          </w:tcPr>
          <w:p>
            <w:pPr>
              <w:spacing w:line="560" w:lineRule="exact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eastAsia="仿宋_GB2312"/>
                <w:color w:val="auto"/>
                <w:sz w:val="28"/>
                <w:szCs w:val="28"/>
              </w:rPr>
              <w:t>安全生产管理制度是否落实。重点检查药物安全管理、</w:t>
            </w:r>
            <w:r>
              <w:rPr>
                <w:rFonts w:hint="eastAsia" w:eastAsia="仿宋_GB2312"/>
                <w:color w:val="auto"/>
                <w:sz w:val="28"/>
                <w:szCs w:val="28"/>
              </w:rPr>
              <w:t>安全</w:t>
            </w:r>
            <w:r>
              <w:rPr>
                <w:rFonts w:eastAsia="仿宋_GB2312"/>
                <w:color w:val="auto"/>
                <w:sz w:val="28"/>
                <w:szCs w:val="28"/>
              </w:rPr>
              <w:t>隐患排查治理、职工及外来人员进出厂登记、企业负责人值班带班、产品买卖合同及流向登记、</w:t>
            </w:r>
            <w:r>
              <w:rPr>
                <w:rFonts w:hint="eastAsia" w:eastAsia="仿宋_GB2312"/>
                <w:color w:val="auto"/>
                <w:sz w:val="28"/>
                <w:szCs w:val="28"/>
              </w:rPr>
              <w:t>“一清单、一台账、一承诺”</w:t>
            </w:r>
            <w:r>
              <w:rPr>
                <w:rFonts w:eastAsia="仿宋_GB2312"/>
                <w:color w:val="auto"/>
                <w:sz w:val="28"/>
                <w:szCs w:val="28"/>
              </w:rPr>
              <w:t>等制度的落实情况及其台账。</w:t>
            </w:r>
          </w:p>
        </w:tc>
        <w:tc>
          <w:tcPr>
            <w:tcW w:w="5054" w:type="dxa"/>
            <w:noWrap w:val="0"/>
            <w:vAlign w:val="center"/>
          </w:tcPr>
          <w:p>
            <w:pPr>
              <w:spacing w:line="560" w:lineRule="exact"/>
              <w:rPr>
                <w:rFonts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tblHeader/>
          <w:jc w:val="center"/>
        </w:trPr>
        <w:tc>
          <w:tcPr>
            <w:tcW w:w="129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STIX"/>
                <w:color w:val="auto"/>
                <w:sz w:val="28"/>
                <w:szCs w:val="28"/>
              </w:rPr>
            </w:pPr>
            <w:r>
              <w:rPr>
                <w:rFonts w:eastAsia="STIX"/>
                <w:color w:val="auto"/>
                <w:sz w:val="28"/>
                <w:szCs w:val="28"/>
              </w:rPr>
              <w:t>2</w:t>
            </w:r>
          </w:p>
        </w:tc>
        <w:tc>
          <w:tcPr>
            <w:tcW w:w="7242" w:type="dxa"/>
            <w:noWrap w:val="0"/>
            <w:vAlign w:val="center"/>
          </w:tcPr>
          <w:p>
            <w:pPr>
              <w:spacing w:line="560" w:lineRule="exact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eastAsia="仿宋_GB2312"/>
                <w:color w:val="auto"/>
                <w:sz w:val="28"/>
                <w:szCs w:val="28"/>
              </w:rPr>
              <w:t>企业主要负责人、分管负责人、安全生产管理人员、危险工序及特种作业人员是否取得相应资格证书</w:t>
            </w:r>
            <w:r>
              <w:rPr>
                <w:rFonts w:hint="eastAsia" w:eastAsia="仿宋_GB2312"/>
                <w:color w:val="auto"/>
                <w:sz w:val="28"/>
                <w:szCs w:val="28"/>
              </w:rPr>
              <w:t>，是否落实全员安全生产责任制。</w:t>
            </w:r>
          </w:p>
        </w:tc>
        <w:tc>
          <w:tcPr>
            <w:tcW w:w="5054" w:type="dxa"/>
            <w:noWrap w:val="0"/>
            <w:vAlign w:val="center"/>
          </w:tcPr>
          <w:p>
            <w:pPr>
              <w:spacing w:line="560" w:lineRule="exact"/>
              <w:rPr>
                <w:rFonts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  <w:tblHeader/>
          <w:jc w:val="center"/>
        </w:trPr>
        <w:tc>
          <w:tcPr>
            <w:tcW w:w="129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STIX"/>
                <w:color w:val="auto"/>
                <w:sz w:val="28"/>
                <w:szCs w:val="28"/>
              </w:rPr>
            </w:pPr>
            <w:r>
              <w:rPr>
                <w:rFonts w:eastAsia="STIX"/>
                <w:color w:val="auto"/>
                <w:sz w:val="28"/>
                <w:szCs w:val="28"/>
              </w:rPr>
              <w:t>3</w:t>
            </w:r>
          </w:p>
        </w:tc>
        <w:tc>
          <w:tcPr>
            <w:tcW w:w="7242" w:type="dxa"/>
            <w:noWrap w:val="0"/>
            <w:vAlign w:val="center"/>
          </w:tcPr>
          <w:p>
            <w:pPr>
              <w:spacing w:line="560" w:lineRule="exact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是否建设应用视频监控系统。</w:t>
            </w:r>
          </w:p>
        </w:tc>
        <w:tc>
          <w:tcPr>
            <w:tcW w:w="5054" w:type="dxa"/>
            <w:noWrap w:val="0"/>
            <w:vAlign w:val="center"/>
          </w:tcPr>
          <w:p>
            <w:pPr>
              <w:spacing w:line="560" w:lineRule="exact"/>
              <w:rPr>
                <w:rFonts w:hint="eastAsia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29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STIX"/>
                <w:color w:val="auto"/>
                <w:sz w:val="28"/>
                <w:szCs w:val="28"/>
              </w:rPr>
            </w:pPr>
            <w:r>
              <w:rPr>
                <w:rFonts w:eastAsia="STIX"/>
                <w:color w:val="auto"/>
                <w:sz w:val="28"/>
                <w:szCs w:val="28"/>
              </w:rPr>
              <w:t>4</w:t>
            </w:r>
          </w:p>
        </w:tc>
        <w:tc>
          <w:tcPr>
            <w:tcW w:w="7242" w:type="dxa"/>
            <w:noWrap w:val="0"/>
            <w:vAlign w:val="center"/>
          </w:tcPr>
          <w:p>
            <w:pPr>
              <w:spacing w:line="560" w:lineRule="exact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eastAsia="仿宋_GB2312"/>
                <w:color w:val="auto"/>
                <w:sz w:val="28"/>
                <w:szCs w:val="28"/>
              </w:rPr>
              <w:t>各危险性建筑物的内、外部安全距离是否符合GB50161要求。</w:t>
            </w:r>
          </w:p>
        </w:tc>
        <w:tc>
          <w:tcPr>
            <w:tcW w:w="5054" w:type="dxa"/>
            <w:noWrap w:val="0"/>
            <w:vAlign w:val="center"/>
          </w:tcPr>
          <w:p>
            <w:pPr>
              <w:spacing w:line="560" w:lineRule="exact"/>
              <w:rPr>
                <w:rFonts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tblHeader/>
          <w:jc w:val="center"/>
        </w:trPr>
        <w:tc>
          <w:tcPr>
            <w:tcW w:w="129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STIX"/>
                <w:color w:val="auto"/>
                <w:sz w:val="28"/>
                <w:szCs w:val="28"/>
              </w:rPr>
            </w:pPr>
            <w:r>
              <w:rPr>
                <w:rFonts w:eastAsia="STIX"/>
                <w:color w:val="auto"/>
                <w:sz w:val="28"/>
                <w:szCs w:val="28"/>
              </w:rPr>
              <w:t>5</w:t>
            </w:r>
          </w:p>
        </w:tc>
        <w:tc>
          <w:tcPr>
            <w:tcW w:w="7242" w:type="dxa"/>
            <w:noWrap w:val="0"/>
            <w:vAlign w:val="center"/>
          </w:tcPr>
          <w:p>
            <w:pPr>
              <w:spacing w:line="560" w:lineRule="exact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危险品总仓库区、行政区、展览区是否分区设置，围墙是否完整，是否设置防火隔离带。</w:t>
            </w:r>
          </w:p>
        </w:tc>
        <w:tc>
          <w:tcPr>
            <w:tcW w:w="5054" w:type="dxa"/>
            <w:noWrap w:val="0"/>
            <w:vAlign w:val="center"/>
          </w:tcPr>
          <w:p>
            <w:pPr>
              <w:spacing w:line="560" w:lineRule="exact"/>
              <w:rPr>
                <w:rFonts w:hint="eastAsia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tblHeader/>
          <w:jc w:val="center"/>
        </w:trPr>
        <w:tc>
          <w:tcPr>
            <w:tcW w:w="129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STIX"/>
                <w:color w:val="auto"/>
                <w:sz w:val="28"/>
                <w:szCs w:val="28"/>
              </w:rPr>
            </w:pPr>
            <w:r>
              <w:rPr>
                <w:rFonts w:eastAsia="STIX"/>
                <w:color w:val="auto"/>
                <w:sz w:val="28"/>
                <w:szCs w:val="28"/>
              </w:rPr>
              <w:t>6</w:t>
            </w:r>
          </w:p>
        </w:tc>
        <w:tc>
          <w:tcPr>
            <w:tcW w:w="7242" w:type="dxa"/>
            <w:noWrap w:val="0"/>
            <w:vAlign w:val="center"/>
          </w:tcPr>
          <w:p>
            <w:pPr>
              <w:spacing w:line="560" w:lineRule="exact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是否私自搭建库房、阳光棚、走廊等用于储存。</w:t>
            </w:r>
          </w:p>
        </w:tc>
        <w:tc>
          <w:tcPr>
            <w:tcW w:w="5054" w:type="dxa"/>
            <w:noWrap w:val="0"/>
            <w:vAlign w:val="center"/>
          </w:tcPr>
          <w:p>
            <w:pPr>
              <w:spacing w:line="560" w:lineRule="exact"/>
              <w:rPr>
                <w:rFonts w:hint="eastAsia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  <w:tblHeader/>
          <w:jc w:val="center"/>
        </w:trPr>
        <w:tc>
          <w:tcPr>
            <w:tcW w:w="129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STIX"/>
                <w:color w:val="auto"/>
                <w:sz w:val="28"/>
                <w:szCs w:val="28"/>
              </w:rPr>
            </w:pPr>
            <w:r>
              <w:rPr>
                <w:rFonts w:eastAsia="STIX"/>
                <w:color w:val="auto"/>
                <w:sz w:val="28"/>
                <w:szCs w:val="28"/>
              </w:rPr>
              <w:t>7</w:t>
            </w:r>
          </w:p>
        </w:tc>
        <w:tc>
          <w:tcPr>
            <w:tcW w:w="7242" w:type="dxa"/>
            <w:noWrap w:val="0"/>
            <w:vAlign w:val="center"/>
          </w:tcPr>
          <w:p>
            <w:pPr>
              <w:spacing w:line="560" w:lineRule="exact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库房的防爆、防火、防雷、防静电设施是否设置且有效，</w:t>
            </w:r>
            <w:r>
              <w:rPr>
                <w:rFonts w:eastAsia="仿宋_GB2312"/>
                <w:color w:val="auto"/>
                <w:sz w:val="28"/>
                <w:szCs w:val="28"/>
              </w:rPr>
              <w:t>1.1级</w:t>
            </w:r>
            <w:r>
              <w:rPr>
                <w:rFonts w:hint="eastAsia" w:eastAsia="仿宋_GB2312"/>
                <w:color w:val="auto"/>
                <w:sz w:val="28"/>
                <w:szCs w:val="28"/>
              </w:rPr>
              <w:t>库房</w:t>
            </w:r>
            <w:r>
              <w:rPr>
                <w:rFonts w:eastAsia="仿宋_GB2312"/>
                <w:color w:val="auto"/>
                <w:sz w:val="28"/>
                <w:szCs w:val="28"/>
              </w:rPr>
              <w:t>是否设置防护屏障，防护屏障的结构、防护范围</w:t>
            </w:r>
            <w:r>
              <w:rPr>
                <w:rFonts w:hint="eastAsia" w:eastAsia="仿宋_GB2312"/>
                <w:color w:val="auto"/>
                <w:sz w:val="28"/>
                <w:szCs w:val="28"/>
              </w:rPr>
              <w:t>等是否</w:t>
            </w:r>
            <w:r>
              <w:rPr>
                <w:rFonts w:eastAsia="仿宋_GB2312"/>
                <w:color w:val="auto"/>
                <w:sz w:val="28"/>
                <w:szCs w:val="28"/>
              </w:rPr>
              <w:t>符合GB50161要求</w:t>
            </w:r>
            <w:r>
              <w:rPr>
                <w:rFonts w:hint="eastAsia" w:eastAsia="仿宋_GB2312"/>
                <w:color w:val="auto"/>
                <w:sz w:val="28"/>
                <w:szCs w:val="28"/>
              </w:rPr>
              <w:t>，防雷设施检测报告是否在有效期内</w:t>
            </w:r>
            <w:r>
              <w:rPr>
                <w:rFonts w:eastAsia="仿宋_GB2312"/>
                <w:color w:val="auto"/>
                <w:sz w:val="28"/>
                <w:szCs w:val="28"/>
              </w:rPr>
              <w:t>。</w:t>
            </w:r>
          </w:p>
        </w:tc>
        <w:tc>
          <w:tcPr>
            <w:tcW w:w="5054" w:type="dxa"/>
            <w:noWrap w:val="0"/>
            <w:vAlign w:val="center"/>
          </w:tcPr>
          <w:p>
            <w:pPr>
              <w:spacing w:line="560" w:lineRule="exact"/>
              <w:rPr>
                <w:rFonts w:hint="eastAsia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  <w:tblHeader/>
          <w:jc w:val="center"/>
        </w:trPr>
        <w:tc>
          <w:tcPr>
            <w:tcW w:w="129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STIX"/>
                <w:color w:val="auto"/>
                <w:sz w:val="28"/>
                <w:szCs w:val="28"/>
              </w:rPr>
            </w:pPr>
            <w:r>
              <w:rPr>
                <w:rFonts w:eastAsia="STIX"/>
                <w:color w:val="auto"/>
                <w:sz w:val="28"/>
                <w:szCs w:val="28"/>
              </w:rPr>
              <w:t>8</w:t>
            </w:r>
          </w:p>
        </w:tc>
        <w:tc>
          <w:tcPr>
            <w:tcW w:w="7242" w:type="dxa"/>
            <w:noWrap w:val="0"/>
            <w:vAlign w:val="center"/>
          </w:tcPr>
          <w:p>
            <w:pPr>
              <w:spacing w:line="560" w:lineRule="exact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超过500m</w:t>
            </w:r>
            <w:r>
              <w:rPr>
                <w:rFonts w:hint="eastAsia" w:eastAsia="仿宋_GB2312"/>
                <w:color w:val="auto"/>
                <w:sz w:val="28"/>
                <w:szCs w:val="28"/>
                <w:vertAlign w:val="superscript"/>
              </w:rPr>
              <w:t>2</w:t>
            </w:r>
            <w:r>
              <w:rPr>
                <w:rFonts w:hint="eastAsia" w:eastAsia="仿宋_GB2312"/>
                <w:color w:val="auto"/>
                <w:sz w:val="28"/>
                <w:szCs w:val="28"/>
              </w:rPr>
              <w:t>的库房是否防火分区，防火隔离墙是否有效（无通道、到顶）。</w:t>
            </w:r>
          </w:p>
        </w:tc>
        <w:tc>
          <w:tcPr>
            <w:tcW w:w="5054" w:type="dxa"/>
            <w:noWrap w:val="0"/>
            <w:vAlign w:val="center"/>
          </w:tcPr>
          <w:p>
            <w:pPr>
              <w:spacing w:line="560" w:lineRule="exact"/>
              <w:rPr>
                <w:rFonts w:hint="eastAsia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  <w:tblHeader/>
          <w:jc w:val="center"/>
        </w:trPr>
        <w:tc>
          <w:tcPr>
            <w:tcW w:w="129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STIX"/>
                <w:color w:val="auto"/>
                <w:sz w:val="28"/>
                <w:szCs w:val="28"/>
              </w:rPr>
            </w:pPr>
            <w:r>
              <w:rPr>
                <w:rFonts w:eastAsia="STIX"/>
                <w:color w:val="auto"/>
                <w:sz w:val="28"/>
                <w:szCs w:val="28"/>
              </w:rPr>
              <w:t>9</w:t>
            </w:r>
          </w:p>
        </w:tc>
        <w:tc>
          <w:tcPr>
            <w:tcW w:w="7242" w:type="dxa"/>
            <w:noWrap w:val="0"/>
            <w:vAlign w:val="center"/>
          </w:tcPr>
          <w:p>
            <w:pPr>
              <w:spacing w:line="560" w:lineRule="exact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库房是否设置清晰醒目的标识牌，实际作业人员数量是否超过核定人数，储存药量是否超过核定储量。</w:t>
            </w:r>
          </w:p>
        </w:tc>
        <w:tc>
          <w:tcPr>
            <w:tcW w:w="5054" w:type="dxa"/>
            <w:noWrap w:val="0"/>
            <w:vAlign w:val="center"/>
          </w:tcPr>
          <w:p>
            <w:pPr>
              <w:spacing w:line="560" w:lineRule="exact"/>
              <w:rPr>
                <w:rFonts w:hint="eastAsia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129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STIX"/>
                <w:color w:val="auto"/>
                <w:sz w:val="28"/>
                <w:szCs w:val="28"/>
              </w:rPr>
            </w:pPr>
            <w:r>
              <w:rPr>
                <w:rFonts w:eastAsia="等线"/>
                <w:color w:val="auto"/>
                <w:sz w:val="28"/>
                <w:szCs w:val="28"/>
              </w:rPr>
              <w:t>10</w:t>
            </w:r>
          </w:p>
        </w:tc>
        <w:tc>
          <w:tcPr>
            <w:tcW w:w="7242" w:type="dxa"/>
            <w:noWrap w:val="0"/>
            <w:vAlign w:val="center"/>
          </w:tcPr>
          <w:p>
            <w:pPr>
              <w:spacing w:line="560" w:lineRule="exact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企业是否每日组织开展巡查检查，库房是否定期巡回检查并记录库房的温度、湿度。</w:t>
            </w:r>
          </w:p>
        </w:tc>
        <w:tc>
          <w:tcPr>
            <w:tcW w:w="5054" w:type="dxa"/>
            <w:noWrap w:val="0"/>
            <w:vAlign w:val="center"/>
          </w:tcPr>
          <w:p>
            <w:pPr>
              <w:spacing w:line="560" w:lineRule="exact"/>
              <w:rPr>
                <w:rFonts w:hint="eastAsia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tblHeader/>
          <w:jc w:val="center"/>
        </w:trPr>
        <w:tc>
          <w:tcPr>
            <w:tcW w:w="129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STIX"/>
                <w:color w:val="auto"/>
                <w:sz w:val="28"/>
                <w:szCs w:val="28"/>
              </w:rPr>
            </w:pPr>
            <w:r>
              <w:rPr>
                <w:rFonts w:eastAsia="等线"/>
                <w:color w:val="auto"/>
                <w:sz w:val="28"/>
                <w:szCs w:val="28"/>
              </w:rPr>
              <w:t>11</w:t>
            </w:r>
          </w:p>
        </w:tc>
        <w:tc>
          <w:tcPr>
            <w:tcW w:w="7242" w:type="dxa"/>
            <w:noWrap w:val="0"/>
            <w:vAlign w:val="center"/>
          </w:tcPr>
          <w:p>
            <w:pPr>
              <w:spacing w:line="560" w:lineRule="exact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是否超许可范围经营，是否向零售点销售专业燃放类产品，是否购进或者储存非法、超标违禁、冒牌、伪劣、“假大空”产品。</w:t>
            </w:r>
          </w:p>
        </w:tc>
        <w:tc>
          <w:tcPr>
            <w:tcW w:w="5054" w:type="dxa"/>
            <w:noWrap w:val="0"/>
            <w:vAlign w:val="center"/>
          </w:tcPr>
          <w:p>
            <w:pPr>
              <w:spacing w:line="560" w:lineRule="exact"/>
              <w:rPr>
                <w:rFonts w:hint="eastAsia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  <w:tblHeader/>
          <w:jc w:val="center"/>
        </w:trPr>
        <w:tc>
          <w:tcPr>
            <w:tcW w:w="129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等线"/>
                <w:color w:val="auto"/>
                <w:sz w:val="28"/>
                <w:szCs w:val="28"/>
              </w:rPr>
            </w:pPr>
            <w:r>
              <w:rPr>
                <w:rFonts w:hint="eastAsia" w:eastAsia="等线"/>
                <w:color w:val="auto"/>
                <w:sz w:val="28"/>
                <w:szCs w:val="28"/>
              </w:rPr>
              <w:t>12</w:t>
            </w:r>
          </w:p>
        </w:tc>
        <w:tc>
          <w:tcPr>
            <w:tcW w:w="7242" w:type="dxa"/>
            <w:noWrap w:val="0"/>
            <w:vAlign w:val="center"/>
          </w:tcPr>
          <w:p>
            <w:pPr>
              <w:spacing w:line="560" w:lineRule="exact"/>
              <w:rPr>
                <w:rFonts w:hint="eastAsia" w:eastAsia="仿宋_GB2312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是否按规定对零售经营者提供了配送服务，是否有零售经营者自行到仓库提取产品。</w:t>
            </w:r>
          </w:p>
        </w:tc>
        <w:tc>
          <w:tcPr>
            <w:tcW w:w="5054" w:type="dxa"/>
            <w:noWrap w:val="0"/>
            <w:vAlign w:val="center"/>
          </w:tcPr>
          <w:p>
            <w:pPr>
              <w:spacing w:line="560" w:lineRule="exact"/>
              <w:rPr>
                <w:rFonts w:hint="eastAsia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  <w:tblHeader/>
          <w:jc w:val="center"/>
        </w:trPr>
        <w:tc>
          <w:tcPr>
            <w:tcW w:w="129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STIX"/>
                <w:color w:val="auto"/>
                <w:sz w:val="28"/>
                <w:szCs w:val="28"/>
              </w:rPr>
            </w:pPr>
            <w:r>
              <w:rPr>
                <w:rFonts w:eastAsia="等线"/>
                <w:color w:val="auto"/>
                <w:sz w:val="28"/>
                <w:szCs w:val="28"/>
              </w:rPr>
              <w:t>13</w:t>
            </w:r>
          </w:p>
        </w:tc>
        <w:tc>
          <w:tcPr>
            <w:tcW w:w="7242" w:type="dxa"/>
            <w:noWrap w:val="0"/>
            <w:vAlign w:val="center"/>
          </w:tcPr>
          <w:p>
            <w:pPr>
              <w:spacing w:line="560" w:lineRule="exact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库房内危险物品的堆放是否符合G</w:t>
            </w:r>
            <w:r>
              <w:rPr>
                <w:rFonts w:eastAsia="仿宋_GB2312"/>
                <w:color w:val="auto"/>
                <w:sz w:val="28"/>
                <w:szCs w:val="28"/>
              </w:rPr>
              <w:t>B</w:t>
            </w:r>
            <w:r>
              <w:rPr>
                <w:rFonts w:hint="eastAsia" w:eastAsia="仿宋_GB2312"/>
                <w:color w:val="auto"/>
                <w:sz w:val="28"/>
                <w:szCs w:val="28"/>
              </w:rPr>
              <w:t>11652要求（堆码稳定、整齐且在标志线内，主通道的宽度不小于1.5m，每个堆垛的边长不超过10m，堆垛间距不小于0.7m，与墙间距不小于0.45m，高度不超过2.5m）。</w:t>
            </w:r>
          </w:p>
        </w:tc>
        <w:tc>
          <w:tcPr>
            <w:tcW w:w="5054" w:type="dxa"/>
            <w:noWrap w:val="0"/>
            <w:vAlign w:val="center"/>
          </w:tcPr>
          <w:p>
            <w:pPr>
              <w:spacing w:line="560" w:lineRule="exact"/>
              <w:rPr>
                <w:rFonts w:hint="eastAsia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tblHeader/>
          <w:jc w:val="center"/>
        </w:trPr>
        <w:tc>
          <w:tcPr>
            <w:tcW w:w="129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STIX"/>
                <w:color w:val="auto"/>
                <w:sz w:val="28"/>
                <w:szCs w:val="28"/>
              </w:rPr>
            </w:pPr>
            <w:r>
              <w:rPr>
                <w:rFonts w:eastAsia="等线"/>
                <w:color w:val="auto"/>
                <w:sz w:val="28"/>
                <w:szCs w:val="28"/>
              </w:rPr>
              <w:t>14</w:t>
            </w:r>
          </w:p>
        </w:tc>
        <w:tc>
          <w:tcPr>
            <w:tcW w:w="7242" w:type="dxa"/>
            <w:noWrap w:val="0"/>
            <w:vAlign w:val="center"/>
          </w:tcPr>
          <w:p>
            <w:pPr>
              <w:spacing w:line="560" w:lineRule="exact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是否将不同危险等级产品混存，是否储存不属于烟花爆竹的危险物品。</w:t>
            </w:r>
          </w:p>
        </w:tc>
        <w:tc>
          <w:tcPr>
            <w:tcW w:w="5054" w:type="dxa"/>
            <w:noWrap w:val="0"/>
            <w:vAlign w:val="center"/>
          </w:tcPr>
          <w:p>
            <w:pPr>
              <w:spacing w:line="560" w:lineRule="exact"/>
              <w:rPr>
                <w:rFonts w:hint="eastAsia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  <w:tblHeader/>
          <w:jc w:val="center"/>
        </w:trPr>
        <w:tc>
          <w:tcPr>
            <w:tcW w:w="1296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STIX"/>
                <w:color w:val="auto"/>
                <w:sz w:val="28"/>
                <w:szCs w:val="28"/>
              </w:rPr>
            </w:pPr>
            <w:r>
              <w:rPr>
                <w:rFonts w:eastAsia="等线"/>
                <w:color w:val="auto"/>
                <w:sz w:val="28"/>
                <w:szCs w:val="28"/>
              </w:rPr>
              <w:t>15</w:t>
            </w:r>
          </w:p>
        </w:tc>
        <w:tc>
          <w:tcPr>
            <w:tcW w:w="7242" w:type="dxa"/>
            <w:noWrap w:val="0"/>
            <w:vAlign w:val="center"/>
          </w:tcPr>
          <w:p>
            <w:pPr>
              <w:spacing w:line="560" w:lineRule="exact"/>
              <w:rPr>
                <w:rFonts w:eastAsia="仿宋_GB2312"/>
                <w:color w:val="auto"/>
                <w:sz w:val="28"/>
                <w:szCs w:val="28"/>
              </w:rPr>
            </w:pPr>
            <w:r>
              <w:rPr>
                <w:rFonts w:hint="eastAsia" w:eastAsia="仿宋_GB2312"/>
                <w:color w:val="auto"/>
                <w:sz w:val="28"/>
                <w:szCs w:val="28"/>
              </w:rPr>
              <w:t>是否按照AQ4102的要求进行产品信息、生产企业信息、购买单位信息进行登记，产品包装箱上是否粘贴流向登记标识码，并扫描录入烟花爆竹流向管理信息系统。</w:t>
            </w:r>
          </w:p>
        </w:tc>
        <w:tc>
          <w:tcPr>
            <w:tcW w:w="5054" w:type="dxa"/>
            <w:noWrap w:val="0"/>
            <w:vAlign w:val="center"/>
          </w:tcPr>
          <w:p>
            <w:pPr>
              <w:spacing w:line="560" w:lineRule="exact"/>
              <w:rPr>
                <w:rFonts w:hint="eastAsia" w:eastAsia="仿宋_GB2312"/>
                <w:color w:val="auto"/>
                <w:sz w:val="28"/>
                <w:szCs w:val="28"/>
              </w:rPr>
            </w:pPr>
          </w:p>
        </w:tc>
      </w:tr>
    </w:tbl>
    <w:p>
      <w:r>
        <w:rPr>
          <w:rFonts w:hint="eastAsia" w:eastAsia="黑体"/>
          <w:color w:val="auto"/>
          <w:szCs w:val="32"/>
        </w:rPr>
        <w:t>被检查单位负责人：                          检查人员：</w:t>
      </w:r>
      <w:r>
        <w:rPr>
          <w:rFonts w:eastAsia="黑体"/>
          <w:color w:val="auto"/>
          <w:szCs w:val="32"/>
        </w:rPr>
        <w:br w:type="page"/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STIX">
    <w:altName w:val="Segoe Print"/>
    <w:panose1 w:val="00000000000000000000"/>
    <w:charset w:val="00"/>
    <w:family w:val="auto"/>
    <w:pitch w:val="default"/>
    <w:sig w:usb0="00000000" w:usb1="00000000" w:usb2="02000020" w:usb3="00000000" w:csb0="A00001FF" w:csb1="D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7D4160"/>
    <w:rsid w:val="0BE000DF"/>
    <w:rsid w:val="0E1F5D30"/>
    <w:rsid w:val="1637022B"/>
    <w:rsid w:val="1A5304E4"/>
    <w:rsid w:val="2C4644D6"/>
    <w:rsid w:val="3ED71BD3"/>
    <w:rsid w:val="407915F0"/>
    <w:rsid w:val="522B7748"/>
    <w:rsid w:val="55E20F0B"/>
    <w:rsid w:val="5D0E34FA"/>
    <w:rsid w:val="61AB3D08"/>
    <w:rsid w:val="65762C3C"/>
    <w:rsid w:val="6C2A6848"/>
    <w:rsid w:val="77507987"/>
    <w:rsid w:val="7E7D4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2021-11-18T07:09:00Z</dcterms:created>
  <dc:creator>李纹秀</dc:creator>
  <cp:lastModifiedBy>李纹秀</cp:lastModifiedBy>
  <dcterms:modified xsi:type="dcterms:W3CDTF">2021-11-18T07:09:46Z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