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0"/>
        <w:ind w:left="204" w:right="0" w:firstLine="0"/>
        <w:jc w:val="left"/>
        <w:rPr>
          <w:rFonts w:hint="eastAsia" w:ascii="方正黑体_GBK" w:eastAsia="方正黑体_GBK"/>
          <w:sz w:val="28"/>
        </w:rPr>
      </w:pPr>
      <w:r>
        <w:rPr>
          <w:rFonts w:hint="eastAsia" w:ascii="方正黑体_GBK" w:eastAsia="方正黑体_GBK"/>
          <w:sz w:val="28"/>
        </w:rPr>
        <w:t>附件1</w:t>
      </w:r>
    </w:p>
    <w:p>
      <w:pPr>
        <w:pStyle w:val="3"/>
        <w:spacing w:before="4"/>
        <w:rPr>
          <w:rFonts w:ascii="方正黑体_GBK"/>
          <w:sz w:val="55"/>
        </w:rPr>
      </w:pPr>
      <w:r>
        <w:br w:type="column"/>
      </w:r>
    </w:p>
    <w:p>
      <w:pPr>
        <w:pStyle w:val="2"/>
        <w:ind w:left="204"/>
        <w:jc w:val="left"/>
      </w:pPr>
      <w:r>
        <w:t>昆明市重大事故隐患专项排查整治</w:t>
      </w:r>
      <w:r>
        <w:rPr>
          <w:rFonts w:ascii="Times New Roman" w:eastAsia="Times New Roman"/>
        </w:rPr>
        <w:t>2023</w:t>
      </w:r>
      <w:r>
        <w:t>行动任务清单</w:t>
      </w:r>
    </w:p>
    <w:p>
      <w:pPr>
        <w:spacing w:after="0"/>
        <w:jc w:val="left"/>
        <w:sectPr>
          <w:pgSz w:w="16840" w:h="11910" w:orient="landscape"/>
          <w:pgMar w:top="1580" w:right="1220" w:bottom="1700" w:left="1360" w:header="720" w:footer="720" w:gutter="0"/>
          <w:cols w:equalWidth="0" w:num="2">
            <w:col w:w="1030" w:space="597"/>
            <w:col w:w="12633"/>
          </w:cols>
        </w:sectPr>
      </w:pPr>
    </w:p>
    <w:tbl>
      <w:tblPr>
        <w:tblStyle w:val="4"/>
        <w:tblpPr w:leftFromText="180" w:rightFromText="180" w:vertAnchor="page" w:horzAnchor="page" w:tblpX="1451" w:tblpY="3388"/>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95"/>
        <w:gridCol w:w="2034"/>
        <w:gridCol w:w="8573"/>
        <w:gridCol w:w="16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795" w:type="dxa"/>
          </w:tcPr>
          <w:p>
            <w:pPr>
              <w:pStyle w:val="6"/>
              <w:spacing w:before="31"/>
              <w:ind w:left="416"/>
              <w:rPr>
                <w:rFonts w:hint="eastAsia" w:ascii="方正黑体_GBK" w:eastAsia="方正黑体_GBK"/>
                <w:sz w:val="24"/>
              </w:rPr>
            </w:pPr>
            <w:r>
              <w:rPr>
                <w:rFonts w:hint="eastAsia" w:ascii="方正黑体_GBK" w:eastAsia="方正黑体_GBK"/>
                <w:sz w:val="24"/>
              </w:rPr>
              <w:t>责任单位</w:t>
            </w:r>
          </w:p>
        </w:tc>
        <w:tc>
          <w:tcPr>
            <w:tcW w:w="2034" w:type="dxa"/>
          </w:tcPr>
          <w:p>
            <w:pPr>
              <w:pStyle w:val="6"/>
              <w:spacing w:before="31"/>
              <w:ind w:left="536"/>
              <w:rPr>
                <w:rFonts w:hint="eastAsia" w:ascii="方正黑体_GBK" w:eastAsia="方正黑体_GBK"/>
                <w:sz w:val="24"/>
              </w:rPr>
            </w:pPr>
            <w:r>
              <w:rPr>
                <w:rFonts w:hint="eastAsia" w:ascii="方正黑体_GBK" w:eastAsia="方正黑体_GBK"/>
                <w:sz w:val="24"/>
              </w:rPr>
              <w:t>主要工作</w:t>
            </w:r>
          </w:p>
        </w:tc>
        <w:tc>
          <w:tcPr>
            <w:tcW w:w="8573" w:type="dxa"/>
          </w:tcPr>
          <w:p>
            <w:pPr>
              <w:pStyle w:val="6"/>
              <w:spacing w:before="31"/>
              <w:ind w:left="3619" w:right="3610"/>
              <w:jc w:val="center"/>
              <w:rPr>
                <w:rFonts w:hint="eastAsia" w:ascii="方正黑体_GBK" w:eastAsia="方正黑体_GBK"/>
                <w:sz w:val="24"/>
              </w:rPr>
            </w:pPr>
            <w:r>
              <w:rPr>
                <w:rFonts w:hint="eastAsia" w:ascii="方正黑体_GBK" w:eastAsia="方正黑体_GBK"/>
                <w:sz w:val="24"/>
              </w:rPr>
              <w:t>具体任务</w:t>
            </w:r>
          </w:p>
        </w:tc>
        <w:tc>
          <w:tcPr>
            <w:tcW w:w="1632" w:type="dxa"/>
          </w:tcPr>
          <w:p>
            <w:pPr>
              <w:pStyle w:val="6"/>
              <w:spacing w:before="31"/>
              <w:ind w:left="315" w:right="306"/>
              <w:jc w:val="center"/>
              <w:rPr>
                <w:rFonts w:hint="eastAsia" w:ascii="方正黑体_GBK" w:eastAsia="方正黑体_GBK"/>
                <w:sz w:val="24"/>
              </w:rPr>
            </w:pPr>
            <w:r>
              <w:rPr>
                <w:rFonts w:hint="eastAsia" w:ascii="方正黑体_GBK" w:eastAsia="方正黑体_GBK"/>
                <w:sz w:val="24"/>
              </w:rPr>
              <w:t>任务时限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1795" w:type="dxa"/>
            <w:vMerge w:val="restart"/>
          </w:tcPr>
          <w:p>
            <w:pPr>
              <w:pStyle w:val="6"/>
              <w:rPr>
                <w:rFonts w:ascii="方正小标宋简体"/>
                <w:sz w:val="28"/>
              </w:rPr>
            </w:pPr>
          </w:p>
          <w:p>
            <w:pPr>
              <w:pStyle w:val="6"/>
              <w:rPr>
                <w:rFonts w:ascii="方正小标宋简体"/>
                <w:sz w:val="28"/>
              </w:rPr>
            </w:pPr>
          </w:p>
          <w:p>
            <w:pPr>
              <w:pStyle w:val="6"/>
              <w:rPr>
                <w:rFonts w:ascii="方正小标宋简体"/>
                <w:sz w:val="28"/>
              </w:rPr>
            </w:pPr>
          </w:p>
          <w:p>
            <w:pPr>
              <w:pStyle w:val="6"/>
              <w:rPr>
                <w:rFonts w:ascii="方正小标宋简体"/>
                <w:sz w:val="28"/>
              </w:rPr>
            </w:pPr>
          </w:p>
          <w:p>
            <w:pPr>
              <w:pStyle w:val="6"/>
              <w:spacing w:before="5"/>
              <w:rPr>
                <w:rFonts w:ascii="方正小标宋简体"/>
                <w:sz w:val="28"/>
              </w:rPr>
            </w:pPr>
          </w:p>
          <w:p>
            <w:pPr>
              <w:pStyle w:val="6"/>
              <w:spacing w:line="187" w:lineRule="auto"/>
              <w:ind w:left="106" w:right="-15"/>
              <w:rPr>
                <w:rFonts w:hint="eastAsia" w:ascii="方正黑体_GBK" w:eastAsia="方正黑体_GBK"/>
                <w:sz w:val="21"/>
              </w:rPr>
            </w:pPr>
            <w:r>
              <w:rPr>
                <w:rFonts w:hint="eastAsia" w:ascii="方正黑体_GBK" w:eastAsia="方正黑体_GBK"/>
                <w:sz w:val="21"/>
              </w:rPr>
              <w:t>党委（党工委）、政府（管委会）</w:t>
            </w:r>
          </w:p>
        </w:tc>
        <w:tc>
          <w:tcPr>
            <w:tcW w:w="2034" w:type="dxa"/>
            <w:vMerge w:val="restart"/>
          </w:tcPr>
          <w:p>
            <w:pPr>
              <w:pStyle w:val="6"/>
              <w:rPr>
                <w:rFonts w:ascii="方正小标宋简体"/>
                <w:sz w:val="28"/>
              </w:rPr>
            </w:pPr>
          </w:p>
          <w:p>
            <w:pPr>
              <w:pStyle w:val="6"/>
              <w:spacing w:before="11"/>
              <w:rPr>
                <w:rFonts w:ascii="方正小标宋简体"/>
                <w:sz w:val="18"/>
              </w:rPr>
            </w:pPr>
          </w:p>
          <w:p>
            <w:pPr>
              <w:pStyle w:val="6"/>
              <w:ind w:left="387"/>
              <w:rPr>
                <w:rFonts w:hint="eastAsia" w:ascii="方正黑体_GBK" w:eastAsia="方正黑体_GBK"/>
                <w:sz w:val="21"/>
              </w:rPr>
            </w:pPr>
            <w:r>
              <w:rPr>
                <w:rFonts w:hint="eastAsia" w:ascii="方正黑体_GBK" w:eastAsia="方正黑体_GBK"/>
                <w:sz w:val="21"/>
              </w:rPr>
              <w:t>抓实动员部署</w:t>
            </w:r>
          </w:p>
        </w:tc>
        <w:tc>
          <w:tcPr>
            <w:tcW w:w="8573" w:type="dxa"/>
          </w:tcPr>
          <w:p>
            <w:pPr>
              <w:pStyle w:val="6"/>
              <w:spacing w:before="16"/>
              <w:ind w:left="108"/>
              <w:rPr>
                <w:sz w:val="21"/>
              </w:rPr>
            </w:pPr>
            <w:r>
              <w:rPr>
                <w:rFonts w:ascii="Times New Roman" w:eastAsia="Times New Roman"/>
                <w:sz w:val="21"/>
              </w:rPr>
              <w:t>1.</w:t>
            </w:r>
            <w:r>
              <w:rPr>
                <w:position w:val="1"/>
                <w:sz w:val="21"/>
              </w:rPr>
              <w:t>各地安委会制定印发专项行动方案</w:t>
            </w:r>
          </w:p>
        </w:tc>
        <w:tc>
          <w:tcPr>
            <w:tcW w:w="1632" w:type="dxa"/>
            <w:vMerge w:val="restart"/>
          </w:tcPr>
          <w:p>
            <w:pPr>
              <w:pStyle w:val="6"/>
              <w:spacing w:before="1"/>
              <w:rPr>
                <w:rFonts w:ascii="方正小标宋简体"/>
                <w:sz w:val="24"/>
              </w:rPr>
            </w:pPr>
          </w:p>
          <w:p>
            <w:pPr>
              <w:pStyle w:val="6"/>
              <w:spacing w:before="1"/>
              <w:ind w:left="369"/>
              <w:rPr>
                <w:sz w:val="21"/>
              </w:rPr>
            </w:pPr>
            <w:r>
              <w:rPr>
                <w:rFonts w:ascii="Times New Roman" w:eastAsia="Times New Roman"/>
                <w:sz w:val="21"/>
              </w:rPr>
              <w:t>5</w:t>
            </w:r>
            <w:r>
              <w:rPr>
                <w:position w:val="1"/>
                <w:sz w:val="21"/>
              </w:rPr>
              <w:t>月</w:t>
            </w:r>
            <w:r>
              <w:rPr>
                <w:rFonts w:ascii="Times New Roman" w:eastAsia="Times New Roman"/>
                <w:sz w:val="21"/>
              </w:rPr>
              <w:t>20</w:t>
            </w:r>
            <w:r>
              <w:rPr>
                <w:position w:val="1"/>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40" w:lineRule="exact"/>
              <w:ind w:left="108"/>
              <w:rPr>
                <w:sz w:val="21"/>
              </w:rPr>
            </w:pPr>
            <w:r>
              <w:rPr>
                <w:rFonts w:ascii="Times New Roman" w:eastAsia="Times New Roman"/>
                <w:sz w:val="21"/>
              </w:rPr>
              <w:t>2.</w:t>
            </w:r>
            <w:r>
              <w:rPr>
                <w:position w:val="1"/>
                <w:sz w:val="21"/>
              </w:rPr>
              <w:t>成立由政府（管委会）主要领导任组长的专项行动领导机构。</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40" w:lineRule="exact"/>
              <w:ind w:left="108"/>
              <w:rPr>
                <w:sz w:val="21"/>
              </w:rPr>
            </w:pPr>
            <w:r>
              <w:rPr>
                <w:rFonts w:ascii="Times New Roman" w:eastAsia="Times New Roman"/>
                <w:sz w:val="21"/>
              </w:rPr>
              <w:t>3.</w:t>
            </w:r>
            <w:r>
              <w:rPr>
                <w:position w:val="1"/>
                <w:sz w:val="21"/>
              </w:rPr>
              <w:t>政府（管委会）主要负责同志亲自组织召开专题会议进行动员部署</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40" w:lineRule="exact"/>
              <w:ind w:left="108"/>
              <w:rPr>
                <w:sz w:val="21"/>
              </w:rPr>
            </w:pPr>
            <w:r>
              <w:rPr>
                <w:rFonts w:ascii="Times New Roman" w:eastAsia="Times New Roman"/>
                <w:sz w:val="21"/>
              </w:rPr>
              <w:t>4.</w:t>
            </w:r>
            <w:r>
              <w:rPr>
                <w:position w:val="1"/>
                <w:sz w:val="21"/>
              </w:rPr>
              <w:t>建立健全专项行动组织领导和常态化工作机制</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40" w:lineRule="exact"/>
              <w:ind w:left="108"/>
              <w:rPr>
                <w:sz w:val="21"/>
              </w:rPr>
            </w:pPr>
            <w:r>
              <w:rPr>
                <w:rFonts w:ascii="Times New Roman" w:eastAsia="Times New Roman"/>
                <w:sz w:val="21"/>
              </w:rPr>
              <w:t>5.</w:t>
            </w:r>
            <w:r>
              <w:rPr>
                <w:position w:val="1"/>
                <w:sz w:val="21"/>
              </w:rPr>
              <w:t>组织专题学习安全生产十五条硬措施和省</w:t>
            </w:r>
            <w:r>
              <w:rPr>
                <w:rFonts w:ascii="Times New Roman" w:eastAsia="Times New Roman"/>
                <w:sz w:val="21"/>
              </w:rPr>
              <w:t>69</w:t>
            </w:r>
            <w:r>
              <w:rPr>
                <w:position w:val="1"/>
                <w:sz w:val="21"/>
              </w:rPr>
              <w:t>项、市</w:t>
            </w:r>
            <w:r>
              <w:rPr>
                <w:rFonts w:ascii="Times New Roman" w:eastAsia="Times New Roman"/>
                <w:sz w:val="21"/>
              </w:rPr>
              <w:t>77</w:t>
            </w:r>
            <w:r>
              <w:rPr>
                <w:position w:val="1"/>
                <w:sz w:val="21"/>
              </w:rPr>
              <w:t>项具体举措，逐条对照狠抓落实</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60" w:lineRule="exact"/>
              <w:ind w:left="108"/>
              <w:rPr>
                <w:sz w:val="21"/>
              </w:rPr>
            </w:pPr>
            <w:r>
              <w:rPr>
                <w:rFonts w:ascii="Times New Roman" w:eastAsia="Times New Roman"/>
                <w:sz w:val="21"/>
              </w:rPr>
              <w:t>6.</w:t>
            </w:r>
            <w:r>
              <w:rPr>
                <w:position w:val="1"/>
                <w:sz w:val="21"/>
              </w:rPr>
              <w:t>各地安委办要成立工作专班，建立相关工作机制，定期调度掌握各地、有关部门排查整治</w:t>
            </w:r>
          </w:p>
          <w:p>
            <w:pPr>
              <w:pStyle w:val="6"/>
              <w:spacing w:line="240" w:lineRule="exact"/>
              <w:ind w:left="108"/>
              <w:rPr>
                <w:sz w:val="21"/>
              </w:rPr>
            </w:pPr>
            <w:r>
              <w:rPr>
                <w:sz w:val="21"/>
              </w:rPr>
              <w:t>进展情况，及时协调解决存在的突出问题</w:t>
            </w:r>
          </w:p>
        </w:tc>
        <w:tc>
          <w:tcPr>
            <w:tcW w:w="1632" w:type="dxa"/>
          </w:tcPr>
          <w:p>
            <w:pPr>
              <w:pStyle w:val="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795" w:type="dxa"/>
            <w:vMerge w:val="continue"/>
            <w:tcBorders>
              <w:top w:val="nil"/>
            </w:tcBorders>
          </w:tcPr>
          <w:p>
            <w:pPr>
              <w:rPr>
                <w:sz w:val="2"/>
                <w:szCs w:val="2"/>
              </w:rPr>
            </w:pPr>
          </w:p>
        </w:tc>
        <w:tc>
          <w:tcPr>
            <w:tcW w:w="2034" w:type="dxa"/>
            <w:vMerge w:val="restart"/>
          </w:tcPr>
          <w:p>
            <w:pPr>
              <w:pStyle w:val="6"/>
              <w:rPr>
                <w:rFonts w:ascii="方正小标宋简体"/>
                <w:sz w:val="28"/>
              </w:rPr>
            </w:pPr>
          </w:p>
          <w:p>
            <w:pPr>
              <w:pStyle w:val="6"/>
              <w:rPr>
                <w:rFonts w:ascii="方正小标宋简体"/>
                <w:sz w:val="28"/>
              </w:rPr>
            </w:pPr>
          </w:p>
          <w:p>
            <w:pPr>
              <w:pStyle w:val="6"/>
              <w:spacing w:before="6"/>
              <w:rPr>
                <w:rFonts w:ascii="方正小标宋简体"/>
                <w:sz w:val="32"/>
              </w:rPr>
            </w:pPr>
          </w:p>
          <w:p>
            <w:pPr>
              <w:pStyle w:val="6"/>
              <w:ind w:left="387"/>
              <w:rPr>
                <w:rFonts w:hint="eastAsia" w:ascii="方正黑体_GBK" w:eastAsia="方正黑体_GBK"/>
                <w:sz w:val="21"/>
              </w:rPr>
            </w:pPr>
            <w:r>
              <w:rPr>
                <w:rFonts w:hint="eastAsia" w:ascii="方正黑体_GBK" w:eastAsia="方正黑体_GBK"/>
                <w:sz w:val="21"/>
              </w:rPr>
              <w:t>开展督导帮扶</w:t>
            </w:r>
          </w:p>
        </w:tc>
        <w:tc>
          <w:tcPr>
            <w:tcW w:w="8573" w:type="dxa"/>
          </w:tcPr>
          <w:p>
            <w:pPr>
              <w:pStyle w:val="6"/>
              <w:tabs>
                <w:tab w:val="left" w:pos="2997"/>
              </w:tabs>
              <w:spacing w:before="14" w:line="184" w:lineRule="auto"/>
              <w:ind w:left="108" w:right="-15"/>
              <w:rPr>
                <w:sz w:val="21"/>
              </w:rPr>
            </w:pPr>
            <w:r>
              <w:rPr>
                <w:rFonts w:ascii="Times New Roman" w:hAnsi="Times New Roman" w:eastAsia="Times New Roman"/>
                <w:sz w:val="21"/>
              </w:rPr>
              <w:t>7.</w:t>
            </w:r>
            <w:r>
              <w:rPr>
                <w:position w:val="1"/>
                <w:sz w:val="21"/>
              </w:rPr>
              <w:t>结合主题教育强化责任落实</w:t>
            </w:r>
            <w:r>
              <w:rPr>
                <w:position w:val="1"/>
                <w:sz w:val="21"/>
              </w:rPr>
              <w:tab/>
            </w:r>
            <w:r>
              <w:rPr>
                <w:position w:val="1"/>
                <w:sz w:val="21"/>
              </w:rPr>
              <w:t>各地党委（党工委）、政府（管委会）结合落实党的二十大精神和学习贯彻习近平新时代中国特色社会主义思想主题教</w:t>
            </w:r>
            <w:r>
              <w:rPr>
                <w:spacing w:val="-4"/>
                <w:position w:val="1"/>
                <w:sz w:val="21"/>
              </w:rPr>
              <w:t>育</w:t>
            </w:r>
            <w:r>
              <w:rPr>
                <w:spacing w:val="-5"/>
                <w:position w:val="1"/>
                <w:sz w:val="21"/>
              </w:rPr>
              <w:t>，</w:t>
            </w:r>
            <w:r>
              <w:rPr>
                <w:rFonts w:ascii="Times New Roman" w:hAnsi="Times New Roman" w:eastAsia="Times New Roman"/>
                <w:spacing w:val="-5"/>
                <w:sz w:val="21"/>
              </w:rPr>
              <w:t>“</w:t>
            </w:r>
            <w:r>
              <w:rPr>
                <w:position w:val="1"/>
                <w:sz w:val="21"/>
              </w:rPr>
              <w:t>学思想</w:t>
            </w:r>
            <w:r>
              <w:rPr>
                <w:spacing w:val="-8"/>
                <w:position w:val="1"/>
                <w:sz w:val="21"/>
              </w:rPr>
              <w:t>、</w:t>
            </w:r>
            <w:r>
              <w:rPr>
                <w:position w:val="1"/>
                <w:sz w:val="21"/>
              </w:rPr>
              <w:t>强党性</w:t>
            </w:r>
            <w:r>
              <w:rPr>
                <w:spacing w:val="-10"/>
                <w:position w:val="1"/>
                <w:sz w:val="21"/>
              </w:rPr>
              <w:t>、</w:t>
            </w:r>
            <w:r>
              <w:rPr>
                <w:position w:val="1"/>
                <w:sz w:val="21"/>
              </w:rPr>
              <w:t>重实践、建</w:t>
            </w:r>
            <w:r>
              <w:rPr>
                <w:spacing w:val="4"/>
                <w:position w:val="1"/>
                <w:sz w:val="21"/>
              </w:rPr>
              <w:t>新</w:t>
            </w:r>
            <w:r>
              <w:rPr>
                <w:position w:val="1"/>
                <w:sz w:val="21"/>
              </w:rPr>
              <w:t>功</w:t>
            </w:r>
            <w:r>
              <w:rPr>
                <w:rFonts w:ascii="Times New Roman" w:hAnsi="Times New Roman" w:eastAsia="Times New Roman"/>
                <w:spacing w:val="2"/>
                <w:sz w:val="21"/>
              </w:rPr>
              <w:t>”</w:t>
            </w:r>
            <w:r>
              <w:rPr>
                <w:spacing w:val="2"/>
                <w:position w:val="1"/>
                <w:sz w:val="21"/>
              </w:rPr>
              <w:t>，</w:t>
            </w:r>
            <w:r>
              <w:rPr>
                <w:spacing w:val="4"/>
                <w:position w:val="1"/>
                <w:sz w:val="21"/>
              </w:rPr>
              <w:t>明</w:t>
            </w:r>
            <w:r>
              <w:rPr>
                <w:position w:val="1"/>
                <w:sz w:val="21"/>
              </w:rPr>
              <w:t>责知责</w:t>
            </w:r>
            <w:r>
              <w:rPr>
                <w:spacing w:val="4"/>
                <w:position w:val="1"/>
                <w:sz w:val="21"/>
              </w:rPr>
              <w:t>、</w:t>
            </w:r>
            <w:r>
              <w:rPr>
                <w:position w:val="1"/>
                <w:sz w:val="21"/>
              </w:rPr>
              <w:t>履责</w:t>
            </w:r>
            <w:r>
              <w:rPr>
                <w:spacing w:val="4"/>
                <w:position w:val="1"/>
                <w:sz w:val="21"/>
              </w:rPr>
              <w:t>尽</w:t>
            </w:r>
            <w:r>
              <w:rPr>
                <w:position w:val="1"/>
                <w:sz w:val="21"/>
              </w:rPr>
              <w:t>责，发</w:t>
            </w:r>
            <w:r>
              <w:rPr>
                <w:spacing w:val="4"/>
                <w:position w:val="1"/>
                <w:sz w:val="21"/>
              </w:rPr>
              <w:t>扬</w:t>
            </w:r>
            <w:r>
              <w:rPr>
                <w:position w:val="1"/>
                <w:sz w:val="21"/>
              </w:rPr>
              <w:t>斗争</w:t>
            </w:r>
            <w:r>
              <w:rPr>
                <w:spacing w:val="4"/>
                <w:position w:val="1"/>
                <w:sz w:val="21"/>
              </w:rPr>
              <w:t>精</w:t>
            </w:r>
            <w:r>
              <w:rPr>
                <w:position w:val="1"/>
                <w:sz w:val="21"/>
              </w:rPr>
              <w:t>神，</w:t>
            </w:r>
            <w:r>
              <w:rPr>
                <w:spacing w:val="4"/>
                <w:position w:val="1"/>
                <w:sz w:val="21"/>
              </w:rPr>
              <w:t>增</w:t>
            </w:r>
            <w:r>
              <w:rPr>
                <w:position w:val="1"/>
                <w:sz w:val="21"/>
              </w:rPr>
              <w:t>强斗争</w:t>
            </w:r>
            <w:r>
              <w:rPr>
                <w:spacing w:val="4"/>
                <w:position w:val="1"/>
                <w:sz w:val="21"/>
              </w:rPr>
              <w:t>本</w:t>
            </w:r>
            <w:r>
              <w:rPr>
                <w:position w:val="1"/>
                <w:sz w:val="21"/>
              </w:rPr>
              <w:t>领，</w:t>
            </w:r>
            <w:r>
              <w:rPr>
                <w:spacing w:val="4"/>
                <w:position w:val="1"/>
                <w:sz w:val="21"/>
              </w:rPr>
              <w:t>切</w:t>
            </w:r>
            <w:r>
              <w:rPr>
                <w:position w:val="1"/>
                <w:sz w:val="21"/>
              </w:rPr>
              <w:t>实提高</w:t>
            </w:r>
            <w:r>
              <w:rPr>
                <w:spacing w:val="4"/>
                <w:position w:val="1"/>
                <w:sz w:val="21"/>
              </w:rPr>
              <w:t>发</w:t>
            </w:r>
            <w:r>
              <w:rPr>
                <w:position w:val="1"/>
                <w:sz w:val="21"/>
              </w:rPr>
              <w:t>现问</w:t>
            </w:r>
            <w:r>
              <w:rPr>
                <w:spacing w:val="4"/>
                <w:position w:val="1"/>
                <w:sz w:val="21"/>
              </w:rPr>
              <w:t>题</w:t>
            </w:r>
            <w:r>
              <w:rPr>
                <w:position w:val="1"/>
                <w:sz w:val="21"/>
              </w:rPr>
              <w:t>和解决</w:t>
            </w:r>
          </w:p>
          <w:p>
            <w:pPr>
              <w:pStyle w:val="6"/>
              <w:spacing w:line="225" w:lineRule="exact"/>
              <w:ind w:left="108"/>
              <w:rPr>
                <w:sz w:val="21"/>
              </w:rPr>
            </w:pPr>
            <w:r>
              <w:rPr>
                <w:sz w:val="21"/>
              </w:rPr>
              <w:t>问题的强烈意愿</w:t>
            </w:r>
          </w:p>
        </w:tc>
        <w:tc>
          <w:tcPr>
            <w:tcW w:w="1632" w:type="dxa"/>
          </w:tcPr>
          <w:p>
            <w:pPr>
              <w:pStyle w:val="6"/>
              <w:spacing w:before="128"/>
              <w:ind w:left="313" w:right="306"/>
              <w:jc w:val="center"/>
              <w:rPr>
                <w:sz w:val="21"/>
              </w:rPr>
            </w:pPr>
            <w:r>
              <w:rPr>
                <w:rFonts w:ascii="Times New Roman" w:eastAsia="Times New Roman"/>
                <w:sz w:val="21"/>
              </w:rPr>
              <w:t>6</w:t>
            </w:r>
            <w:r>
              <w:rPr>
                <w:position w:val="1"/>
                <w:sz w:val="21"/>
              </w:rPr>
              <w:t>月</w:t>
            </w:r>
            <w:r>
              <w:rPr>
                <w:rFonts w:ascii="Times New Roman" w:eastAsia="Times New Roman"/>
                <w:sz w:val="21"/>
              </w:rPr>
              <w:t>30</w:t>
            </w:r>
            <w:r>
              <w:rPr>
                <w:position w:val="1"/>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92" w:lineRule="exact"/>
              <w:ind w:left="108"/>
              <w:rPr>
                <w:sz w:val="21"/>
              </w:rPr>
            </w:pPr>
            <w:r>
              <w:rPr>
                <w:rFonts w:ascii="Times New Roman" w:eastAsia="Times New Roman"/>
                <w:sz w:val="21"/>
              </w:rPr>
              <w:t>8.</w:t>
            </w:r>
            <w:r>
              <w:rPr>
                <w:position w:val="1"/>
                <w:sz w:val="21"/>
              </w:rPr>
              <w:t>市安委办组织工作组对各地开展专项整治宣贯指导工作</w:t>
            </w:r>
          </w:p>
        </w:tc>
        <w:tc>
          <w:tcPr>
            <w:tcW w:w="1632" w:type="dxa"/>
          </w:tcPr>
          <w:p>
            <w:pPr>
              <w:pStyle w:val="6"/>
              <w:spacing w:line="292" w:lineRule="exact"/>
              <w:ind w:left="313" w:right="306"/>
              <w:jc w:val="center"/>
              <w:rPr>
                <w:sz w:val="21"/>
              </w:rPr>
            </w:pPr>
            <w:r>
              <w:rPr>
                <w:rFonts w:ascii="Times New Roman" w:eastAsia="Times New Roman"/>
                <w:sz w:val="21"/>
              </w:rPr>
              <w:t>5</w:t>
            </w:r>
            <w:r>
              <w:rPr>
                <w:position w:val="1"/>
                <w:sz w:val="21"/>
              </w:rPr>
              <w:t>月</w:t>
            </w:r>
            <w:r>
              <w:rPr>
                <w:rFonts w:ascii="Times New Roman" w:eastAsia="Times New Roman"/>
                <w:sz w:val="21"/>
              </w:rPr>
              <w:t>31</w:t>
            </w:r>
            <w:r>
              <w:rPr>
                <w:position w:val="1"/>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before="15" w:line="184" w:lineRule="auto"/>
              <w:ind w:left="108" w:right="-15"/>
              <w:jc w:val="both"/>
              <w:rPr>
                <w:sz w:val="21"/>
              </w:rPr>
            </w:pPr>
            <w:r>
              <w:rPr>
                <w:rFonts w:ascii="Times New Roman" w:hAnsi="Times New Roman" w:eastAsia="Times New Roman"/>
                <w:sz w:val="21"/>
              </w:rPr>
              <w:t>9.</w:t>
            </w:r>
            <w:r>
              <w:rPr>
                <w:position w:val="1"/>
                <w:sz w:val="21"/>
              </w:rPr>
              <w:t>深化重大风险普查行动。持续巩固</w:t>
            </w:r>
            <w:r>
              <w:rPr>
                <w:rFonts w:ascii="Times New Roman" w:hAnsi="Times New Roman" w:eastAsia="Times New Roman"/>
                <w:sz w:val="21"/>
              </w:rPr>
              <w:t>“</w:t>
            </w:r>
            <w:r>
              <w:rPr>
                <w:position w:val="1"/>
                <w:sz w:val="21"/>
              </w:rPr>
              <w:t>百日攻坚</w:t>
            </w:r>
            <w:r>
              <w:rPr>
                <w:rFonts w:ascii="Times New Roman" w:hAnsi="Times New Roman" w:eastAsia="Times New Roman"/>
                <w:sz w:val="21"/>
              </w:rPr>
              <w:t>”</w:t>
            </w:r>
            <w:r>
              <w:rPr>
                <w:position w:val="1"/>
                <w:sz w:val="21"/>
              </w:rPr>
              <w:t>系列行动成果，根据《昆明市安全生产委员</w:t>
            </w:r>
            <w:r>
              <w:rPr>
                <w:spacing w:val="-3"/>
                <w:position w:val="1"/>
                <w:sz w:val="21"/>
              </w:rPr>
              <w:t>会关于印发昆明市重大安全风险大排查工作方案的通知》</w:t>
            </w:r>
            <w:r>
              <w:rPr>
                <w:position w:val="1"/>
                <w:sz w:val="21"/>
              </w:rPr>
              <w:t>（</w:t>
            </w:r>
            <w:r>
              <w:rPr>
                <w:spacing w:val="-6"/>
                <w:position w:val="1"/>
                <w:sz w:val="21"/>
              </w:rPr>
              <w:t>昆安〔</w:t>
            </w:r>
            <w:r>
              <w:rPr>
                <w:rFonts w:ascii="Times New Roman" w:hAnsi="Times New Roman" w:eastAsia="Times New Roman"/>
                <w:sz w:val="21"/>
              </w:rPr>
              <w:t>2022</w:t>
            </w:r>
            <w:r>
              <w:rPr>
                <w:spacing w:val="-15"/>
                <w:position w:val="1"/>
                <w:sz w:val="21"/>
              </w:rPr>
              <w:t>〕</w:t>
            </w:r>
            <w:r>
              <w:rPr>
                <w:rFonts w:ascii="Times New Roman" w:hAnsi="Times New Roman" w:eastAsia="Times New Roman"/>
                <w:sz w:val="21"/>
              </w:rPr>
              <w:t>12</w:t>
            </w:r>
            <w:r>
              <w:rPr>
                <w:position w:val="1"/>
                <w:sz w:val="21"/>
              </w:rPr>
              <w:t>号</w:t>
            </w:r>
            <w:r>
              <w:rPr>
                <w:spacing w:val="-15"/>
                <w:position w:val="1"/>
                <w:sz w:val="21"/>
              </w:rPr>
              <w:t>）</w:t>
            </w:r>
            <w:r>
              <w:rPr>
                <w:spacing w:val="-4"/>
                <w:position w:val="1"/>
                <w:sz w:val="21"/>
              </w:rPr>
              <w:t>，全面完成</w:t>
            </w:r>
            <w:r>
              <w:rPr>
                <w:spacing w:val="-13"/>
                <w:sz w:val="21"/>
              </w:rPr>
              <w:t>本辖区范围内重点企业、重点项目、重点设施、重点场所、重点装置的清单化建档立档工作，</w:t>
            </w:r>
          </w:p>
          <w:p>
            <w:pPr>
              <w:pStyle w:val="6"/>
              <w:spacing w:line="224" w:lineRule="exact"/>
              <w:ind w:left="108"/>
              <w:rPr>
                <w:sz w:val="21"/>
              </w:rPr>
            </w:pPr>
            <w:r>
              <w:rPr>
                <w:rFonts w:ascii="Times New Roman" w:hAnsi="Times New Roman" w:eastAsia="Times New Roman"/>
                <w:sz w:val="21"/>
              </w:rPr>
              <w:t>100%</w:t>
            </w:r>
            <w:r>
              <w:rPr>
                <w:position w:val="1"/>
                <w:sz w:val="21"/>
              </w:rPr>
              <w:t>建立</w:t>
            </w:r>
            <w:r>
              <w:rPr>
                <w:rFonts w:ascii="Times New Roman" w:hAnsi="Times New Roman" w:eastAsia="Times New Roman"/>
                <w:sz w:val="21"/>
              </w:rPr>
              <w:t>“4</w:t>
            </w:r>
            <w:r>
              <w:rPr>
                <w:position w:val="1"/>
                <w:sz w:val="21"/>
              </w:rPr>
              <w:t>张清单</w:t>
            </w:r>
            <w:r>
              <w:rPr>
                <w:rFonts w:ascii="Times New Roman" w:hAnsi="Times New Roman" w:eastAsia="Times New Roman"/>
                <w:sz w:val="21"/>
              </w:rPr>
              <w:t>”</w:t>
            </w:r>
            <w:r>
              <w:rPr>
                <w:position w:val="1"/>
                <w:sz w:val="21"/>
              </w:rPr>
              <w:t>，建成动态管控机制</w:t>
            </w:r>
          </w:p>
        </w:tc>
        <w:tc>
          <w:tcPr>
            <w:tcW w:w="1632" w:type="dxa"/>
            <w:vMerge w:val="restart"/>
          </w:tcPr>
          <w:p>
            <w:pPr>
              <w:pStyle w:val="6"/>
              <w:spacing w:before="15"/>
              <w:rPr>
                <w:rFonts w:ascii="方正小标宋简体"/>
                <w:sz w:val="36"/>
              </w:rPr>
            </w:pPr>
          </w:p>
          <w:p>
            <w:pPr>
              <w:pStyle w:val="6"/>
              <w:ind w:left="369"/>
              <w:rPr>
                <w:sz w:val="21"/>
              </w:rPr>
            </w:pPr>
            <w:r>
              <w:rPr>
                <w:rFonts w:ascii="Times New Roman" w:eastAsia="Times New Roman"/>
                <w:sz w:val="21"/>
              </w:rPr>
              <w:t>6</w:t>
            </w:r>
            <w:r>
              <w:rPr>
                <w:position w:val="1"/>
                <w:sz w:val="21"/>
              </w:rPr>
              <w:t>月</w:t>
            </w:r>
            <w:r>
              <w:rPr>
                <w:rFonts w:ascii="Times New Roman" w:eastAsia="Times New Roman"/>
                <w:sz w:val="21"/>
              </w:rPr>
              <w:t>30</w:t>
            </w:r>
            <w:r>
              <w:rPr>
                <w:position w:val="1"/>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7"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before="16" w:line="184" w:lineRule="auto"/>
              <w:ind w:left="108" w:right="95"/>
              <w:jc w:val="both"/>
              <w:rPr>
                <w:sz w:val="21"/>
              </w:rPr>
            </w:pPr>
            <w:r>
              <w:rPr>
                <w:rFonts w:ascii="Times New Roman" w:hAnsi="Times New Roman" w:eastAsia="Times New Roman"/>
                <w:sz w:val="21"/>
              </w:rPr>
              <w:t>10.</w:t>
            </w:r>
            <w:r>
              <w:rPr>
                <w:position w:val="1"/>
                <w:sz w:val="21"/>
              </w:rPr>
              <w:t>深化重大隐患清除行动。对实施安全生产专项整治三年行动计划（</w:t>
            </w:r>
            <w:r>
              <w:rPr>
                <w:rFonts w:ascii="Times New Roman" w:hAnsi="Times New Roman" w:eastAsia="Times New Roman"/>
                <w:sz w:val="21"/>
              </w:rPr>
              <w:t>2020—2022</w:t>
            </w:r>
            <w:r>
              <w:rPr>
                <w:position w:val="1"/>
                <w:sz w:val="21"/>
              </w:rPr>
              <w:t>年</w:t>
            </w:r>
            <w:r>
              <w:rPr>
                <w:spacing w:val="4"/>
                <w:position w:val="1"/>
                <w:sz w:val="21"/>
              </w:rPr>
              <w:t>）</w:t>
            </w:r>
            <w:r>
              <w:rPr>
                <w:position w:val="1"/>
                <w:sz w:val="21"/>
              </w:rPr>
              <w:t>以来</w:t>
            </w:r>
            <w:r>
              <w:rPr>
                <w:spacing w:val="-3"/>
                <w:w w:val="95"/>
                <w:position w:val="1"/>
                <w:sz w:val="21"/>
              </w:rPr>
              <w:t>省、市、县区政府</w:t>
            </w:r>
            <w:r>
              <w:rPr>
                <w:w w:val="95"/>
                <w:position w:val="1"/>
                <w:sz w:val="21"/>
              </w:rPr>
              <w:t>（管委会</w:t>
            </w:r>
            <w:r>
              <w:rPr>
                <w:spacing w:val="-3"/>
                <w:w w:val="95"/>
                <w:position w:val="1"/>
                <w:sz w:val="21"/>
              </w:rPr>
              <w:t>）</w:t>
            </w:r>
            <w:r>
              <w:rPr>
                <w:w w:val="95"/>
                <w:position w:val="1"/>
                <w:sz w:val="21"/>
              </w:rPr>
              <w:t>挂牌督办的重大隐患进行</w:t>
            </w:r>
            <w:r>
              <w:rPr>
                <w:rFonts w:ascii="Times New Roman" w:hAnsi="Times New Roman" w:eastAsia="Times New Roman"/>
                <w:w w:val="95"/>
                <w:sz w:val="21"/>
              </w:rPr>
              <w:t>“</w:t>
            </w:r>
            <w:r>
              <w:rPr>
                <w:w w:val="95"/>
                <w:position w:val="1"/>
                <w:sz w:val="21"/>
              </w:rPr>
              <w:t>回头看</w:t>
            </w:r>
            <w:r>
              <w:rPr>
                <w:rFonts w:ascii="Times New Roman" w:hAnsi="Times New Roman" w:eastAsia="Times New Roman"/>
                <w:w w:val="95"/>
                <w:sz w:val="21"/>
              </w:rPr>
              <w:t>”</w:t>
            </w:r>
            <w:r>
              <w:rPr>
                <w:w w:val="95"/>
                <w:position w:val="1"/>
                <w:sz w:val="21"/>
              </w:rPr>
              <w:t>，对人员聚集公共场所和高</w:t>
            </w:r>
            <w:r>
              <w:rPr>
                <w:spacing w:val="-4"/>
                <w:w w:val="95"/>
                <w:sz w:val="21"/>
              </w:rPr>
              <w:t>层建筑封堵安全出口、疏散通道等隐患进行全面清查，对国务院安委会、省安委会和市安委</w:t>
            </w:r>
          </w:p>
          <w:p>
            <w:pPr>
              <w:pStyle w:val="6"/>
              <w:spacing w:line="221" w:lineRule="exact"/>
              <w:ind w:left="108"/>
              <w:jc w:val="both"/>
              <w:rPr>
                <w:sz w:val="21"/>
              </w:rPr>
            </w:pPr>
            <w:r>
              <w:rPr>
                <w:position w:val="1"/>
                <w:sz w:val="21"/>
              </w:rPr>
              <w:t>会</w:t>
            </w:r>
            <w:r>
              <w:rPr>
                <w:rFonts w:ascii="Times New Roman" w:eastAsia="Times New Roman"/>
                <w:sz w:val="21"/>
              </w:rPr>
              <w:t>2022</w:t>
            </w:r>
            <w:r>
              <w:rPr>
                <w:position w:val="1"/>
                <w:sz w:val="21"/>
              </w:rPr>
              <w:t>年以来督查检查反馈问题隐患进行全面整改，确保</w:t>
            </w:r>
            <w:r>
              <w:rPr>
                <w:rFonts w:ascii="Times New Roman" w:eastAsia="Times New Roman"/>
                <w:sz w:val="21"/>
              </w:rPr>
              <w:t>100%</w:t>
            </w:r>
            <w:r>
              <w:rPr>
                <w:position w:val="1"/>
                <w:sz w:val="21"/>
              </w:rPr>
              <w:t>整改到位</w:t>
            </w:r>
          </w:p>
        </w:tc>
        <w:tc>
          <w:tcPr>
            <w:tcW w:w="1632" w:type="dxa"/>
            <w:vMerge w:val="continue"/>
            <w:tcBorders>
              <w:top w:val="nil"/>
            </w:tcBorders>
          </w:tcPr>
          <w:p>
            <w:pPr>
              <w:rPr>
                <w:sz w:val="2"/>
                <w:szCs w:val="2"/>
              </w:rPr>
            </w:pPr>
          </w:p>
        </w:tc>
      </w:tr>
    </w:tbl>
    <w:p>
      <w:pPr>
        <w:pStyle w:val="3"/>
        <w:spacing w:before="8"/>
        <w:rPr>
          <w:rFonts w:ascii="方正小标宋简体"/>
          <w:sz w:val="26"/>
        </w:rPr>
      </w:pPr>
    </w:p>
    <w:p>
      <w:pPr>
        <w:spacing w:after="0"/>
        <w:rPr>
          <w:sz w:val="2"/>
          <w:szCs w:val="2"/>
        </w:rPr>
        <w:sectPr>
          <w:type w:val="continuous"/>
          <w:pgSz w:w="16840" w:h="11910" w:orient="landscape"/>
          <w:pgMar w:top="1580" w:right="1220" w:bottom="1700" w:left="1360" w:header="720" w:footer="720" w:gutter="0"/>
        </w:sectPr>
      </w:pPr>
    </w:p>
    <w:p>
      <w:pPr>
        <w:pStyle w:val="3"/>
        <w:rPr>
          <w:rFonts w:ascii="Times New Roman"/>
          <w:sz w:val="20"/>
        </w:rPr>
      </w:pPr>
    </w:p>
    <w:p>
      <w:pPr>
        <w:pStyle w:val="3"/>
        <w:spacing w:before="10"/>
        <w:rPr>
          <w:rFonts w:ascii="Times New Roman"/>
          <w:sz w:val="21"/>
        </w:rPr>
      </w:pPr>
    </w:p>
    <w:tbl>
      <w:tblPr>
        <w:tblStyle w:val="4"/>
        <w:tblW w:w="0" w:type="auto"/>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95"/>
        <w:gridCol w:w="2034"/>
        <w:gridCol w:w="8573"/>
        <w:gridCol w:w="16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5" w:hRule="atLeast"/>
        </w:trPr>
        <w:tc>
          <w:tcPr>
            <w:tcW w:w="1795" w:type="dxa"/>
            <w:vMerge w:val="restart"/>
          </w:tcPr>
          <w:p>
            <w:pPr>
              <w:pStyle w:val="6"/>
              <w:rPr>
                <w:rFonts w:ascii="Times New Roman"/>
                <w:sz w:val="20"/>
              </w:rPr>
            </w:pPr>
          </w:p>
        </w:tc>
        <w:tc>
          <w:tcPr>
            <w:tcW w:w="2034" w:type="dxa"/>
          </w:tcPr>
          <w:p>
            <w:pPr>
              <w:pStyle w:val="6"/>
              <w:rPr>
                <w:rFonts w:ascii="Times New Roman"/>
                <w:sz w:val="20"/>
              </w:rPr>
            </w:pPr>
          </w:p>
        </w:tc>
        <w:tc>
          <w:tcPr>
            <w:tcW w:w="8573" w:type="dxa"/>
          </w:tcPr>
          <w:p>
            <w:pPr>
              <w:pStyle w:val="6"/>
              <w:spacing w:before="16" w:line="184" w:lineRule="auto"/>
              <w:ind w:left="108" w:right="-15"/>
              <w:rPr>
                <w:sz w:val="21"/>
              </w:rPr>
            </w:pPr>
            <w:r>
              <w:rPr>
                <w:rFonts w:ascii="Times New Roman" w:hAnsi="Times New Roman" w:eastAsia="Times New Roman"/>
                <w:w w:val="95"/>
                <w:sz w:val="21"/>
              </w:rPr>
              <w:t>11.</w:t>
            </w:r>
            <w:r>
              <w:rPr>
                <w:spacing w:val="-11"/>
                <w:w w:val="95"/>
                <w:position w:val="1"/>
                <w:sz w:val="21"/>
              </w:rPr>
              <w:t>建立打非治违长效机制。属地政府在煤矿、非煤矿山、危险化学品、建筑施工、道路运输、</w:t>
            </w:r>
            <w:r>
              <w:rPr>
                <w:spacing w:val="-6"/>
                <w:position w:val="1"/>
                <w:sz w:val="21"/>
              </w:rPr>
              <w:t>燃气、特种设备等行业领域分别建立</w:t>
            </w:r>
            <w:r>
              <w:rPr>
                <w:rFonts w:ascii="Times New Roman" w:hAnsi="Times New Roman" w:eastAsia="Times New Roman"/>
                <w:sz w:val="21"/>
              </w:rPr>
              <w:t>“</w:t>
            </w:r>
            <w:r>
              <w:rPr>
                <w:position w:val="1"/>
                <w:sz w:val="21"/>
              </w:rPr>
              <w:t>打非治违</w:t>
            </w:r>
            <w:r>
              <w:rPr>
                <w:rFonts w:ascii="Times New Roman" w:hAnsi="Times New Roman" w:eastAsia="Times New Roman"/>
                <w:sz w:val="21"/>
              </w:rPr>
              <w:t>”</w:t>
            </w:r>
            <w:r>
              <w:rPr>
                <w:spacing w:val="-2"/>
                <w:position w:val="1"/>
                <w:sz w:val="21"/>
              </w:rPr>
              <w:t>领导机构，建立健全打非治违常态化长效化</w:t>
            </w:r>
          </w:p>
          <w:p>
            <w:pPr>
              <w:pStyle w:val="6"/>
              <w:spacing w:line="240" w:lineRule="exact"/>
              <w:ind w:left="108"/>
              <w:rPr>
                <w:sz w:val="21"/>
              </w:rPr>
            </w:pPr>
            <w:r>
              <w:rPr>
                <w:sz w:val="21"/>
              </w:rPr>
              <w:t>工作机制</w:t>
            </w:r>
          </w:p>
        </w:tc>
        <w:tc>
          <w:tcPr>
            <w:tcW w:w="1632" w:type="dxa"/>
          </w:tcPr>
          <w:p>
            <w:pPr>
              <w:pStyle w:val="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restart"/>
          </w:tcPr>
          <w:p>
            <w:pPr>
              <w:pStyle w:val="6"/>
              <w:rPr>
                <w:rFonts w:ascii="Times New Roman"/>
                <w:sz w:val="28"/>
              </w:rPr>
            </w:pPr>
          </w:p>
          <w:p>
            <w:pPr>
              <w:pStyle w:val="6"/>
              <w:rPr>
                <w:rFonts w:ascii="Times New Roman"/>
                <w:sz w:val="28"/>
              </w:rPr>
            </w:pPr>
          </w:p>
          <w:p>
            <w:pPr>
              <w:pStyle w:val="6"/>
              <w:spacing w:before="1"/>
              <w:rPr>
                <w:rFonts w:ascii="Times New Roman"/>
                <w:sz w:val="41"/>
              </w:rPr>
            </w:pPr>
          </w:p>
          <w:p>
            <w:pPr>
              <w:pStyle w:val="6"/>
              <w:ind w:left="387"/>
              <w:rPr>
                <w:rFonts w:hint="eastAsia" w:ascii="方正黑体_GBK" w:eastAsia="方正黑体_GBK"/>
                <w:sz w:val="21"/>
              </w:rPr>
            </w:pPr>
            <w:r>
              <w:rPr>
                <w:rFonts w:hint="eastAsia" w:ascii="方正黑体_GBK" w:eastAsia="方正黑体_GBK"/>
                <w:sz w:val="21"/>
              </w:rPr>
              <w:t>实施精准执法</w:t>
            </w:r>
          </w:p>
        </w:tc>
        <w:tc>
          <w:tcPr>
            <w:tcW w:w="8573" w:type="dxa"/>
          </w:tcPr>
          <w:p>
            <w:pPr>
              <w:pStyle w:val="6"/>
              <w:spacing w:line="260" w:lineRule="exact"/>
              <w:ind w:left="108"/>
              <w:rPr>
                <w:sz w:val="21"/>
              </w:rPr>
            </w:pPr>
            <w:r>
              <w:rPr>
                <w:rFonts w:ascii="Times New Roman" w:eastAsia="Times New Roman"/>
                <w:sz w:val="21"/>
              </w:rPr>
              <w:t>12.</w:t>
            </w:r>
            <w:r>
              <w:rPr>
                <w:position w:val="1"/>
                <w:sz w:val="21"/>
              </w:rPr>
              <w:t>党委（党工委）、政府（管委会）主要负责同志定期听取工作进展情况汇报，研究解决安</w:t>
            </w:r>
          </w:p>
          <w:p>
            <w:pPr>
              <w:pStyle w:val="6"/>
              <w:spacing w:line="240" w:lineRule="exact"/>
              <w:ind w:left="108"/>
              <w:rPr>
                <w:sz w:val="21"/>
              </w:rPr>
            </w:pPr>
            <w:r>
              <w:rPr>
                <w:sz w:val="21"/>
              </w:rPr>
              <w:t>全生产重大问题，督促推动跨行业领域重大隐患排查整治</w:t>
            </w:r>
          </w:p>
        </w:tc>
        <w:tc>
          <w:tcPr>
            <w:tcW w:w="1632" w:type="dxa"/>
            <w:vMerge w:val="restart"/>
          </w:tcPr>
          <w:p>
            <w:pPr>
              <w:pStyle w:val="6"/>
              <w:rPr>
                <w:rFonts w:ascii="Times New Roman"/>
                <w:sz w:val="28"/>
              </w:rPr>
            </w:pPr>
          </w:p>
          <w:p>
            <w:pPr>
              <w:pStyle w:val="6"/>
              <w:spacing w:before="11"/>
              <w:rPr>
                <w:rFonts w:ascii="Times New Roman"/>
                <w:sz w:val="37"/>
              </w:rPr>
            </w:pPr>
          </w:p>
          <w:p>
            <w:pPr>
              <w:pStyle w:val="6"/>
              <w:ind w:left="263"/>
              <w:rPr>
                <w:sz w:val="21"/>
              </w:rPr>
            </w:pPr>
            <w:r>
              <w:rPr>
                <w:rFonts w:ascii="Times New Roman" w:eastAsia="Times New Roman"/>
                <w:sz w:val="21"/>
              </w:rPr>
              <w:t>6</w:t>
            </w:r>
            <w:r>
              <w:rPr>
                <w:position w:val="1"/>
                <w:sz w:val="21"/>
              </w:rPr>
              <w:t>月至</w:t>
            </w:r>
            <w:r>
              <w:rPr>
                <w:rFonts w:ascii="Times New Roman" w:eastAsia="Times New Roman"/>
                <w:sz w:val="21"/>
              </w:rPr>
              <w:t>12</w:t>
            </w:r>
            <w:r>
              <w:rPr>
                <w:position w:val="1"/>
                <w:sz w:val="21"/>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8" w:lineRule="exact"/>
              <w:ind w:left="108"/>
              <w:rPr>
                <w:sz w:val="21"/>
              </w:rPr>
            </w:pPr>
            <w:r>
              <w:rPr>
                <w:rFonts w:ascii="Times New Roman" w:eastAsia="Times New Roman"/>
                <w:sz w:val="21"/>
              </w:rPr>
              <w:t>13.</w:t>
            </w:r>
            <w:r>
              <w:rPr>
                <w:position w:val="1"/>
                <w:sz w:val="21"/>
              </w:rPr>
              <w:t>政府（管委会）其他负责同志按照职责分工，定期开展现场督导检查，督促分管部门单位</w:t>
            </w:r>
          </w:p>
          <w:p>
            <w:pPr>
              <w:pStyle w:val="6"/>
              <w:spacing w:line="242" w:lineRule="exact"/>
              <w:ind w:left="108"/>
              <w:rPr>
                <w:sz w:val="21"/>
              </w:rPr>
            </w:pPr>
            <w:r>
              <w:rPr>
                <w:sz w:val="21"/>
              </w:rPr>
              <w:t>做好排查整治工作</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40" w:lineRule="exact"/>
              <w:ind w:left="108"/>
              <w:rPr>
                <w:sz w:val="21"/>
              </w:rPr>
            </w:pPr>
            <w:r>
              <w:rPr>
                <w:rFonts w:ascii="Times New Roman" w:eastAsia="Times New Roman"/>
                <w:sz w:val="21"/>
              </w:rPr>
              <w:t>14.</w:t>
            </w:r>
            <w:r>
              <w:rPr>
                <w:position w:val="1"/>
                <w:sz w:val="21"/>
              </w:rPr>
              <w:t>在规划编制、项目准入等初始环节把好安全关，不得降低安全门槛</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40" w:lineRule="exact"/>
              <w:ind w:left="108"/>
              <w:rPr>
                <w:sz w:val="21"/>
              </w:rPr>
            </w:pPr>
            <w:r>
              <w:rPr>
                <w:rFonts w:ascii="Times New Roman" w:eastAsia="Times New Roman"/>
                <w:sz w:val="21"/>
              </w:rPr>
              <w:t>15.</w:t>
            </w:r>
            <w:r>
              <w:rPr>
                <w:position w:val="1"/>
                <w:sz w:val="21"/>
              </w:rPr>
              <w:t>大力实施源头治理、依法治理、工程治理、科技强安等治本之策，提高本质安全水平。</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8" w:lineRule="exact"/>
              <w:ind w:left="108"/>
              <w:rPr>
                <w:sz w:val="21"/>
              </w:rPr>
            </w:pPr>
            <w:r>
              <w:rPr>
                <w:rFonts w:ascii="Times New Roman" w:eastAsia="Times New Roman"/>
                <w:sz w:val="21"/>
              </w:rPr>
              <w:t>16.</w:t>
            </w:r>
            <w:r>
              <w:rPr>
                <w:position w:val="1"/>
                <w:sz w:val="21"/>
              </w:rPr>
              <w:t>市安委办理直气壮警示通报约谈，严肃指出排查整治不力县区和市级部门存在的突出问</w:t>
            </w:r>
          </w:p>
          <w:p>
            <w:pPr>
              <w:pStyle w:val="6"/>
              <w:spacing w:line="242" w:lineRule="exact"/>
              <w:ind w:left="108"/>
              <w:rPr>
                <w:sz w:val="21"/>
              </w:rPr>
            </w:pPr>
            <w:r>
              <w:rPr>
                <w:sz w:val="21"/>
              </w:rPr>
              <w:t>题，在全市通报批评，视情况进行约谈；情况严重的按规定提请市委市政府予以问责处理。</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before="49"/>
              <w:ind w:left="108"/>
              <w:rPr>
                <w:sz w:val="21"/>
              </w:rPr>
            </w:pPr>
            <w:r>
              <w:rPr>
                <w:rFonts w:ascii="Times New Roman" w:eastAsia="Times New Roman"/>
                <w:sz w:val="21"/>
              </w:rPr>
              <w:t>17.</w:t>
            </w:r>
            <w:r>
              <w:rPr>
                <w:position w:val="1"/>
                <w:sz w:val="21"/>
              </w:rPr>
              <w:t>各地把专项行动开展情况作为</w:t>
            </w:r>
            <w:r>
              <w:rPr>
                <w:rFonts w:ascii="Times New Roman" w:eastAsia="Times New Roman"/>
                <w:sz w:val="21"/>
              </w:rPr>
              <w:t>2023</w:t>
            </w:r>
            <w:r>
              <w:rPr>
                <w:position w:val="1"/>
                <w:sz w:val="21"/>
              </w:rPr>
              <w:t>年度目标责任考评的重点内容，严格运用考评结果。</w:t>
            </w:r>
          </w:p>
        </w:tc>
        <w:tc>
          <w:tcPr>
            <w:tcW w:w="1632" w:type="dxa"/>
          </w:tcPr>
          <w:p>
            <w:pPr>
              <w:pStyle w:val="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tcPr>
          <w:p>
            <w:pPr>
              <w:pStyle w:val="6"/>
              <w:spacing w:before="92"/>
              <w:ind w:left="387"/>
              <w:rPr>
                <w:rFonts w:hint="eastAsia" w:ascii="方正黑体_GBK" w:eastAsia="方正黑体_GBK"/>
                <w:sz w:val="21"/>
              </w:rPr>
            </w:pPr>
            <w:r>
              <w:rPr>
                <w:rFonts w:hint="eastAsia" w:ascii="方正黑体_GBK" w:eastAsia="方正黑体_GBK"/>
                <w:sz w:val="21"/>
              </w:rPr>
              <w:t>全面总结提高</w:t>
            </w:r>
          </w:p>
        </w:tc>
        <w:tc>
          <w:tcPr>
            <w:tcW w:w="8573" w:type="dxa"/>
          </w:tcPr>
          <w:p>
            <w:pPr>
              <w:pStyle w:val="6"/>
              <w:spacing w:line="258" w:lineRule="exact"/>
              <w:ind w:left="108"/>
              <w:rPr>
                <w:sz w:val="21"/>
              </w:rPr>
            </w:pPr>
            <w:r>
              <w:rPr>
                <w:rFonts w:ascii="Times New Roman" w:eastAsia="Times New Roman"/>
                <w:sz w:val="21"/>
              </w:rPr>
              <w:t>18.</w:t>
            </w:r>
            <w:r>
              <w:rPr>
                <w:position w:val="1"/>
                <w:sz w:val="21"/>
              </w:rPr>
              <w:t>政府（管委会）全面总结本地专项行动取得的成效，系统梳理好经验、好做法，积极推动</w:t>
            </w:r>
          </w:p>
          <w:p>
            <w:pPr>
              <w:pStyle w:val="6"/>
              <w:spacing w:line="242" w:lineRule="exact"/>
              <w:ind w:left="108"/>
              <w:rPr>
                <w:sz w:val="21"/>
              </w:rPr>
            </w:pPr>
            <w:r>
              <w:rPr>
                <w:sz w:val="21"/>
              </w:rPr>
              <w:t>互学互鉴，不断完善安全生产制度措施，健全完善长效工作机制</w:t>
            </w:r>
          </w:p>
        </w:tc>
        <w:tc>
          <w:tcPr>
            <w:tcW w:w="1632" w:type="dxa"/>
          </w:tcPr>
          <w:p>
            <w:pPr>
              <w:pStyle w:val="6"/>
              <w:spacing w:before="89"/>
              <w:ind w:left="315" w:right="306"/>
              <w:jc w:val="center"/>
              <w:rPr>
                <w:sz w:val="21"/>
              </w:rPr>
            </w:pPr>
            <w:r>
              <w:rPr>
                <w:rFonts w:ascii="Times New Roman" w:eastAsia="Times New Roman"/>
                <w:sz w:val="21"/>
              </w:rPr>
              <w:t>12</w:t>
            </w:r>
            <w:r>
              <w:rPr>
                <w:position w:val="1"/>
                <w:sz w:val="21"/>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795" w:type="dxa"/>
            <w:vMerge w:val="restart"/>
          </w:tcPr>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spacing w:before="3"/>
              <w:rPr>
                <w:rFonts w:ascii="Times New Roman"/>
                <w:sz w:val="31"/>
              </w:rPr>
            </w:pPr>
          </w:p>
          <w:p>
            <w:pPr>
              <w:pStyle w:val="6"/>
              <w:ind w:left="476"/>
              <w:rPr>
                <w:rFonts w:hint="eastAsia" w:ascii="方正黑体_GBK" w:eastAsia="方正黑体_GBK"/>
                <w:sz w:val="21"/>
              </w:rPr>
            </w:pPr>
            <w:r>
              <w:rPr>
                <w:rFonts w:hint="eastAsia" w:ascii="方正黑体_GBK" w:eastAsia="方正黑体_GBK"/>
                <w:sz w:val="21"/>
              </w:rPr>
              <w:t>市级部门</w:t>
            </w:r>
          </w:p>
        </w:tc>
        <w:tc>
          <w:tcPr>
            <w:tcW w:w="2034" w:type="dxa"/>
            <w:vMerge w:val="restart"/>
          </w:tcPr>
          <w:p>
            <w:pPr>
              <w:pStyle w:val="6"/>
              <w:rPr>
                <w:rFonts w:ascii="Times New Roman"/>
                <w:sz w:val="28"/>
              </w:rPr>
            </w:pPr>
          </w:p>
          <w:p>
            <w:pPr>
              <w:pStyle w:val="6"/>
              <w:spacing w:before="2"/>
              <w:rPr>
                <w:rFonts w:ascii="Times New Roman"/>
                <w:sz w:val="40"/>
              </w:rPr>
            </w:pPr>
          </w:p>
          <w:p>
            <w:pPr>
              <w:pStyle w:val="6"/>
              <w:ind w:left="387"/>
              <w:rPr>
                <w:rFonts w:hint="eastAsia" w:ascii="方正黑体_GBK" w:eastAsia="方正黑体_GBK"/>
                <w:sz w:val="21"/>
              </w:rPr>
            </w:pPr>
            <w:r>
              <w:rPr>
                <w:rFonts w:hint="eastAsia" w:ascii="方正黑体_GBK" w:eastAsia="方正黑体_GBK"/>
                <w:sz w:val="21"/>
              </w:rPr>
              <w:t>抓实动员部署</w:t>
            </w:r>
          </w:p>
        </w:tc>
        <w:tc>
          <w:tcPr>
            <w:tcW w:w="8573" w:type="dxa"/>
          </w:tcPr>
          <w:p>
            <w:pPr>
              <w:pStyle w:val="6"/>
              <w:spacing w:line="297" w:lineRule="exact"/>
              <w:ind w:left="108"/>
              <w:rPr>
                <w:sz w:val="21"/>
              </w:rPr>
            </w:pPr>
            <w:r>
              <w:rPr>
                <w:rFonts w:ascii="Times New Roman" w:hAnsi="Times New Roman" w:eastAsia="Times New Roman"/>
                <w:sz w:val="21"/>
              </w:rPr>
              <w:t>1.</w:t>
            </w:r>
            <w:r>
              <w:rPr>
                <w:position w:val="1"/>
                <w:sz w:val="21"/>
              </w:rPr>
              <w:t>制定印发本部门、本行业领域专项行动方案，加强本系统专项行动</w:t>
            </w:r>
            <w:r>
              <w:rPr>
                <w:rFonts w:ascii="Times New Roman" w:hAnsi="Times New Roman" w:eastAsia="Times New Roman"/>
                <w:sz w:val="21"/>
              </w:rPr>
              <w:t>“</w:t>
            </w:r>
            <w:r>
              <w:rPr>
                <w:position w:val="1"/>
                <w:sz w:val="21"/>
              </w:rPr>
              <w:t>条</w:t>
            </w:r>
            <w:r>
              <w:rPr>
                <w:rFonts w:ascii="Times New Roman" w:hAnsi="Times New Roman" w:eastAsia="Times New Roman"/>
                <w:sz w:val="21"/>
              </w:rPr>
              <w:t>”</w:t>
            </w:r>
            <w:r>
              <w:rPr>
                <w:position w:val="1"/>
                <w:sz w:val="21"/>
              </w:rPr>
              <w:t>上的统筹推动</w:t>
            </w:r>
          </w:p>
        </w:tc>
        <w:tc>
          <w:tcPr>
            <w:tcW w:w="1632" w:type="dxa"/>
            <w:vMerge w:val="restart"/>
          </w:tcPr>
          <w:p>
            <w:pPr>
              <w:pStyle w:val="6"/>
              <w:rPr>
                <w:rFonts w:ascii="Times New Roman"/>
                <w:sz w:val="28"/>
              </w:rPr>
            </w:pPr>
          </w:p>
          <w:p>
            <w:pPr>
              <w:pStyle w:val="6"/>
              <w:spacing w:before="10"/>
              <w:rPr>
                <w:rFonts w:ascii="Times New Roman"/>
                <w:sz w:val="39"/>
              </w:rPr>
            </w:pPr>
          </w:p>
          <w:p>
            <w:pPr>
              <w:pStyle w:val="6"/>
              <w:spacing w:before="1"/>
              <w:ind w:left="369"/>
              <w:rPr>
                <w:sz w:val="21"/>
              </w:rPr>
            </w:pPr>
            <w:r>
              <w:rPr>
                <w:rFonts w:ascii="Times New Roman" w:eastAsia="Times New Roman"/>
                <w:sz w:val="21"/>
              </w:rPr>
              <w:t>5</w:t>
            </w:r>
            <w:r>
              <w:rPr>
                <w:position w:val="1"/>
                <w:sz w:val="21"/>
              </w:rPr>
              <w:t>月</w:t>
            </w:r>
            <w:r>
              <w:rPr>
                <w:rFonts w:ascii="Times New Roman" w:eastAsia="Times New Roman"/>
                <w:sz w:val="21"/>
              </w:rPr>
              <w:t>20</w:t>
            </w:r>
            <w:r>
              <w:rPr>
                <w:position w:val="1"/>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tabs>
                <w:tab w:val="left" w:pos="1735"/>
              </w:tabs>
              <w:spacing w:line="260" w:lineRule="exact"/>
              <w:ind w:left="108"/>
              <w:rPr>
                <w:sz w:val="21"/>
              </w:rPr>
            </w:pPr>
            <w:r>
              <w:rPr>
                <w:rFonts w:ascii="Times New Roman" w:eastAsia="Times New Roman"/>
                <w:sz w:val="21"/>
              </w:rPr>
              <w:t>2.</w:t>
            </w:r>
            <w:r>
              <w:rPr>
                <w:position w:val="1"/>
                <w:sz w:val="21"/>
              </w:rPr>
              <w:t>按全覆盖要求</w:t>
            </w:r>
            <w:r>
              <w:rPr>
                <w:position w:val="1"/>
                <w:sz w:val="21"/>
              </w:rPr>
              <w:tab/>
            </w:r>
            <w:r>
              <w:rPr>
                <w:position w:val="1"/>
                <w:sz w:val="21"/>
              </w:rPr>
              <w:t>将专项行动的部署安排和要求通知到行业领域内所有企业单位，并采取多</w:t>
            </w:r>
          </w:p>
          <w:p>
            <w:pPr>
              <w:pStyle w:val="6"/>
              <w:spacing w:line="240" w:lineRule="exact"/>
              <w:ind w:left="108"/>
              <w:rPr>
                <w:sz w:val="21"/>
              </w:rPr>
            </w:pPr>
            <w:r>
              <w:rPr>
                <w:sz w:val="21"/>
              </w:rPr>
              <w:t>种方式开展宣传解读，强化针对性的部署，把整治措施落到最小单元</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tabs>
                <w:tab w:val="left" w:pos="5095"/>
              </w:tabs>
              <w:spacing w:line="258" w:lineRule="exact"/>
              <w:ind w:left="108"/>
              <w:rPr>
                <w:sz w:val="21"/>
              </w:rPr>
            </w:pPr>
            <w:r>
              <w:rPr>
                <w:rFonts w:ascii="Times New Roman" w:eastAsia="Times New Roman"/>
                <w:sz w:val="21"/>
              </w:rPr>
              <w:t>3.</w:t>
            </w:r>
            <w:r>
              <w:rPr>
                <w:position w:val="1"/>
                <w:sz w:val="21"/>
              </w:rPr>
              <w:t>结合本行业领域重大事故隐患判定标准和工作实际</w:t>
            </w:r>
            <w:r>
              <w:rPr>
                <w:position w:val="1"/>
                <w:sz w:val="21"/>
              </w:rPr>
              <w:tab/>
            </w:r>
            <w:r>
              <w:rPr>
                <w:position w:val="1"/>
                <w:sz w:val="21"/>
              </w:rPr>
              <w:t>提炼明确本次整治的重点和整改、验</w:t>
            </w:r>
          </w:p>
          <w:p>
            <w:pPr>
              <w:pStyle w:val="6"/>
              <w:spacing w:line="242" w:lineRule="exact"/>
              <w:ind w:left="108"/>
              <w:rPr>
                <w:sz w:val="21"/>
              </w:rPr>
            </w:pPr>
            <w:r>
              <w:rPr>
                <w:sz w:val="21"/>
              </w:rPr>
              <w:t>收等相关内容重点事项</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8" w:lineRule="exact"/>
              <w:ind w:left="108" w:right="-15"/>
              <w:rPr>
                <w:sz w:val="21"/>
              </w:rPr>
            </w:pPr>
            <w:r>
              <w:rPr>
                <w:rFonts w:ascii="Times New Roman" w:eastAsia="Times New Roman"/>
                <w:sz w:val="21"/>
              </w:rPr>
              <w:t>4.</w:t>
            </w:r>
            <w:r>
              <w:rPr>
                <w:spacing w:val="-3"/>
                <w:position w:val="1"/>
                <w:sz w:val="21"/>
              </w:rPr>
              <w:t>市级负有安全监管职责的部门要成立由主要领导任组长的专项行动领导机构，并成立专班，</w:t>
            </w:r>
          </w:p>
          <w:p>
            <w:pPr>
              <w:pStyle w:val="6"/>
              <w:spacing w:line="242" w:lineRule="exact"/>
              <w:ind w:left="108"/>
              <w:rPr>
                <w:sz w:val="21"/>
              </w:rPr>
            </w:pPr>
            <w:r>
              <w:rPr>
                <w:sz w:val="21"/>
              </w:rPr>
              <w:t>明确一位分管领导牵头抓总，进一步细化责任分工，建立健全工作机制</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1795" w:type="dxa"/>
            <w:vMerge w:val="continue"/>
            <w:tcBorders>
              <w:top w:val="nil"/>
            </w:tcBorders>
          </w:tcPr>
          <w:p>
            <w:pPr>
              <w:rPr>
                <w:sz w:val="2"/>
                <w:szCs w:val="2"/>
              </w:rPr>
            </w:pPr>
          </w:p>
        </w:tc>
        <w:tc>
          <w:tcPr>
            <w:tcW w:w="2034" w:type="dxa"/>
            <w:vMerge w:val="restart"/>
          </w:tcPr>
          <w:p>
            <w:pPr>
              <w:pStyle w:val="6"/>
              <w:rPr>
                <w:rFonts w:ascii="Times New Roman"/>
                <w:sz w:val="28"/>
              </w:rPr>
            </w:pPr>
          </w:p>
          <w:p>
            <w:pPr>
              <w:pStyle w:val="6"/>
              <w:rPr>
                <w:rFonts w:ascii="Times New Roman"/>
                <w:sz w:val="28"/>
              </w:rPr>
            </w:pPr>
          </w:p>
          <w:p>
            <w:pPr>
              <w:pStyle w:val="6"/>
              <w:rPr>
                <w:rFonts w:ascii="Times New Roman"/>
                <w:sz w:val="32"/>
              </w:rPr>
            </w:pPr>
          </w:p>
          <w:p>
            <w:pPr>
              <w:pStyle w:val="6"/>
              <w:spacing w:before="1"/>
              <w:ind w:left="387"/>
              <w:rPr>
                <w:rFonts w:hint="eastAsia" w:ascii="方正黑体_GBK" w:eastAsia="方正黑体_GBK"/>
                <w:sz w:val="21"/>
              </w:rPr>
            </w:pPr>
            <w:r>
              <w:rPr>
                <w:rFonts w:hint="eastAsia" w:ascii="方正黑体_GBK" w:eastAsia="方正黑体_GBK"/>
                <w:sz w:val="21"/>
              </w:rPr>
              <w:t>开展督导帮扶</w:t>
            </w:r>
          </w:p>
        </w:tc>
        <w:tc>
          <w:tcPr>
            <w:tcW w:w="8573" w:type="dxa"/>
          </w:tcPr>
          <w:p>
            <w:pPr>
              <w:pStyle w:val="6"/>
              <w:spacing w:before="15" w:line="184" w:lineRule="auto"/>
              <w:ind w:left="108" w:right="98"/>
              <w:rPr>
                <w:sz w:val="21"/>
              </w:rPr>
            </w:pPr>
            <w:r>
              <w:rPr>
                <w:rFonts w:ascii="Times New Roman" w:hAnsi="Times New Roman" w:eastAsia="Times New Roman"/>
                <w:sz w:val="21"/>
              </w:rPr>
              <w:t>5.</w:t>
            </w:r>
            <w:r>
              <w:rPr>
                <w:position w:val="1"/>
                <w:sz w:val="21"/>
              </w:rPr>
              <w:t>结合主题教育强化责任落实。结合落实党的二十大精神和学习贯彻习近平新时代中国特色</w:t>
            </w:r>
            <w:r>
              <w:rPr>
                <w:w w:val="95"/>
                <w:position w:val="1"/>
                <w:sz w:val="21"/>
              </w:rPr>
              <w:t>社会主义思想主题教育，</w:t>
            </w:r>
            <w:r>
              <w:rPr>
                <w:rFonts w:ascii="Times New Roman" w:hAnsi="Times New Roman" w:eastAsia="Times New Roman"/>
                <w:w w:val="95"/>
                <w:sz w:val="21"/>
              </w:rPr>
              <w:t>“</w:t>
            </w:r>
            <w:r>
              <w:rPr>
                <w:w w:val="95"/>
                <w:position w:val="1"/>
                <w:sz w:val="21"/>
              </w:rPr>
              <w:t>学思想、强党性、重实践、建新功</w:t>
            </w:r>
            <w:r>
              <w:rPr>
                <w:rFonts w:ascii="Times New Roman" w:hAnsi="Times New Roman" w:eastAsia="Times New Roman"/>
                <w:w w:val="95"/>
                <w:sz w:val="21"/>
              </w:rPr>
              <w:t>”</w:t>
            </w:r>
            <w:r>
              <w:rPr>
                <w:w w:val="95"/>
                <w:position w:val="1"/>
                <w:sz w:val="21"/>
              </w:rPr>
              <w:t>，明责知责、履责尽责，发扬</w:t>
            </w:r>
          </w:p>
          <w:p>
            <w:pPr>
              <w:pStyle w:val="6"/>
              <w:spacing w:line="224" w:lineRule="exact"/>
              <w:ind w:left="108"/>
              <w:rPr>
                <w:sz w:val="21"/>
              </w:rPr>
            </w:pPr>
            <w:r>
              <w:rPr>
                <w:sz w:val="21"/>
              </w:rPr>
              <w:t>斗争精神，增强斗争本领，切实提高发现问题和解决问题的强烈意愿</w:t>
            </w:r>
          </w:p>
        </w:tc>
        <w:tc>
          <w:tcPr>
            <w:tcW w:w="1632" w:type="dxa"/>
            <w:vMerge w:val="restart"/>
          </w:tcPr>
          <w:p>
            <w:pPr>
              <w:pStyle w:val="6"/>
              <w:rPr>
                <w:rFonts w:ascii="Times New Roman"/>
                <w:sz w:val="28"/>
              </w:rPr>
            </w:pPr>
          </w:p>
          <w:p>
            <w:pPr>
              <w:pStyle w:val="6"/>
              <w:rPr>
                <w:rFonts w:ascii="Times New Roman"/>
                <w:sz w:val="28"/>
              </w:rPr>
            </w:pPr>
          </w:p>
          <w:p>
            <w:pPr>
              <w:pStyle w:val="6"/>
              <w:spacing w:before="9"/>
              <w:rPr>
                <w:rFonts w:ascii="Times New Roman"/>
                <w:sz w:val="31"/>
              </w:rPr>
            </w:pPr>
          </w:p>
          <w:p>
            <w:pPr>
              <w:pStyle w:val="6"/>
              <w:ind w:left="369"/>
              <w:rPr>
                <w:sz w:val="21"/>
              </w:rPr>
            </w:pPr>
            <w:r>
              <w:rPr>
                <w:rFonts w:ascii="Times New Roman" w:eastAsia="Times New Roman"/>
                <w:sz w:val="21"/>
              </w:rPr>
              <w:t>6</w:t>
            </w:r>
            <w:r>
              <w:rPr>
                <w:position w:val="1"/>
                <w:sz w:val="21"/>
              </w:rPr>
              <w:t>月</w:t>
            </w:r>
            <w:r>
              <w:rPr>
                <w:rFonts w:ascii="Times New Roman" w:eastAsia="Times New Roman"/>
                <w:sz w:val="21"/>
              </w:rPr>
              <w:t>30</w:t>
            </w:r>
            <w:r>
              <w:rPr>
                <w:position w:val="1"/>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8" w:lineRule="exact"/>
              <w:ind w:left="108"/>
              <w:rPr>
                <w:sz w:val="21"/>
              </w:rPr>
            </w:pPr>
            <w:r>
              <w:rPr>
                <w:rFonts w:ascii="Times New Roman" w:eastAsia="Times New Roman"/>
                <w:sz w:val="21"/>
              </w:rPr>
              <w:t>6.</w:t>
            </w:r>
            <w:r>
              <w:rPr>
                <w:position w:val="1"/>
                <w:sz w:val="21"/>
              </w:rPr>
              <w:t>市级负有安全监管职责部门的主要负责同志和其他负责同志到风险大、隐患多的重点企业</w:t>
            </w:r>
          </w:p>
          <w:p>
            <w:pPr>
              <w:pStyle w:val="6"/>
              <w:spacing w:line="242" w:lineRule="exact"/>
              <w:ind w:left="108"/>
              <w:rPr>
                <w:sz w:val="21"/>
              </w:rPr>
            </w:pPr>
            <w:r>
              <w:rPr>
                <w:sz w:val="21"/>
              </w:rPr>
              <w:t>开展专项行动宣传活动和安全生产工作调研</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7"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before="15" w:line="184" w:lineRule="auto"/>
              <w:ind w:left="108" w:right="90"/>
              <w:jc w:val="both"/>
              <w:rPr>
                <w:sz w:val="21"/>
              </w:rPr>
            </w:pPr>
            <w:r>
              <w:rPr>
                <w:rFonts w:ascii="Times New Roman" w:eastAsia="Times New Roman"/>
                <w:sz w:val="21"/>
              </w:rPr>
              <w:t>7.</w:t>
            </w:r>
            <w:r>
              <w:rPr>
                <w:position w:val="1"/>
                <w:sz w:val="21"/>
              </w:rPr>
              <w:t>开展监管执法人员专题培训。应急管理、公安、自然资源和规划、生态环境、住房城乡建</w:t>
            </w:r>
            <w:r>
              <w:rPr>
                <w:spacing w:val="-5"/>
                <w:w w:val="95"/>
                <w:sz w:val="21"/>
              </w:rPr>
              <w:t>设、交通运输、农业农村、水务、文化和旅游、卫生健康、市场监管、消防等部门要利用企</w:t>
            </w:r>
            <w:r>
              <w:rPr>
                <w:spacing w:val="-8"/>
                <w:sz w:val="21"/>
              </w:rPr>
              <w:t>业自查自改阶段的时间，集中对本部门、本系统监管执法人员开展安全生产专题培训。重点</w:t>
            </w:r>
          </w:p>
          <w:p>
            <w:pPr>
              <w:pStyle w:val="6"/>
              <w:spacing w:line="222" w:lineRule="exact"/>
              <w:ind w:left="108"/>
              <w:rPr>
                <w:sz w:val="21"/>
              </w:rPr>
            </w:pPr>
            <w:r>
              <w:rPr>
                <w:sz w:val="21"/>
              </w:rPr>
              <w:t>学习重大事故隐患判定标准、重点执法检查事项及相关法律法规标准等</w:t>
            </w:r>
          </w:p>
        </w:tc>
        <w:tc>
          <w:tcPr>
            <w:tcW w:w="1632" w:type="dxa"/>
            <w:vMerge w:val="continue"/>
            <w:tcBorders>
              <w:top w:val="nil"/>
            </w:tcBorders>
          </w:tcPr>
          <w:p>
            <w:pPr>
              <w:rPr>
                <w:sz w:val="2"/>
                <w:szCs w:val="2"/>
              </w:rPr>
            </w:pPr>
          </w:p>
        </w:tc>
      </w:tr>
    </w:tbl>
    <w:p>
      <w:pPr>
        <w:spacing w:after="0"/>
        <w:rPr>
          <w:sz w:val="2"/>
          <w:szCs w:val="2"/>
        </w:rPr>
        <w:sectPr>
          <w:pgSz w:w="16840" w:h="11910" w:orient="landscape"/>
          <w:pgMar w:top="1100" w:right="1220" w:bottom="1620" w:left="1360" w:header="0" w:footer="1432" w:gutter="0"/>
        </w:sectPr>
      </w:pPr>
    </w:p>
    <w:tbl>
      <w:tblPr>
        <w:tblStyle w:val="4"/>
        <w:tblpPr w:leftFromText="180" w:rightFromText="180" w:vertAnchor="text" w:horzAnchor="page" w:tblpX="1434" w:tblpY="-358"/>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95"/>
        <w:gridCol w:w="2034"/>
        <w:gridCol w:w="8573"/>
        <w:gridCol w:w="16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795" w:type="dxa"/>
            <w:vMerge w:val="restart"/>
          </w:tcPr>
          <w:p>
            <w:pPr>
              <w:pStyle w:val="6"/>
              <w:rPr>
                <w:rFonts w:ascii="Times New Roman"/>
                <w:sz w:val="20"/>
              </w:rPr>
            </w:pPr>
          </w:p>
        </w:tc>
        <w:tc>
          <w:tcPr>
            <w:tcW w:w="2034" w:type="dxa"/>
            <w:vMerge w:val="restart"/>
          </w:tcPr>
          <w:p>
            <w:pPr>
              <w:pStyle w:val="6"/>
              <w:rPr>
                <w:rFonts w:ascii="Times New Roman"/>
                <w:sz w:val="20"/>
              </w:rPr>
            </w:pPr>
          </w:p>
        </w:tc>
        <w:tc>
          <w:tcPr>
            <w:tcW w:w="8573" w:type="dxa"/>
          </w:tcPr>
          <w:p>
            <w:pPr>
              <w:pStyle w:val="6"/>
              <w:spacing w:before="5" w:line="329" w:lineRule="exact"/>
              <w:ind w:left="108"/>
              <w:rPr>
                <w:sz w:val="21"/>
              </w:rPr>
            </w:pPr>
            <w:r>
              <w:rPr>
                <w:rFonts w:ascii="Times New Roman" w:hAnsi="Times New Roman" w:eastAsia="Times New Roman"/>
                <w:sz w:val="21"/>
              </w:rPr>
              <w:t>8.</w:t>
            </w:r>
            <w:r>
              <w:rPr>
                <w:position w:val="1"/>
                <w:sz w:val="21"/>
              </w:rPr>
              <w:t>组织开展好</w:t>
            </w:r>
            <w:r>
              <w:rPr>
                <w:rFonts w:ascii="Times New Roman" w:hAnsi="Times New Roman" w:eastAsia="Times New Roman"/>
                <w:sz w:val="21"/>
              </w:rPr>
              <w:t>6</w:t>
            </w:r>
            <w:r>
              <w:rPr>
                <w:position w:val="1"/>
                <w:sz w:val="21"/>
              </w:rPr>
              <w:t>月</w:t>
            </w:r>
            <w:r>
              <w:rPr>
                <w:rFonts w:ascii="Times New Roman" w:hAnsi="Times New Roman" w:eastAsia="Times New Roman"/>
                <w:sz w:val="21"/>
              </w:rPr>
              <w:t>“</w:t>
            </w:r>
            <w:r>
              <w:rPr>
                <w:position w:val="1"/>
                <w:sz w:val="21"/>
              </w:rPr>
              <w:t>安全生产月</w:t>
            </w:r>
            <w:r>
              <w:rPr>
                <w:rFonts w:ascii="Times New Roman" w:hAnsi="Times New Roman" w:eastAsia="Times New Roman"/>
                <w:sz w:val="21"/>
              </w:rPr>
              <w:t>”</w:t>
            </w:r>
            <w:r>
              <w:rPr>
                <w:position w:val="1"/>
                <w:sz w:val="21"/>
              </w:rPr>
              <w:t>专题活动</w:t>
            </w:r>
          </w:p>
        </w:tc>
        <w:tc>
          <w:tcPr>
            <w:tcW w:w="1632" w:type="dxa"/>
            <w:vMerge w:val="restart"/>
          </w:tcPr>
          <w:p>
            <w:pPr>
              <w:pStyle w:val="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before="14" w:line="184" w:lineRule="auto"/>
              <w:ind w:left="108" w:right="96"/>
              <w:jc w:val="both"/>
              <w:rPr>
                <w:sz w:val="21"/>
              </w:rPr>
            </w:pPr>
            <w:r>
              <w:rPr>
                <w:rFonts w:ascii="Times New Roman" w:hAnsi="Times New Roman" w:eastAsia="Times New Roman"/>
                <w:sz w:val="21"/>
              </w:rPr>
              <w:t>9.</w:t>
            </w:r>
            <w:r>
              <w:rPr>
                <w:position w:val="1"/>
                <w:sz w:val="21"/>
              </w:rPr>
              <w:t>深化重大风险普查行动。持续巩固</w:t>
            </w:r>
            <w:r>
              <w:rPr>
                <w:rFonts w:ascii="Times New Roman" w:hAnsi="Times New Roman" w:eastAsia="Times New Roman"/>
                <w:sz w:val="21"/>
              </w:rPr>
              <w:t>“</w:t>
            </w:r>
            <w:r>
              <w:rPr>
                <w:position w:val="1"/>
                <w:sz w:val="21"/>
              </w:rPr>
              <w:t>百日攻坚</w:t>
            </w:r>
            <w:r>
              <w:rPr>
                <w:rFonts w:ascii="Times New Roman" w:hAnsi="Times New Roman" w:eastAsia="Times New Roman"/>
                <w:sz w:val="21"/>
              </w:rPr>
              <w:t>”</w:t>
            </w:r>
            <w:r>
              <w:rPr>
                <w:position w:val="1"/>
                <w:sz w:val="21"/>
              </w:rPr>
              <w:t>系列行动成果，根据《昆明市安全生产委员会关于印发昆明市重大安全风险大排查工作方案的通知》（昆安〔</w:t>
            </w:r>
            <w:r>
              <w:rPr>
                <w:rFonts w:ascii="Times New Roman" w:hAnsi="Times New Roman" w:eastAsia="Times New Roman"/>
                <w:sz w:val="21"/>
              </w:rPr>
              <w:t>2022</w:t>
            </w:r>
            <w:r>
              <w:rPr>
                <w:position w:val="1"/>
                <w:sz w:val="21"/>
              </w:rPr>
              <w:t>〕</w:t>
            </w:r>
            <w:r>
              <w:rPr>
                <w:rFonts w:ascii="Times New Roman" w:hAnsi="Times New Roman" w:eastAsia="Times New Roman"/>
                <w:sz w:val="21"/>
              </w:rPr>
              <w:t>12</w:t>
            </w:r>
            <w:r>
              <w:rPr>
                <w:position w:val="1"/>
                <w:sz w:val="21"/>
              </w:rPr>
              <w:t>号）和</w:t>
            </w:r>
            <w:r>
              <w:rPr>
                <w:rFonts w:ascii="Times New Roman" w:hAnsi="Times New Roman" w:eastAsia="Times New Roman"/>
                <w:sz w:val="21"/>
              </w:rPr>
              <w:t>“</w:t>
            </w:r>
            <w:r>
              <w:rPr>
                <w:position w:val="1"/>
                <w:sz w:val="21"/>
              </w:rPr>
              <w:t>三个必须</w:t>
            </w:r>
            <w:r>
              <w:rPr>
                <w:rFonts w:ascii="Times New Roman" w:hAnsi="Times New Roman" w:eastAsia="Times New Roman"/>
                <w:sz w:val="21"/>
              </w:rPr>
              <w:t>”</w:t>
            </w:r>
            <w:r>
              <w:rPr>
                <w:position w:val="1"/>
                <w:sz w:val="21"/>
              </w:rPr>
              <w:t>要求，全面完成本行业领域重点企业、重点项目、重点设施、重点场所、重点装置的清</w:t>
            </w:r>
          </w:p>
          <w:p>
            <w:pPr>
              <w:pStyle w:val="6"/>
              <w:spacing w:line="225" w:lineRule="exact"/>
              <w:ind w:left="108"/>
              <w:jc w:val="both"/>
              <w:rPr>
                <w:sz w:val="21"/>
              </w:rPr>
            </w:pPr>
            <w:r>
              <w:rPr>
                <w:position w:val="1"/>
                <w:sz w:val="21"/>
              </w:rPr>
              <w:t>单化建档立档工作</w:t>
            </w:r>
            <w:r>
              <w:rPr>
                <w:rFonts w:ascii="Times New Roman" w:hAnsi="Times New Roman" w:eastAsia="Times New Roman"/>
                <w:sz w:val="21"/>
              </w:rPr>
              <w:t>100%</w:t>
            </w:r>
            <w:r>
              <w:rPr>
                <w:position w:val="1"/>
                <w:sz w:val="21"/>
              </w:rPr>
              <w:t>建立</w:t>
            </w:r>
            <w:r>
              <w:rPr>
                <w:rFonts w:ascii="Times New Roman" w:hAnsi="Times New Roman" w:eastAsia="Times New Roman"/>
                <w:sz w:val="21"/>
              </w:rPr>
              <w:t>“4</w:t>
            </w:r>
            <w:r>
              <w:rPr>
                <w:position w:val="1"/>
                <w:sz w:val="21"/>
              </w:rPr>
              <w:t>张清单</w:t>
            </w:r>
            <w:r>
              <w:rPr>
                <w:rFonts w:ascii="Times New Roman" w:hAnsi="Times New Roman" w:eastAsia="Times New Roman"/>
                <w:sz w:val="21"/>
              </w:rPr>
              <w:t>”</w:t>
            </w:r>
            <w:r>
              <w:rPr>
                <w:position w:val="1"/>
                <w:sz w:val="21"/>
              </w:rPr>
              <w:t>，建成动态管控机制</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before="15" w:line="184" w:lineRule="auto"/>
              <w:ind w:left="108" w:right="95"/>
              <w:jc w:val="both"/>
              <w:rPr>
                <w:sz w:val="21"/>
              </w:rPr>
            </w:pPr>
            <w:r>
              <w:rPr>
                <w:rFonts w:ascii="Times New Roman" w:hAnsi="Times New Roman" w:eastAsia="Times New Roman"/>
                <w:sz w:val="21"/>
              </w:rPr>
              <w:t>10.</w:t>
            </w:r>
            <w:r>
              <w:rPr>
                <w:position w:val="1"/>
                <w:sz w:val="21"/>
              </w:rPr>
              <w:t>深化重大隐患清除行动。对实施安全生产专项整治三年行动计划（</w:t>
            </w:r>
            <w:r>
              <w:rPr>
                <w:rFonts w:ascii="Times New Roman" w:hAnsi="Times New Roman" w:eastAsia="Times New Roman"/>
                <w:sz w:val="21"/>
              </w:rPr>
              <w:t>2020—2022</w:t>
            </w:r>
            <w:r>
              <w:rPr>
                <w:position w:val="1"/>
                <w:sz w:val="21"/>
              </w:rPr>
              <w:t>年</w:t>
            </w:r>
            <w:r>
              <w:rPr>
                <w:spacing w:val="4"/>
                <w:position w:val="1"/>
                <w:sz w:val="21"/>
              </w:rPr>
              <w:t>）</w:t>
            </w:r>
            <w:r>
              <w:rPr>
                <w:position w:val="1"/>
                <w:sz w:val="21"/>
              </w:rPr>
              <w:t>以来</w:t>
            </w:r>
            <w:r>
              <w:rPr>
                <w:spacing w:val="-3"/>
                <w:w w:val="95"/>
                <w:position w:val="1"/>
                <w:sz w:val="21"/>
              </w:rPr>
              <w:t>省、市政府挂牌督办的重大隐患进行</w:t>
            </w:r>
            <w:r>
              <w:rPr>
                <w:rFonts w:ascii="Times New Roman" w:hAnsi="Times New Roman" w:eastAsia="Times New Roman"/>
                <w:w w:val="95"/>
                <w:sz w:val="21"/>
              </w:rPr>
              <w:t>“</w:t>
            </w:r>
            <w:r>
              <w:rPr>
                <w:w w:val="95"/>
                <w:position w:val="1"/>
                <w:sz w:val="21"/>
              </w:rPr>
              <w:t>回头看</w:t>
            </w:r>
            <w:r>
              <w:rPr>
                <w:rFonts w:ascii="Times New Roman" w:hAnsi="Times New Roman" w:eastAsia="Times New Roman"/>
                <w:spacing w:val="-5"/>
                <w:w w:val="95"/>
                <w:sz w:val="21"/>
              </w:rPr>
              <w:t>”</w:t>
            </w:r>
            <w:r>
              <w:rPr>
                <w:spacing w:val="-2"/>
                <w:w w:val="95"/>
                <w:position w:val="1"/>
                <w:sz w:val="21"/>
              </w:rPr>
              <w:t>，对人员聚集公共场所和高层建筑封堵安全出</w:t>
            </w:r>
            <w:r>
              <w:rPr>
                <w:spacing w:val="-2"/>
                <w:position w:val="1"/>
                <w:sz w:val="21"/>
              </w:rPr>
              <w:t>口、疏散通道等隐患进行全面清查，对国务院安委会、省安委会、市安委会</w:t>
            </w:r>
            <w:r>
              <w:rPr>
                <w:rFonts w:ascii="Times New Roman" w:hAnsi="Times New Roman" w:eastAsia="Times New Roman"/>
                <w:sz w:val="21"/>
              </w:rPr>
              <w:t>2022</w:t>
            </w:r>
            <w:r>
              <w:rPr>
                <w:position w:val="1"/>
                <w:sz w:val="21"/>
              </w:rPr>
              <w:t>年以来督</w:t>
            </w:r>
          </w:p>
          <w:p>
            <w:pPr>
              <w:pStyle w:val="6"/>
              <w:spacing w:line="224" w:lineRule="exact"/>
              <w:ind w:left="108"/>
              <w:jc w:val="both"/>
              <w:rPr>
                <w:sz w:val="21"/>
              </w:rPr>
            </w:pPr>
            <w:r>
              <w:rPr>
                <w:position w:val="1"/>
                <w:sz w:val="21"/>
              </w:rPr>
              <w:t>查检查反馈问题隐患进行全面整改，确保</w:t>
            </w:r>
            <w:r>
              <w:rPr>
                <w:rFonts w:ascii="Times New Roman" w:eastAsia="Times New Roman"/>
                <w:sz w:val="21"/>
              </w:rPr>
              <w:t>100%</w:t>
            </w:r>
            <w:r>
              <w:rPr>
                <w:position w:val="1"/>
                <w:sz w:val="21"/>
              </w:rPr>
              <w:t>整改到位</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before="14" w:line="184" w:lineRule="auto"/>
              <w:ind w:left="108" w:right="55"/>
              <w:jc w:val="both"/>
              <w:rPr>
                <w:sz w:val="21"/>
              </w:rPr>
            </w:pPr>
            <w:r>
              <w:rPr>
                <w:rFonts w:ascii="Times New Roman" w:eastAsia="Times New Roman"/>
                <w:sz w:val="21"/>
              </w:rPr>
              <w:t>11.</w:t>
            </w:r>
            <w:r>
              <w:rPr>
                <w:spacing w:val="-7"/>
                <w:position w:val="1"/>
                <w:sz w:val="21"/>
              </w:rPr>
              <w:t>深化责任落实提升行动。市安委会各成员单位内设安委会或安全生产工作领导机构，由主</w:t>
            </w:r>
            <w:r>
              <w:rPr>
                <w:spacing w:val="-8"/>
                <w:sz w:val="21"/>
              </w:rPr>
              <w:t>要负责同志担任主任或组长，明确领导班子及成员、各处室</w:t>
            </w:r>
            <w:r>
              <w:rPr>
                <w:sz w:val="21"/>
              </w:rPr>
              <w:t>（部门</w:t>
            </w:r>
            <w:r>
              <w:rPr>
                <w:spacing w:val="-8"/>
                <w:sz w:val="21"/>
              </w:rPr>
              <w:t>）</w:t>
            </w:r>
            <w:r>
              <w:rPr>
                <w:spacing w:val="-1"/>
                <w:sz w:val="21"/>
              </w:rPr>
              <w:t>安全生产职责清单，制</w:t>
            </w:r>
            <w:r>
              <w:rPr>
                <w:spacing w:val="-3"/>
                <w:sz w:val="21"/>
              </w:rPr>
              <w:t>定年度工作任务清单，建立完善督办、约谈、通报、考评等相关工作机制，实现一岗双责、</w:t>
            </w:r>
          </w:p>
          <w:p>
            <w:pPr>
              <w:pStyle w:val="6"/>
              <w:spacing w:line="225" w:lineRule="exact"/>
              <w:ind w:left="108"/>
              <w:rPr>
                <w:sz w:val="21"/>
              </w:rPr>
            </w:pPr>
            <w:r>
              <w:rPr>
                <w:sz w:val="21"/>
              </w:rPr>
              <w:t>齐抓共管</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40" w:lineRule="exact"/>
              <w:ind w:left="108"/>
              <w:rPr>
                <w:sz w:val="21"/>
              </w:rPr>
            </w:pPr>
            <w:r>
              <w:rPr>
                <w:rFonts w:ascii="Times New Roman" w:eastAsia="Times New Roman"/>
                <w:sz w:val="21"/>
              </w:rPr>
              <w:t>12.</w:t>
            </w:r>
            <w:r>
              <w:rPr>
                <w:position w:val="1"/>
                <w:sz w:val="21"/>
              </w:rPr>
              <w:t>各负有安全监管职责的部门督促企业主要负责人全面落实安全生产法定职责</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before="14" w:line="184" w:lineRule="auto"/>
              <w:ind w:left="108" w:right="90"/>
              <w:rPr>
                <w:sz w:val="21"/>
              </w:rPr>
            </w:pPr>
            <w:r>
              <w:rPr>
                <w:rFonts w:ascii="Times New Roman" w:hAnsi="Times New Roman" w:eastAsia="Times New Roman"/>
                <w:w w:val="95"/>
                <w:sz w:val="21"/>
              </w:rPr>
              <w:t>13.</w:t>
            </w:r>
            <w:r>
              <w:rPr>
                <w:spacing w:val="-7"/>
                <w:w w:val="95"/>
                <w:position w:val="1"/>
                <w:sz w:val="21"/>
              </w:rPr>
              <w:t>市工业和信息化局、住房城乡建设局、交通运输局、市场监管局、应急管理局、公安局交</w:t>
            </w:r>
            <w:r>
              <w:rPr>
                <w:spacing w:val="-7"/>
                <w:position w:val="1"/>
                <w:sz w:val="21"/>
              </w:rPr>
              <w:t>警支队分别依职责负责建立监管行业领域的市级</w:t>
            </w:r>
            <w:r>
              <w:rPr>
                <w:rFonts w:ascii="Times New Roman" w:hAnsi="Times New Roman" w:eastAsia="Times New Roman"/>
                <w:spacing w:val="-7"/>
                <w:sz w:val="21"/>
              </w:rPr>
              <w:t>“</w:t>
            </w:r>
            <w:r>
              <w:rPr>
                <w:spacing w:val="-7"/>
                <w:position w:val="1"/>
                <w:sz w:val="21"/>
              </w:rPr>
              <w:t>打非治违</w:t>
            </w:r>
            <w:r>
              <w:rPr>
                <w:rFonts w:ascii="Times New Roman" w:hAnsi="Times New Roman" w:eastAsia="Times New Roman"/>
                <w:spacing w:val="-7"/>
                <w:sz w:val="21"/>
              </w:rPr>
              <w:t>”</w:t>
            </w:r>
            <w:r>
              <w:rPr>
                <w:spacing w:val="-7"/>
                <w:position w:val="1"/>
                <w:sz w:val="21"/>
              </w:rPr>
              <w:t>领导机构，建立健全打非治违常</w:t>
            </w:r>
          </w:p>
          <w:p>
            <w:pPr>
              <w:pStyle w:val="6"/>
              <w:spacing w:line="225" w:lineRule="exact"/>
              <w:ind w:left="108"/>
              <w:rPr>
                <w:sz w:val="21"/>
              </w:rPr>
            </w:pPr>
            <w:r>
              <w:rPr>
                <w:sz w:val="21"/>
              </w:rPr>
              <w:t>态化长效化工作机制</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60" w:lineRule="exact"/>
              <w:ind w:left="108"/>
              <w:rPr>
                <w:sz w:val="21"/>
              </w:rPr>
            </w:pPr>
            <w:r>
              <w:rPr>
                <w:rFonts w:ascii="Times New Roman" w:eastAsia="Times New Roman"/>
                <w:sz w:val="21"/>
              </w:rPr>
              <w:t>14.</w:t>
            </w:r>
            <w:r>
              <w:rPr>
                <w:position w:val="1"/>
                <w:sz w:val="21"/>
              </w:rPr>
              <w:t>各负有安全监管职责部门加大对事故易发、多发县区和小微企业安全生产帮扶服务，提供</w:t>
            </w:r>
          </w:p>
          <w:p>
            <w:pPr>
              <w:pStyle w:val="6"/>
              <w:spacing w:line="240" w:lineRule="exact"/>
              <w:ind w:left="108" w:right="-15"/>
              <w:rPr>
                <w:sz w:val="21"/>
              </w:rPr>
            </w:pPr>
            <w:r>
              <w:rPr>
                <w:spacing w:val="-13"/>
                <w:w w:val="95"/>
                <w:sz w:val="21"/>
              </w:rPr>
              <w:t>专家上门、技术帮助、法律咨询等多种服务，教育引导生产经营单位自觉遵守安全生产规定。</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restart"/>
          </w:tcPr>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spacing w:before="6"/>
              <w:rPr>
                <w:rFonts w:ascii="Times New Roman"/>
                <w:sz w:val="22"/>
              </w:rPr>
            </w:pPr>
          </w:p>
          <w:p>
            <w:pPr>
              <w:pStyle w:val="6"/>
              <w:ind w:left="387"/>
              <w:rPr>
                <w:rFonts w:hint="eastAsia" w:ascii="方正黑体_GBK" w:eastAsia="方正黑体_GBK"/>
                <w:sz w:val="21"/>
              </w:rPr>
            </w:pPr>
            <w:r>
              <w:rPr>
                <w:rFonts w:hint="eastAsia" w:ascii="方正黑体_GBK" w:eastAsia="方正黑体_GBK"/>
                <w:sz w:val="21"/>
              </w:rPr>
              <w:t>实施精准执法</w:t>
            </w:r>
          </w:p>
        </w:tc>
        <w:tc>
          <w:tcPr>
            <w:tcW w:w="8573" w:type="dxa"/>
          </w:tcPr>
          <w:p>
            <w:pPr>
              <w:pStyle w:val="6"/>
              <w:spacing w:line="258" w:lineRule="exact"/>
              <w:ind w:left="108"/>
              <w:rPr>
                <w:sz w:val="21"/>
              </w:rPr>
            </w:pPr>
            <w:r>
              <w:rPr>
                <w:rFonts w:ascii="Times New Roman" w:eastAsia="Times New Roman"/>
                <w:sz w:val="21"/>
              </w:rPr>
              <w:t>15.</w:t>
            </w:r>
            <w:r>
              <w:rPr>
                <w:position w:val="1"/>
                <w:sz w:val="21"/>
              </w:rPr>
              <w:t>对企业自查查出的重大事故隐患，已按规定报告并正在采取有效措施消除的，依法不予行</w:t>
            </w:r>
          </w:p>
          <w:p>
            <w:pPr>
              <w:pStyle w:val="6"/>
              <w:spacing w:line="242" w:lineRule="exact"/>
              <w:ind w:left="108"/>
              <w:rPr>
                <w:sz w:val="21"/>
              </w:rPr>
            </w:pPr>
            <w:r>
              <w:rPr>
                <w:sz w:val="21"/>
              </w:rPr>
              <w:t>政处罚</w:t>
            </w:r>
          </w:p>
        </w:tc>
        <w:tc>
          <w:tcPr>
            <w:tcW w:w="1632" w:type="dxa"/>
            <w:vMerge w:val="restart"/>
          </w:tcPr>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spacing w:before="3"/>
              <w:rPr>
                <w:rFonts w:ascii="Times New Roman"/>
                <w:sz w:val="22"/>
              </w:rPr>
            </w:pPr>
          </w:p>
          <w:p>
            <w:pPr>
              <w:pStyle w:val="6"/>
              <w:ind w:left="263"/>
              <w:rPr>
                <w:sz w:val="21"/>
              </w:rPr>
            </w:pPr>
            <w:r>
              <w:rPr>
                <w:rFonts w:ascii="Times New Roman" w:eastAsia="Times New Roman"/>
                <w:sz w:val="21"/>
              </w:rPr>
              <w:t>6</w:t>
            </w:r>
            <w:r>
              <w:rPr>
                <w:position w:val="1"/>
                <w:sz w:val="21"/>
              </w:rPr>
              <w:t>月至</w:t>
            </w:r>
            <w:r>
              <w:rPr>
                <w:rFonts w:ascii="Times New Roman" w:eastAsia="Times New Roman"/>
                <w:sz w:val="21"/>
              </w:rPr>
              <w:t>12</w:t>
            </w:r>
            <w:r>
              <w:rPr>
                <w:position w:val="1"/>
                <w:sz w:val="21"/>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8" w:lineRule="exact"/>
              <w:ind w:left="108"/>
              <w:rPr>
                <w:sz w:val="21"/>
              </w:rPr>
            </w:pPr>
            <w:r>
              <w:rPr>
                <w:rFonts w:ascii="Times New Roman" w:eastAsia="Times New Roman"/>
                <w:sz w:val="21"/>
              </w:rPr>
              <w:t>16.</w:t>
            </w:r>
            <w:r>
              <w:rPr>
                <w:position w:val="1"/>
                <w:sz w:val="21"/>
              </w:rPr>
              <w:t>对排查整治不力导致重大事故隐患依然存在或发生事故的，依法对企业和企业主要负责人</w:t>
            </w:r>
          </w:p>
          <w:p>
            <w:pPr>
              <w:pStyle w:val="6"/>
              <w:spacing w:line="242" w:lineRule="exact"/>
              <w:ind w:left="108"/>
              <w:rPr>
                <w:sz w:val="21"/>
              </w:rPr>
            </w:pPr>
            <w:r>
              <w:rPr>
                <w:position w:val="1"/>
                <w:sz w:val="21"/>
              </w:rPr>
              <w:t>实行</w:t>
            </w:r>
            <w:r>
              <w:rPr>
                <w:rFonts w:ascii="Times New Roman" w:hAnsi="Times New Roman" w:eastAsia="Times New Roman"/>
                <w:sz w:val="21"/>
              </w:rPr>
              <w:t>“</w:t>
            </w:r>
            <w:r>
              <w:rPr>
                <w:position w:val="1"/>
                <w:sz w:val="21"/>
              </w:rPr>
              <w:t>一案双罚</w:t>
            </w:r>
            <w:r>
              <w:rPr>
                <w:rFonts w:ascii="Times New Roman" w:hAnsi="Times New Roman" w:eastAsia="Times New Roman"/>
                <w:sz w:val="21"/>
              </w:rPr>
              <w:t>”</w:t>
            </w:r>
            <w:r>
              <w:rPr>
                <w:position w:val="1"/>
                <w:sz w:val="21"/>
              </w:rPr>
              <w:t>。</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9" w:lineRule="exact"/>
              <w:ind w:left="108"/>
              <w:rPr>
                <w:sz w:val="21"/>
              </w:rPr>
            </w:pPr>
            <w:r>
              <w:rPr>
                <w:rFonts w:ascii="Times New Roman" w:eastAsia="Times New Roman"/>
                <w:sz w:val="21"/>
              </w:rPr>
              <w:t>17.</w:t>
            </w:r>
            <w:r>
              <w:rPr>
                <w:position w:val="1"/>
                <w:sz w:val="21"/>
              </w:rPr>
              <w:t>对重大事故隐患长期存在并多次受到处罚的企业，依法提请地方人民政府予以关闭并落实</w:t>
            </w:r>
          </w:p>
          <w:p>
            <w:pPr>
              <w:pStyle w:val="6"/>
              <w:spacing w:line="241" w:lineRule="exact"/>
              <w:ind w:left="108"/>
              <w:rPr>
                <w:sz w:val="21"/>
              </w:rPr>
            </w:pPr>
            <w:r>
              <w:rPr>
                <w:sz w:val="21"/>
              </w:rPr>
              <w:t>企业主要负责人行业禁入规定；涉嫌犯罪的，依法移送司法机关追究刑事责任</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9" w:lineRule="exact"/>
              <w:ind w:left="108"/>
              <w:rPr>
                <w:sz w:val="21"/>
              </w:rPr>
            </w:pPr>
            <w:r>
              <w:rPr>
                <w:rFonts w:ascii="Times New Roman" w:eastAsia="Times New Roman"/>
                <w:sz w:val="21"/>
              </w:rPr>
              <w:t>18.</w:t>
            </w:r>
            <w:r>
              <w:rPr>
                <w:position w:val="1"/>
                <w:sz w:val="21"/>
              </w:rPr>
              <w:t>紧盯执法检查中发现的重大事故隐患不放，督促企业坚决整改落实到位，严禁以罚代管、</w:t>
            </w:r>
          </w:p>
          <w:p>
            <w:pPr>
              <w:pStyle w:val="6"/>
              <w:spacing w:line="241" w:lineRule="exact"/>
              <w:ind w:left="108"/>
              <w:rPr>
                <w:sz w:val="21"/>
              </w:rPr>
            </w:pPr>
            <w:r>
              <w:rPr>
                <w:sz w:val="21"/>
              </w:rPr>
              <w:t>罚而不管</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9" w:lineRule="exact"/>
              <w:ind w:left="108"/>
              <w:rPr>
                <w:sz w:val="21"/>
              </w:rPr>
            </w:pPr>
            <w:r>
              <w:rPr>
                <w:rFonts w:ascii="Times New Roman" w:eastAsia="Times New Roman"/>
                <w:sz w:val="21"/>
              </w:rPr>
              <w:t>19.</w:t>
            </w:r>
            <w:r>
              <w:rPr>
                <w:position w:val="1"/>
                <w:sz w:val="21"/>
              </w:rPr>
              <w:t>根据监管执法情况，定期通报一批、约谈一批、联合惩戒一批、停产整顿一批，并在政务</w:t>
            </w:r>
          </w:p>
          <w:p>
            <w:pPr>
              <w:pStyle w:val="6"/>
              <w:spacing w:line="241" w:lineRule="exact"/>
              <w:ind w:left="108"/>
              <w:rPr>
                <w:sz w:val="21"/>
              </w:rPr>
            </w:pPr>
            <w:r>
              <w:rPr>
                <w:sz w:val="21"/>
              </w:rPr>
              <w:t>网站或主流媒体分期分批公布安全生产典型执法案例（含危险作业罪）</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77"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before="16" w:line="184" w:lineRule="auto"/>
              <w:ind w:left="108" w:right="96"/>
              <w:rPr>
                <w:sz w:val="21"/>
              </w:rPr>
            </w:pPr>
            <w:r>
              <w:rPr>
                <w:rFonts w:ascii="Times New Roman" w:hAnsi="Times New Roman" w:eastAsia="Times New Roman"/>
                <w:w w:val="95"/>
                <w:sz w:val="21"/>
              </w:rPr>
              <w:t>20.</w:t>
            </w:r>
            <w:r>
              <w:rPr>
                <w:spacing w:val="-3"/>
                <w:w w:val="95"/>
                <w:position w:val="1"/>
                <w:sz w:val="21"/>
              </w:rPr>
              <w:t>建立安全监管执法责任倒查机制，严格执行</w:t>
            </w:r>
            <w:r>
              <w:rPr>
                <w:rFonts w:ascii="Times New Roman" w:hAnsi="Times New Roman" w:eastAsia="Times New Roman"/>
                <w:w w:val="95"/>
                <w:sz w:val="21"/>
              </w:rPr>
              <w:t>“</w:t>
            </w:r>
            <w:r>
              <w:rPr>
                <w:spacing w:val="-6"/>
                <w:w w:val="95"/>
                <w:position w:val="1"/>
                <w:sz w:val="21"/>
              </w:rPr>
              <w:t>谁检查、谁签名、谁负责</w:t>
            </w:r>
            <w:r>
              <w:rPr>
                <w:rFonts w:ascii="Times New Roman" w:hAnsi="Times New Roman" w:eastAsia="Times New Roman"/>
                <w:spacing w:val="-10"/>
                <w:w w:val="95"/>
                <w:sz w:val="21"/>
              </w:rPr>
              <w:t>”</w:t>
            </w:r>
            <w:r>
              <w:rPr>
                <w:spacing w:val="-3"/>
                <w:w w:val="95"/>
                <w:position w:val="1"/>
                <w:sz w:val="21"/>
              </w:rPr>
              <w:t>，对明明有问题却</w:t>
            </w:r>
            <w:r>
              <w:rPr>
                <w:spacing w:val="-6"/>
                <w:sz w:val="21"/>
              </w:rPr>
              <w:t>查不出或查出后跟踪整改不到位导致发生事故的，严肃追责问责，构成犯罪的移送司法机关</w:t>
            </w:r>
          </w:p>
          <w:p>
            <w:pPr>
              <w:pStyle w:val="6"/>
              <w:spacing w:line="221" w:lineRule="exact"/>
              <w:ind w:left="108"/>
              <w:rPr>
                <w:sz w:val="21"/>
              </w:rPr>
            </w:pPr>
            <w:r>
              <w:rPr>
                <w:sz w:val="21"/>
              </w:rPr>
              <w:t>追究刑事责任</w:t>
            </w:r>
          </w:p>
        </w:tc>
        <w:tc>
          <w:tcPr>
            <w:tcW w:w="1632" w:type="dxa"/>
            <w:vMerge w:val="continue"/>
            <w:tcBorders>
              <w:top w:val="nil"/>
            </w:tcBorders>
          </w:tcPr>
          <w:p>
            <w:pPr>
              <w:rPr>
                <w:sz w:val="2"/>
                <w:szCs w:val="2"/>
              </w:rPr>
            </w:pPr>
          </w:p>
        </w:tc>
      </w:tr>
    </w:tbl>
    <w:p>
      <w:pPr>
        <w:pStyle w:val="3"/>
        <w:rPr>
          <w:rFonts w:ascii="Times New Roman"/>
          <w:sz w:val="20"/>
        </w:rPr>
      </w:pPr>
    </w:p>
    <w:p>
      <w:pPr>
        <w:pStyle w:val="3"/>
        <w:spacing w:before="10"/>
        <w:rPr>
          <w:rFonts w:ascii="Times New Roman"/>
          <w:sz w:val="21"/>
        </w:rPr>
      </w:pPr>
    </w:p>
    <w:p>
      <w:pPr>
        <w:spacing w:after="0"/>
        <w:rPr>
          <w:sz w:val="2"/>
          <w:szCs w:val="2"/>
        </w:rPr>
        <w:sectPr>
          <w:pgSz w:w="16840" w:h="11910" w:orient="landscape"/>
          <w:pgMar w:top="1100" w:right="1220" w:bottom="1620" w:left="1360" w:header="0" w:footer="1432" w:gutter="0"/>
        </w:sectPr>
      </w:pPr>
    </w:p>
    <w:p>
      <w:pPr>
        <w:pStyle w:val="3"/>
        <w:rPr>
          <w:rFonts w:ascii="Times New Roman"/>
          <w:sz w:val="20"/>
        </w:rPr>
      </w:pPr>
    </w:p>
    <w:p>
      <w:pPr>
        <w:pStyle w:val="3"/>
        <w:spacing w:before="10"/>
        <w:rPr>
          <w:rFonts w:ascii="Times New Roman"/>
          <w:sz w:val="21"/>
        </w:rPr>
      </w:pPr>
    </w:p>
    <w:tbl>
      <w:tblPr>
        <w:tblStyle w:val="4"/>
        <w:tblW w:w="0" w:type="auto"/>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95"/>
        <w:gridCol w:w="2034"/>
        <w:gridCol w:w="8573"/>
        <w:gridCol w:w="16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restart"/>
          </w:tcPr>
          <w:p>
            <w:pPr>
              <w:pStyle w:val="6"/>
              <w:rPr>
                <w:rFonts w:ascii="Times New Roman"/>
                <w:sz w:val="20"/>
              </w:rPr>
            </w:pPr>
          </w:p>
        </w:tc>
        <w:tc>
          <w:tcPr>
            <w:tcW w:w="2034" w:type="dxa"/>
            <w:vMerge w:val="restart"/>
          </w:tcPr>
          <w:p>
            <w:pPr>
              <w:pStyle w:val="6"/>
              <w:rPr>
                <w:rFonts w:ascii="Times New Roman"/>
                <w:sz w:val="20"/>
              </w:rPr>
            </w:pPr>
          </w:p>
        </w:tc>
        <w:tc>
          <w:tcPr>
            <w:tcW w:w="8573" w:type="dxa"/>
          </w:tcPr>
          <w:p>
            <w:pPr>
              <w:pStyle w:val="6"/>
              <w:spacing w:line="259" w:lineRule="exact"/>
              <w:ind w:left="108"/>
              <w:rPr>
                <w:sz w:val="21"/>
              </w:rPr>
            </w:pPr>
            <w:r>
              <w:rPr>
                <w:rFonts w:ascii="Times New Roman" w:hAnsi="Times New Roman" w:eastAsia="Times New Roman"/>
                <w:sz w:val="21"/>
              </w:rPr>
              <w:t>21.</w:t>
            </w:r>
            <w:r>
              <w:rPr>
                <w:position w:val="1"/>
                <w:sz w:val="21"/>
              </w:rPr>
              <w:t>积极运用</w:t>
            </w:r>
            <w:r>
              <w:rPr>
                <w:rFonts w:ascii="Times New Roman" w:hAnsi="Times New Roman" w:eastAsia="Times New Roman"/>
                <w:sz w:val="21"/>
              </w:rPr>
              <w:t>“</w:t>
            </w:r>
            <w:r>
              <w:rPr>
                <w:position w:val="1"/>
                <w:sz w:val="21"/>
              </w:rPr>
              <w:t>四不两直</w:t>
            </w:r>
            <w:r>
              <w:rPr>
                <w:rFonts w:ascii="Times New Roman" w:hAnsi="Times New Roman" w:eastAsia="Times New Roman"/>
                <w:sz w:val="21"/>
              </w:rPr>
              <w:t>”</w:t>
            </w:r>
            <w:r>
              <w:rPr>
                <w:position w:val="1"/>
                <w:sz w:val="21"/>
              </w:rPr>
              <w:t>、明查暗访、异地执法、交叉互检等工作方式不断提高执法质量，避</w:t>
            </w:r>
          </w:p>
          <w:p>
            <w:pPr>
              <w:pStyle w:val="6"/>
              <w:spacing w:line="241" w:lineRule="exact"/>
              <w:ind w:left="108"/>
              <w:rPr>
                <w:sz w:val="21"/>
              </w:rPr>
            </w:pPr>
            <w:r>
              <w:rPr>
                <w:sz w:val="21"/>
              </w:rPr>
              <w:t>免走形式、走过场</w:t>
            </w:r>
          </w:p>
        </w:tc>
        <w:tc>
          <w:tcPr>
            <w:tcW w:w="1632" w:type="dxa"/>
            <w:vMerge w:val="restart"/>
          </w:tcPr>
          <w:p>
            <w:pPr>
              <w:pStyle w:val="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60" w:lineRule="exact"/>
              <w:ind w:left="108"/>
              <w:rPr>
                <w:sz w:val="21"/>
              </w:rPr>
            </w:pPr>
            <w:r>
              <w:rPr>
                <w:rFonts w:ascii="Times New Roman" w:hAnsi="Times New Roman" w:eastAsia="Times New Roman"/>
                <w:sz w:val="21"/>
              </w:rPr>
              <w:t>22.</w:t>
            </w:r>
            <w:r>
              <w:rPr>
                <w:position w:val="1"/>
                <w:sz w:val="21"/>
              </w:rPr>
              <w:t>依托</w:t>
            </w:r>
            <w:r>
              <w:rPr>
                <w:rFonts w:ascii="Times New Roman" w:hAnsi="Times New Roman" w:eastAsia="Times New Roman"/>
                <w:sz w:val="21"/>
              </w:rPr>
              <w:t>“</w:t>
            </w:r>
            <w:r>
              <w:rPr>
                <w:position w:val="1"/>
                <w:sz w:val="21"/>
              </w:rPr>
              <w:t>互联网</w:t>
            </w:r>
            <w:r>
              <w:rPr>
                <w:rFonts w:ascii="Times New Roman" w:hAnsi="Times New Roman" w:eastAsia="Times New Roman"/>
                <w:sz w:val="21"/>
              </w:rPr>
              <w:t>+</w:t>
            </w:r>
            <w:r>
              <w:rPr>
                <w:position w:val="1"/>
                <w:sz w:val="21"/>
              </w:rPr>
              <w:t>监管</w:t>
            </w:r>
            <w:r>
              <w:rPr>
                <w:rFonts w:ascii="Times New Roman" w:hAnsi="Times New Roman" w:eastAsia="Times New Roman"/>
                <w:sz w:val="21"/>
              </w:rPr>
              <w:t>”</w:t>
            </w:r>
            <w:r>
              <w:rPr>
                <w:position w:val="1"/>
                <w:sz w:val="21"/>
              </w:rPr>
              <w:t>等信息手段加强部门间互联互通，对于大数据排查发现的屡查屡犯的</w:t>
            </w:r>
          </w:p>
          <w:p>
            <w:pPr>
              <w:pStyle w:val="6"/>
              <w:spacing w:line="240" w:lineRule="exact"/>
              <w:ind w:left="108"/>
              <w:rPr>
                <w:sz w:val="21"/>
              </w:rPr>
            </w:pPr>
            <w:r>
              <w:rPr>
                <w:sz w:val="21"/>
              </w:rPr>
              <w:t>企业负责人和重点企业实施精准有效监管</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8" w:lineRule="exact"/>
              <w:ind w:left="108"/>
              <w:rPr>
                <w:sz w:val="21"/>
              </w:rPr>
            </w:pPr>
            <w:r>
              <w:rPr>
                <w:rFonts w:ascii="Times New Roman" w:eastAsia="Times New Roman"/>
                <w:sz w:val="21"/>
              </w:rPr>
              <w:t>23.</w:t>
            </w:r>
            <w:r>
              <w:rPr>
                <w:position w:val="1"/>
                <w:sz w:val="21"/>
              </w:rPr>
              <w:t>对于涉及多部门、区域性违法违规行为的，强化信息通报共享和部门协调联动，开展跨部</w:t>
            </w:r>
          </w:p>
          <w:p>
            <w:pPr>
              <w:pStyle w:val="6"/>
              <w:spacing w:line="242" w:lineRule="exact"/>
              <w:ind w:left="108"/>
              <w:rPr>
                <w:sz w:val="21"/>
              </w:rPr>
            </w:pPr>
            <w:r>
              <w:rPr>
                <w:sz w:val="21"/>
              </w:rPr>
              <w:t>门联合执法检查、联合信用监管</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8" w:lineRule="exact"/>
              <w:ind w:left="108"/>
              <w:rPr>
                <w:sz w:val="21"/>
              </w:rPr>
            </w:pPr>
            <w:r>
              <w:rPr>
                <w:rFonts w:ascii="Times New Roman" w:eastAsia="Times New Roman"/>
                <w:sz w:val="21"/>
              </w:rPr>
              <w:t>24.</w:t>
            </w:r>
            <w:r>
              <w:rPr>
                <w:position w:val="1"/>
                <w:sz w:val="21"/>
              </w:rPr>
              <w:t>组织专家对重点地区、重点企业帮扶指导，积极服务企业对电焊等特种作业人员的排查整</w:t>
            </w:r>
          </w:p>
          <w:p>
            <w:pPr>
              <w:pStyle w:val="6"/>
              <w:spacing w:line="242" w:lineRule="exact"/>
              <w:ind w:left="108"/>
              <w:rPr>
                <w:sz w:val="21"/>
              </w:rPr>
            </w:pPr>
            <w:r>
              <w:rPr>
                <w:sz w:val="21"/>
              </w:rPr>
              <w:t>治工作，及时提供特种作业人员培训和考核发证服务</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tcPr>
          <w:p>
            <w:pPr>
              <w:pStyle w:val="6"/>
              <w:spacing w:before="91"/>
              <w:ind w:left="387"/>
              <w:rPr>
                <w:rFonts w:hint="eastAsia" w:ascii="方正黑体_GBK" w:eastAsia="方正黑体_GBK"/>
                <w:sz w:val="21"/>
              </w:rPr>
            </w:pPr>
            <w:r>
              <w:rPr>
                <w:rFonts w:hint="eastAsia" w:ascii="方正黑体_GBK" w:eastAsia="方正黑体_GBK"/>
                <w:sz w:val="21"/>
              </w:rPr>
              <w:t>全面总结提高</w:t>
            </w:r>
          </w:p>
        </w:tc>
        <w:tc>
          <w:tcPr>
            <w:tcW w:w="8573" w:type="dxa"/>
          </w:tcPr>
          <w:p>
            <w:pPr>
              <w:pStyle w:val="6"/>
              <w:spacing w:line="259" w:lineRule="exact"/>
              <w:ind w:left="108"/>
              <w:rPr>
                <w:sz w:val="21"/>
              </w:rPr>
            </w:pPr>
            <w:r>
              <w:rPr>
                <w:rFonts w:ascii="Times New Roman" w:eastAsia="Times New Roman"/>
                <w:sz w:val="21"/>
              </w:rPr>
              <w:t>25.</w:t>
            </w:r>
            <w:r>
              <w:rPr>
                <w:position w:val="1"/>
                <w:sz w:val="21"/>
              </w:rPr>
              <w:t>政府（管委会）全面总结本地专项行动取得的成效，系统梳理好经验、好做法，积极推动</w:t>
            </w:r>
          </w:p>
          <w:p>
            <w:pPr>
              <w:pStyle w:val="6"/>
              <w:spacing w:line="241" w:lineRule="exact"/>
              <w:ind w:left="108"/>
              <w:rPr>
                <w:sz w:val="21"/>
              </w:rPr>
            </w:pPr>
            <w:r>
              <w:rPr>
                <w:sz w:val="21"/>
              </w:rPr>
              <w:t>互学互鉴，不断完善安全生产制度措施，健全完善长效工作机制</w:t>
            </w:r>
          </w:p>
        </w:tc>
        <w:tc>
          <w:tcPr>
            <w:tcW w:w="1632" w:type="dxa"/>
          </w:tcPr>
          <w:p>
            <w:pPr>
              <w:pStyle w:val="6"/>
              <w:spacing w:before="88"/>
              <w:ind w:left="315" w:right="306"/>
              <w:jc w:val="center"/>
              <w:rPr>
                <w:sz w:val="21"/>
              </w:rPr>
            </w:pPr>
            <w:r>
              <w:rPr>
                <w:rFonts w:ascii="Times New Roman" w:eastAsia="Times New Roman"/>
                <w:sz w:val="21"/>
              </w:rPr>
              <w:t>12</w:t>
            </w:r>
            <w:r>
              <w:rPr>
                <w:position w:val="1"/>
                <w:sz w:val="21"/>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restart"/>
          </w:tcPr>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tabs>
                <w:tab w:val="left" w:pos="1054"/>
              </w:tabs>
              <w:spacing w:before="172"/>
              <w:ind w:left="529"/>
              <w:rPr>
                <w:rFonts w:hint="eastAsia" w:ascii="方正黑体_GBK" w:eastAsia="方正黑体_GBK"/>
                <w:sz w:val="21"/>
              </w:rPr>
            </w:pPr>
            <w:r>
              <w:rPr>
                <w:rFonts w:hint="eastAsia" w:ascii="方正黑体_GBK" w:eastAsia="方正黑体_GBK"/>
                <w:sz w:val="21"/>
              </w:rPr>
              <w:t>企</w:t>
            </w:r>
            <w:r>
              <w:rPr>
                <w:rFonts w:hint="eastAsia" w:ascii="方正黑体_GBK" w:eastAsia="方正黑体_GBK"/>
                <w:sz w:val="21"/>
              </w:rPr>
              <w:tab/>
            </w:r>
            <w:r>
              <w:rPr>
                <w:rFonts w:hint="eastAsia" w:ascii="方正黑体_GBK" w:eastAsia="方正黑体_GBK"/>
                <w:sz w:val="21"/>
              </w:rPr>
              <w:t>业</w:t>
            </w:r>
          </w:p>
        </w:tc>
        <w:tc>
          <w:tcPr>
            <w:tcW w:w="2034" w:type="dxa"/>
            <w:vMerge w:val="restart"/>
          </w:tcPr>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spacing w:before="172"/>
              <w:ind w:left="387"/>
              <w:rPr>
                <w:rFonts w:hint="eastAsia" w:ascii="方正黑体_GBK" w:eastAsia="方正黑体_GBK"/>
                <w:sz w:val="21"/>
              </w:rPr>
            </w:pPr>
            <w:r>
              <w:rPr>
                <w:rFonts w:hint="eastAsia" w:ascii="方正黑体_GBK" w:eastAsia="方正黑体_GBK"/>
                <w:sz w:val="21"/>
              </w:rPr>
              <w:t>认真自查自改</w:t>
            </w:r>
          </w:p>
        </w:tc>
        <w:tc>
          <w:tcPr>
            <w:tcW w:w="8573" w:type="dxa"/>
          </w:tcPr>
          <w:p>
            <w:pPr>
              <w:pStyle w:val="6"/>
              <w:spacing w:line="259" w:lineRule="exact"/>
              <w:ind w:left="108"/>
              <w:rPr>
                <w:sz w:val="21"/>
              </w:rPr>
            </w:pPr>
            <w:r>
              <w:rPr>
                <w:rFonts w:ascii="Times New Roman" w:eastAsia="Times New Roman"/>
                <w:sz w:val="21"/>
              </w:rPr>
              <w:t>1.</w:t>
            </w:r>
            <w:r>
              <w:rPr>
                <w:position w:val="1"/>
                <w:sz w:val="21"/>
              </w:rPr>
              <w:t>主要负责人组织企业全员集体学习《云南省生产经营单位安全生产主体责任规定》《昆明</w:t>
            </w:r>
          </w:p>
          <w:p>
            <w:pPr>
              <w:pStyle w:val="6"/>
              <w:spacing w:line="241" w:lineRule="exact"/>
              <w:ind w:left="108"/>
              <w:rPr>
                <w:sz w:val="21"/>
              </w:rPr>
            </w:pPr>
            <w:r>
              <w:rPr>
                <w:sz w:val="21"/>
              </w:rPr>
              <w:t>市安全生产条例》等</w:t>
            </w:r>
          </w:p>
        </w:tc>
        <w:tc>
          <w:tcPr>
            <w:tcW w:w="1632" w:type="dxa"/>
            <w:vMerge w:val="restart"/>
          </w:tcPr>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rPr>
                <w:rFonts w:ascii="Times New Roman"/>
                <w:sz w:val="28"/>
              </w:rPr>
            </w:pPr>
          </w:p>
          <w:p>
            <w:pPr>
              <w:pStyle w:val="6"/>
              <w:spacing w:before="167"/>
              <w:ind w:left="369"/>
              <w:rPr>
                <w:sz w:val="21"/>
              </w:rPr>
            </w:pPr>
            <w:r>
              <w:rPr>
                <w:rFonts w:ascii="Times New Roman" w:eastAsia="Times New Roman"/>
                <w:sz w:val="21"/>
              </w:rPr>
              <w:t>6</w:t>
            </w:r>
            <w:r>
              <w:rPr>
                <w:position w:val="1"/>
                <w:sz w:val="21"/>
              </w:rPr>
              <w:t>月</w:t>
            </w:r>
            <w:r>
              <w:rPr>
                <w:rFonts w:ascii="Times New Roman" w:eastAsia="Times New Roman"/>
                <w:sz w:val="21"/>
              </w:rPr>
              <w:t>30</w:t>
            </w:r>
            <w:r>
              <w:rPr>
                <w:position w:val="1"/>
                <w:sz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before="16" w:line="184" w:lineRule="auto"/>
              <w:ind w:left="108" w:right="92"/>
              <w:rPr>
                <w:sz w:val="21"/>
              </w:rPr>
            </w:pPr>
            <w:r>
              <w:rPr>
                <w:rFonts w:ascii="Times New Roman" w:hAnsi="Times New Roman" w:eastAsia="Times New Roman"/>
                <w:sz w:val="21"/>
              </w:rPr>
              <w:t>2.</w:t>
            </w:r>
            <w:r>
              <w:rPr>
                <w:spacing w:val="-7"/>
                <w:position w:val="1"/>
                <w:sz w:val="21"/>
              </w:rPr>
              <w:t>主要负责人对落实《规定》开展</w:t>
            </w:r>
            <w:r>
              <w:rPr>
                <w:rFonts w:ascii="Times New Roman" w:hAnsi="Times New Roman" w:eastAsia="Times New Roman"/>
                <w:sz w:val="21"/>
              </w:rPr>
              <w:t>1</w:t>
            </w:r>
            <w:r>
              <w:rPr>
                <w:position w:val="1"/>
                <w:sz w:val="21"/>
              </w:rPr>
              <w:t>次以</w:t>
            </w:r>
            <w:r>
              <w:rPr>
                <w:rFonts w:ascii="Times New Roman" w:hAnsi="Times New Roman" w:eastAsia="Times New Roman"/>
                <w:sz w:val="21"/>
              </w:rPr>
              <w:t>“1</w:t>
            </w:r>
            <w:r>
              <w:rPr>
                <w:spacing w:val="-3"/>
                <w:position w:val="1"/>
                <w:sz w:val="21"/>
              </w:rPr>
              <w:t>个是否建立、</w:t>
            </w:r>
            <w:r>
              <w:rPr>
                <w:rFonts w:ascii="Times New Roman" w:hAnsi="Times New Roman" w:eastAsia="Times New Roman"/>
                <w:sz w:val="21"/>
              </w:rPr>
              <w:t>4</w:t>
            </w:r>
            <w:r>
              <w:rPr>
                <w:position w:val="1"/>
                <w:sz w:val="21"/>
              </w:rPr>
              <w:t>个是否落实</w:t>
            </w:r>
            <w:r>
              <w:rPr>
                <w:rFonts w:ascii="Times New Roman" w:hAnsi="Times New Roman" w:eastAsia="Times New Roman"/>
                <w:spacing w:val="-9"/>
                <w:sz w:val="21"/>
              </w:rPr>
              <w:t>”</w:t>
            </w:r>
            <w:r>
              <w:rPr>
                <w:spacing w:val="-9"/>
                <w:position w:val="1"/>
                <w:sz w:val="21"/>
              </w:rPr>
              <w:t>（</w:t>
            </w:r>
            <w:r>
              <w:rPr>
                <w:position w:val="1"/>
                <w:sz w:val="21"/>
              </w:rPr>
              <w:t>是否建立全员安全</w:t>
            </w:r>
            <w:r>
              <w:rPr>
                <w:spacing w:val="-5"/>
                <w:sz w:val="21"/>
              </w:rPr>
              <w:t>生产责任制、是否落实安全投入保障责任、是否落实设备设施安全管理责任、是否落实危险</w:t>
            </w:r>
          </w:p>
          <w:p>
            <w:pPr>
              <w:pStyle w:val="6"/>
              <w:spacing w:line="224" w:lineRule="exact"/>
              <w:ind w:left="108" w:right="-15"/>
              <w:rPr>
                <w:sz w:val="21"/>
              </w:rPr>
            </w:pPr>
            <w:r>
              <w:rPr>
                <w:spacing w:val="-9"/>
                <w:sz w:val="21"/>
              </w:rPr>
              <w:t>因素管理责任、是否落实生产安全事故应急管理责任</w:t>
            </w:r>
            <w:r>
              <w:rPr>
                <w:spacing w:val="-73"/>
                <w:sz w:val="21"/>
              </w:rPr>
              <w:t>）</w:t>
            </w:r>
            <w:r>
              <w:rPr>
                <w:sz w:val="21"/>
              </w:rPr>
              <w:t>为重点的责任体系建设情况自查自改。</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40" w:lineRule="exact"/>
              <w:ind w:left="108"/>
              <w:rPr>
                <w:sz w:val="21"/>
              </w:rPr>
            </w:pPr>
            <w:r>
              <w:rPr>
                <w:rFonts w:ascii="Times New Roman" w:eastAsia="Times New Roman"/>
                <w:sz w:val="21"/>
              </w:rPr>
              <w:t>3.</w:t>
            </w:r>
            <w:r>
              <w:rPr>
                <w:position w:val="1"/>
                <w:sz w:val="21"/>
              </w:rPr>
              <w:t>主要负责人根据《规定》明确的事项，按照轻重缓急，逐一抓好整改提升</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8" w:lineRule="exact"/>
              <w:ind w:left="108"/>
              <w:rPr>
                <w:sz w:val="21"/>
              </w:rPr>
            </w:pPr>
            <w:r>
              <w:rPr>
                <w:rFonts w:ascii="Times New Roman" w:eastAsia="Times New Roman"/>
                <w:sz w:val="21"/>
              </w:rPr>
              <w:t>4.</w:t>
            </w:r>
            <w:r>
              <w:rPr>
                <w:position w:val="1"/>
                <w:sz w:val="21"/>
              </w:rPr>
              <w:t>主要负责人学习研究本行业领域重大事故隐患判定标准或重点检查事项，组织研究部署开</w:t>
            </w:r>
          </w:p>
          <w:p>
            <w:pPr>
              <w:pStyle w:val="6"/>
              <w:spacing w:line="242" w:lineRule="exact"/>
              <w:ind w:left="108"/>
              <w:rPr>
                <w:sz w:val="21"/>
              </w:rPr>
            </w:pPr>
            <w:r>
              <w:rPr>
                <w:sz w:val="21"/>
              </w:rPr>
              <w:t>展对标对表自查自改</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8" w:lineRule="exact"/>
              <w:ind w:left="108"/>
              <w:rPr>
                <w:sz w:val="21"/>
              </w:rPr>
            </w:pPr>
            <w:r>
              <w:rPr>
                <w:rFonts w:ascii="Times New Roman" w:eastAsia="Times New Roman"/>
                <w:sz w:val="21"/>
              </w:rPr>
              <w:t>5.</w:t>
            </w:r>
            <w:r>
              <w:rPr>
                <w:position w:val="1"/>
                <w:sz w:val="21"/>
              </w:rPr>
              <w:t>主要负责人组织建立企业重大事故隐患台账清单，实行闭环管理，能立即整改的，要迅速</w:t>
            </w:r>
          </w:p>
          <w:p>
            <w:pPr>
              <w:pStyle w:val="6"/>
              <w:spacing w:line="242" w:lineRule="exact"/>
              <w:ind w:left="108"/>
              <w:rPr>
                <w:sz w:val="21"/>
              </w:rPr>
            </w:pPr>
            <w:r>
              <w:rPr>
                <w:sz w:val="21"/>
              </w:rPr>
              <w:t>整改，需要一定时间整改的，要明确责任人、措施、资金、期限和应急预案</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tabs>
                <w:tab w:val="left" w:pos="1944"/>
              </w:tabs>
              <w:spacing w:line="240" w:lineRule="exact"/>
              <w:ind w:left="108"/>
              <w:rPr>
                <w:sz w:val="21"/>
              </w:rPr>
            </w:pPr>
            <w:r>
              <w:rPr>
                <w:rFonts w:ascii="Times New Roman" w:eastAsia="Times New Roman"/>
                <w:sz w:val="21"/>
              </w:rPr>
              <w:t>6.</w:t>
            </w:r>
            <w:r>
              <w:rPr>
                <w:position w:val="1"/>
                <w:sz w:val="21"/>
              </w:rPr>
              <w:t>按分级属地原则</w:t>
            </w:r>
            <w:r>
              <w:rPr>
                <w:position w:val="1"/>
                <w:sz w:val="21"/>
              </w:rPr>
              <w:tab/>
            </w:r>
            <w:r>
              <w:rPr>
                <w:position w:val="1"/>
                <w:sz w:val="21"/>
              </w:rPr>
              <w:t>由企业向负有安全监管职责的有关部门报告重大隐患</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tabs>
                <w:tab w:val="left" w:pos="5099"/>
              </w:tabs>
              <w:spacing w:line="260" w:lineRule="exact"/>
              <w:ind w:left="108"/>
              <w:rPr>
                <w:sz w:val="21"/>
              </w:rPr>
            </w:pPr>
            <w:r>
              <w:rPr>
                <w:rFonts w:ascii="Times New Roman" w:eastAsia="Times New Roman"/>
                <w:sz w:val="21"/>
              </w:rPr>
              <w:t>7.</w:t>
            </w:r>
            <w:r>
              <w:rPr>
                <w:position w:val="1"/>
                <w:sz w:val="21"/>
              </w:rPr>
              <w:t>及时汲取专项行动期间国内外发生的典型事故教训</w:t>
            </w:r>
            <w:r>
              <w:rPr>
                <w:position w:val="1"/>
                <w:sz w:val="21"/>
              </w:rPr>
              <w:tab/>
            </w:r>
            <w:r>
              <w:rPr>
                <w:position w:val="1"/>
                <w:sz w:val="21"/>
              </w:rPr>
              <w:t>企业主要负责人迅速组织排查整治本</w:t>
            </w:r>
          </w:p>
          <w:p>
            <w:pPr>
              <w:pStyle w:val="6"/>
              <w:spacing w:line="240" w:lineRule="exact"/>
              <w:ind w:left="108"/>
              <w:rPr>
                <w:sz w:val="21"/>
              </w:rPr>
            </w:pPr>
            <w:r>
              <w:rPr>
                <w:sz w:val="21"/>
              </w:rPr>
              <w:t>企业同类事故隐患</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tabs>
                <w:tab w:val="left" w:pos="1737"/>
              </w:tabs>
              <w:spacing w:before="14" w:line="184" w:lineRule="auto"/>
              <w:ind w:left="108" w:right="93"/>
              <w:rPr>
                <w:sz w:val="21"/>
              </w:rPr>
            </w:pPr>
            <w:r>
              <w:rPr>
                <w:rFonts w:ascii="Times New Roman" w:eastAsia="Times New Roman"/>
                <w:sz w:val="21"/>
              </w:rPr>
              <w:t>8.</w:t>
            </w:r>
            <w:r>
              <w:rPr>
                <w:position w:val="1"/>
                <w:sz w:val="21"/>
              </w:rPr>
              <w:t>专项行动期间</w:t>
            </w:r>
            <w:r>
              <w:rPr>
                <w:position w:val="1"/>
                <w:sz w:val="21"/>
              </w:rPr>
              <w:tab/>
            </w:r>
            <w:r>
              <w:rPr>
                <w:position w:val="1"/>
                <w:sz w:val="21"/>
              </w:rPr>
              <w:t>主要负责人每季度带队对本单位重大事故隐患排查整治情况至少开展</w:t>
            </w:r>
            <w:r>
              <w:rPr>
                <w:rFonts w:ascii="Times New Roman" w:eastAsia="Times New Roman"/>
                <w:sz w:val="21"/>
              </w:rPr>
              <w:t>1</w:t>
            </w:r>
            <w:r>
              <w:rPr>
                <w:position w:val="1"/>
                <w:sz w:val="21"/>
              </w:rPr>
              <w:t>次</w:t>
            </w:r>
            <w:r>
              <w:rPr>
                <w:w w:val="95"/>
                <w:sz w:val="21"/>
              </w:rPr>
              <w:t>检</w:t>
            </w:r>
            <w:r>
              <w:rPr>
                <w:spacing w:val="-6"/>
                <w:w w:val="95"/>
                <w:sz w:val="21"/>
              </w:rPr>
              <w:t>查</w:t>
            </w:r>
            <w:r>
              <w:rPr>
                <w:w w:val="95"/>
                <w:sz w:val="21"/>
              </w:rPr>
              <w:t>（煤矿</w:t>
            </w:r>
            <w:r>
              <w:rPr>
                <w:spacing w:val="-3"/>
                <w:w w:val="95"/>
                <w:sz w:val="21"/>
              </w:rPr>
              <w:t>、</w:t>
            </w:r>
            <w:r>
              <w:rPr>
                <w:w w:val="95"/>
                <w:sz w:val="21"/>
              </w:rPr>
              <w:t>非煤矿山</w:t>
            </w:r>
            <w:r>
              <w:rPr>
                <w:spacing w:val="-5"/>
                <w:w w:val="95"/>
                <w:sz w:val="21"/>
              </w:rPr>
              <w:t>、</w:t>
            </w:r>
            <w:r>
              <w:rPr>
                <w:w w:val="95"/>
                <w:sz w:val="21"/>
              </w:rPr>
              <w:t>危险化学品</w:t>
            </w:r>
            <w:r>
              <w:rPr>
                <w:spacing w:val="-5"/>
                <w:w w:val="95"/>
                <w:sz w:val="21"/>
              </w:rPr>
              <w:t>、</w:t>
            </w:r>
            <w:r>
              <w:rPr>
                <w:w w:val="95"/>
                <w:sz w:val="21"/>
              </w:rPr>
              <w:t>烟花爆竹</w:t>
            </w:r>
            <w:r>
              <w:rPr>
                <w:spacing w:val="-5"/>
                <w:w w:val="95"/>
                <w:sz w:val="21"/>
              </w:rPr>
              <w:t>、</w:t>
            </w:r>
            <w:r>
              <w:rPr>
                <w:w w:val="95"/>
                <w:sz w:val="21"/>
              </w:rPr>
              <w:t>交通运输</w:t>
            </w:r>
            <w:r>
              <w:rPr>
                <w:spacing w:val="-5"/>
                <w:w w:val="95"/>
                <w:sz w:val="21"/>
              </w:rPr>
              <w:t>、</w:t>
            </w:r>
            <w:r>
              <w:rPr>
                <w:w w:val="95"/>
                <w:sz w:val="21"/>
              </w:rPr>
              <w:t>建筑施工</w:t>
            </w:r>
            <w:r>
              <w:rPr>
                <w:spacing w:val="-3"/>
                <w:w w:val="95"/>
                <w:sz w:val="21"/>
              </w:rPr>
              <w:t>、</w:t>
            </w:r>
            <w:r>
              <w:rPr>
                <w:w w:val="95"/>
                <w:sz w:val="21"/>
              </w:rPr>
              <w:t>燃气</w:t>
            </w:r>
            <w:r>
              <w:rPr>
                <w:spacing w:val="-5"/>
                <w:w w:val="95"/>
                <w:sz w:val="21"/>
              </w:rPr>
              <w:t>、</w:t>
            </w:r>
            <w:r>
              <w:rPr>
                <w:w w:val="95"/>
                <w:sz w:val="21"/>
              </w:rPr>
              <w:t>民用爆炸物</w:t>
            </w:r>
          </w:p>
          <w:p>
            <w:pPr>
              <w:pStyle w:val="6"/>
              <w:spacing w:line="225" w:lineRule="exact"/>
              <w:ind w:left="108"/>
              <w:rPr>
                <w:sz w:val="21"/>
              </w:rPr>
            </w:pPr>
            <w:r>
              <w:rPr>
                <w:position w:val="1"/>
                <w:sz w:val="21"/>
              </w:rPr>
              <w:t>品、金属冶炼等高危行业领域企业每月至少</w:t>
            </w:r>
            <w:r>
              <w:rPr>
                <w:rFonts w:ascii="Times New Roman" w:eastAsia="Times New Roman"/>
                <w:sz w:val="21"/>
              </w:rPr>
              <w:t>1</w:t>
            </w:r>
            <w:r>
              <w:rPr>
                <w:position w:val="1"/>
                <w:sz w:val="21"/>
              </w:rPr>
              <w:t>次）</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60" w:lineRule="exact"/>
              <w:ind w:left="108" w:right="-15"/>
              <w:rPr>
                <w:sz w:val="21"/>
              </w:rPr>
            </w:pPr>
            <w:r>
              <w:rPr>
                <w:rFonts w:ascii="Times New Roman" w:eastAsia="Times New Roman"/>
                <w:w w:val="95"/>
                <w:sz w:val="21"/>
              </w:rPr>
              <w:t>9.</w:t>
            </w:r>
            <w:r>
              <w:rPr>
                <w:spacing w:val="-11"/>
                <w:w w:val="95"/>
                <w:position w:val="1"/>
                <w:sz w:val="21"/>
              </w:rPr>
              <w:t>根据《规定》第六条至第十一条，企业主要负责人负责建立健全全员安全生产岗位责任制，</w:t>
            </w:r>
          </w:p>
          <w:p>
            <w:pPr>
              <w:pStyle w:val="6"/>
              <w:spacing w:line="240" w:lineRule="exact"/>
              <w:ind w:left="108"/>
              <w:rPr>
                <w:sz w:val="21"/>
              </w:rPr>
            </w:pPr>
            <w:r>
              <w:rPr>
                <w:sz w:val="21"/>
              </w:rPr>
              <w:t>明确从主要负责人到一线从业人员（包括劳务派遣人员、实习生等）的安全生产岗位责任。</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8" w:lineRule="exact"/>
              <w:ind w:left="108"/>
              <w:rPr>
                <w:sz w:val="21"/>
              </w:rPr>
            </w:pPr>
            <w:r>
              <w:rPr>
                <w:rFonts w:ascii="Times New Roman" w:eastAsia="Times New Roman"/>
                <w:sz w:val="21"/>
              </w:rPr>
              <w:t>10.</w:t>
            </w:r>
            <w:r>
              <w:rPr>
                <w:position w:val="1"/>
                <w:sz w:val="21"/>
              </w:rPr>
              <w:t>突出管理团队安全责任落实，企业主要负责人组织制定企业各分管负责人安全生产职责清</w:t>
            </w:r>
          </w:p>
          <w:p>
            <w:pPr>
              <w:pStyle w:val="6"/>
              <w:spacing w:line="242" w:lineRule="exact"/>
              <w:ind w:left="108"/>
              <w:rPr>
                <w:sz w:val="21"/>
              </w:rPr>
            </w:pPr>
            <w:r>
              <w:rPr>
                <w:sz w:val="21"/>
              </w:rPr>
              <w:t>单和本次专项行动工作清单</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40" w:lineRule="exact"/>
              <w:ind w:left="108"/>
              <w:rPr>
                <w:sz w:val="21"/>
              </w:rPr>
            </w:pPr>
            <w:r>
              <w:rPr>
                <w:rFonts w:ascii="Times New Roman" w:eastAsia="Times New Roman"/>
                <w:sz w:val="21"/>
              </w:rPr>
              <w:t>11.</w:t>
            </w:r>
            <w:r>
              <w:rPr>
                <w:position w:val="1"/>
                <w:sz w:val="21"/>
              </w:rPr>
              <w:t>按规定设置安全生产管理机构或者配备专兼职安全生产管理人员</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38" w:lineRule="exact"/>
              <w:ind w:left="108"/>
              <w:rPr>
                <w:sz w:val="21"/>
              </w:rPr>
            </w:pPr>
            <w:r>
              <w:rPr>
                <w:rFonts w:ascii="Times New Roman" w:eastAsia="Times New Roman"/>
                <w:sz w:val="21"/>
              </w:rPr>
              <w:t>12.</w:t>
            </w:r>
            <w:r>
              <w:rPr>
                <w:position w:val="1"/>
                <w:sz w:val="21"/>
              </w:rPr>
              <w:t>根据需要聘请行业领域安全生产专家强化技术指导，精准查找重大事故隐患、科学治理，</w:t>
            </w:r>
          </w:p>
        </w:tc>
        <w:tc>
          <w:tcPr>
            <w:tcW w:w="1632" w:type="dxa"/>
            <w:vMerge w:val="continue"/>
            <w:tcBorders>
              <w:top w:val="nil"/>
            </w:tcBorders>
          </w:tcPr>
          <w:p>
            <w:pPr>
              <w:rPr>
                <w:sz w:val="2"/>
                <w:szCs w:val="2"/>
              </w:rPr>
            </w:pPr>
          </w:p>
        </w:tc>
      </w:tr>
    </w:tbl>
    <w:p>
      <w:pPr>
        <w:spacing w:after="0"/>
        <w:rPr>
          <w:sz w:val="2"/>
          <w:szCs w:val="2"/>
        </w:rPr>
        <w:sectPr>
          <w:pgSz w:w="16840" w:h="11910" w:orient="landscape"/>
          <w:pgMar w:top="1100" w:right="1220" w:bottom="1620" w:left="1360" w:header="0" w:footer="1432" w:gutter="0"/>
        </w:sectPr>
      </w:pPr>
    </w:p>
    <w:p>
      <w:pPr>
        <w:pStyle w:val="3"/>
        <w:rPr>
          <w:rFonts w:ascii="Times New Roman"/>
          <w:sz w:val="20"/>
        </w:rPr>
      </w:pPr>
      <w:bookmarkStart w:id="0" w:name="_GoBack"/>
      <w:bookmarkEnd w:id="0"/>
    </w:p>
    <w:p>
      <w:pPr>
        <w:pStyle w:val="3"/>
        <w:spacing w:before="10"/>
        <w:rPr>
          <w:rFonts w:ascii="Times New Roman"/>
          <w:sz w:val="21"/>
        </w:rPr>
      </w:pPr>
    </w:p>
    <w:tbl>
      <w:tblPr>
        <w:tblStyle w:val="4"/>
        <w:tblW w:w="0" w:type="auto"/>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95"/>
        <w:gridCol w:w="2034"/>
        <w:gridCol w:w="8573"/>
        <w:gridCol w:w="16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795" w:type="dxa"/>
            <w:vMerge w:val="restart"/>
          </w:tcPr>
          <w:p>
            <w:pPr>
              <w:pStyle w:val="6"/>
              <w:rPr>
                <w:rFonts w:ascii="Times New Roman"/>
                <w:sz w:val="20"/>
              </w:rPr>
            </w:pPr>
          </w:p>
        </w:tc>
        <w:tc>
          <w:tcPr>
            <w:tcW w:w="2034" w:type="dxa"/>
            <w:vMerge w:val="restart"/>
          </w:tcPr>
          <w:p>
            <w:pPr>
              <w:pStyle w:val="6"/>
              <w:rPr>
                <w:rFonts w:ascii="Times New Roman"/>
                <w:sz w:val="20"/>
              </w:rPr>
            </w:pPr>
          </w:p>
        </w:tc>
        <w:tc>
          <w:tcPr>
            <w:tcW w:w="8573" w:type="dxa"/>
          </w:tcPr>
          <w:p>
            <w:pPr>
              <w:pStyle w:val="6"/>
              <w:spacing w:line="240" w:lineRule="exact"/>
              <w:ind w:left="108"/>
              <w:rPr>
                <w:sz w:val="21"/>
              </w:rPr>
            </w:pPr>
            <w:r>
              <w:rPr>
                <w:sz w:val="21"/>
              </w:rPr>
              <w:t>提高隐患排查和整改的质量</w:t>
            </w:r>
          </w:p>
        </w:tc>
        <w:tc>
          <w:tcPr>
            <w:tcW w:w="1632" w:type="dxa"/>
            <w:vMerge w:val="restart"/>
          </w:tcPr>
          <w:p>
            <w:pPr>
              <w:pStyle w:val="6"/>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8" w:lineRule="exact"/>
              <w:ind w:left="108"/>
              <w:rPr>
                <w:sz w:val="21"/>
              </w:rPr>
            </w:pPr>
            <w:r>
              <w:rPr>
                <w:rFonts w:ascii="Times New Roman" w:eastAsia="Times New Roman"/>
                <w:sz w:val="21"/>
              </w:rPr>
              <w:t>13.</w:t>
            </w:r>
            <w:r>
              <w:rPr>
                <w:spacing w:val="-7"/>
                <w:position w:val="1"/>
                <w:sz w:val="21"/>
              </w:rPr>
              <w:t>深刻汲取违规动火引发的重特大事故教训，企业主要负责人负责组织开展</w:t>
            </w:r>
            <w:r>
              <w:rPr>
                <w:rFonts w:ascii="Times New Roman" w:eastAsia="Times New Roman"/>
                <w:sz w:val="21"/>
              </w:rPr>
              <w:t>1</w:t>
            </w:r>
            <w:r>
              <w:rPr>
                <w:position w:val="1"/>
                <w:sz w:val="21"/>
              </w:rPr>
              <w:t>次全员安全警</w:t>
            </w:r>
          </w:p>
          <w:p>
            <w:pPr>
              <w:pStyle w:val="6"/>
              <w:spacing w:line="242" w:lineRule="exact"/>
              <w:ind w:left="108"/>
              <w:rPr>
                <w:sz w:val="21"/>
              </w:rPr>
            </w:pPr>
            <w:r>
              <w:rPr>
                <w:sz w:val="21"/>
              </w:rPr>
              <w:t>示教育活动</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9" w:lineRule="exact"/>
              <w:ind w:left="108"/>
              <w:rPr>
                <w:sz w:val="21"/>
              </w:rPr>
            </w:pPr>
            <w:r>
              <w:rPr>
                <w:rFonts w:ascii="Times New Roman" w:eastAsia="Times New Roman"/>
                <w:sz w:val="21"/>
              </w:rPr>
              <w:t>14.</w:t>
            </w:r>
            <w:r>
              <w:rPr>
                <w:position w:val="1"/>
                <w:sz w:val="21"/>
              </w:rPr>
              <w:t>严格履行电气焊等动火作业审批手续，督促作业人员严格遵守消防安全操作规程，明确现</w:t>
            </w:r>
          </w:p>
          <w:p>
            <w:pPr>
              <w:pStyle w:val="6"/>
              <w:spacing w:line="241" w:lineRule="exact"/>
              <w:ind w:left="108"/>
              <w:rPr>
                <w:sz w:val="21"/>
              </w:rPr>
            </w:pPr>
            <w:r>
              <w:rPr>
                <w:sz w:val="21"/>
              </w:rPr>
              <w:t>场监护人员，严格落实消防安全措施检查和作业过程监督</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7"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before="15" w:line="184" w:lineRule="auto"/>
              <w:ind w:left="108" w:right="96"/>
              <w:rPr>
                <w:sz w:val="21"/>
              </w:rPr>
            </w:pPr>
            <w:r>
              <w:rPr>
                <w:rFonts w:ascii="Times New Roman" w:eastAsia="Times New Roman"/>
                <w:w w:val="95"/>
                <w:sz w:val="21"/>
              </w:rPr>
              <w:t>15.</w:t>
            </w:r>
            <w:r>
              <w:rPr>
                <w:spacing w:val="-5"/>
                <w:w w:val="95"/>
                <w:position w:val="1"/>
                <w:sz w:val="21"/>
              </w:rPr>
              <w:t>组织对电气焊设备进行全面安全检查，严禁带病作业，不得使用淘汰或危及安全的电气焊</w:t>
            </w:r>
            <w:r>
              <w:rPr>
                <w:spacing w:val="-5"/>
                <w:sz w:val="21"/>
              </w:rPr>
              <w:t>设备</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before="14" w:line="184" w:lineRule="auto"/>
              <w:ind w:left="108" w:right="97"/>
              <w:rPr>
                <w:sz w:val="21"/>
              </w:rPr>
            </w:pPr>
            <w:r>
              <w:rPr>
                <w:rFonts w:ascii="Times New Roman" w:eastAsia="Times New Roman"/>
                <w:sz w:val="21"/>
              </w:rPr>
              <w:t>16.</w:t>
            </w:r>
            <w:r>
              <w:rPr>
                <w:position w:val="1"/>
                <w:sz w:val="21"/>
              </w:rPr>
              <w:t>举一反三组织对动火等危险作业人员以及易产生重大事故隐患的其他关键岗位人员落实</w:t>
            </w:r>
            <w:r>
              <w:rPr>
                <w:spacing w:val="-5"/>
                <w:position w:val="1"/>
                <w:sz w:val="21"/>
              </w:rPr>
              <w:t>岗位责任情况进行</w:t>
            </w:r>
            <w:r>
              <w:rPr>
                <w:rFonts w:ascii="Times New Roman" w:eastAsia="Times New Roman"/>
                <w:sz w:val="21"/>
              </w:rPr>
              <w:t>1</w:t>
            </w:r>
            <w:r>
              <w:rPr>
                <w:spacing w:val="-6"/>
                <w:position w:val="1"/>
                <w:sz w:val="21"/>
              </w:rPr>
              <w:t>次全面排查，严禁聘用和招请未经安全培训合格、未取得相关证书的人</w:t>
            </w:r>
          </w:p>
          <w:p>
            <w:pPr>
              <w:pStyle w:val="6"/>
              <w:spacing w:line="225" w:lineRule="exact"/>
              <w:ind w:left="108"/>
              <w:rPr>
                <w:sz w:val="21"/>
              </w:rPr>
            </w:pPr>
            <w:r>
              <w:rPr>
                <w:sz w:val="21"/>
              </w:rPr>
              <w:t>员在特种作业岗位上岗作业</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40" w:lineRule="exact"/>
              <w:ind w:left="108"/>
              <w:rPr>
                <w:sz w:val="21"/>
              </w:rPr>
            </w:pPr>
            <w:r>
              <w:rPr>
                <w:rFonts w:ascii="Times New Roman" w:hAnsi="Times New Roman" w:eastAsia="Times New Roman"/>
                <w:sz w:val="21"/>
              </w:rPr>
              <w:t>17.</w:t>
            </w:r>
            <w:r>
              <w:rPr>
                <w:position w:val="1"/>
                <w:sz w:val="21"/>
              </w:rPr>
              <w:t>企业负责人负责，在企业内明确</w:t>
            </w:r>
            <w:r>
              <w:rPr>
                <w:rFonts w:ascii="Times New Roman" w:hAnsi="Times New Roman" w:eastAsia="Times New Roman"/>
                <w:sz w:val="21"/>
              </w:rPr>
              <w:t>“</w:t>
            </w:r>
            <w:r>
              <w:rPr>
                <w:position w:val="1"/>
                <w:sz w:val="21"/>
              </w:rPr>
              <w:t>谁招请无证人员，谁负责任</w:t>
            </w:r>
            <w:r>
              <w:rPr>
                <w:rFonts w:ascii="Times New Roman" w:hAnsi="Times New Roman" w:eastAsia="Times New Roman"/>
                <w:sz w:val="21"/>
              </w:rPr>
              <w:t>”</w:t>
            </w:r>
            <w:r>
              <w:rPr>
                <w:position w:val="1"/>
                <w:sz w:val="21"/>
              </w:rPr>
              <w:t>的管理制度</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before="15" w:line="184" w:lineRule="auto"/>
              <w:ind w:left="108" w:right="94"/>
              <w:jc w:val="both"/>
              <w:rPr>
                <w:sz w:val="21"/>
              </w:rPr>
            </w:pPr>
            <w:r>
              <w:rPr>
                <w:rFonts w:ascii="Times New Roman" w:eastAsia="Times New Roman"/>
                <w:w w:val="95"/>
                <w:sz w:val="21"/>
              </w:rPr>
              <w:t>18.</w:t>
            </w:r>
            <w:r>
              <w:rPr>
                <w:spacing w:val="-2"/>
                <w:w w:val="95"/>
                <w:position w:val="1"/>
                <w:sz w:val="21"/>
              </w:rPr>
              <w:t>企业负责人针对本企业生产经营项目和场所外包外租</w:t>
            </w:r>
            <w:r>
              <w:rPr>
                <w:w w:val="95"/>
                <w:position w:val="1"/>
                <w:sz w:val="21"/>
              </w:rPr>
              <w:t>（</w:t>
            </w:r>
            <w:r>
              <w:rPr>
                <w:spacing w:val="-6"/>
                <w:w w:val="95"/>
                <w:position w:val="1"/>
                <w:sz w:val="21"/>
              </w:rPr>
              <w:t>包括委托、合作等类似方式</w:t>
            </w:r>
            <w:r>
              <w:rPr>
                <w:spacing w:val="-29"/>
                <w:w w:val="95"/>
                <w:position w:val="1"/>
                <w:sz w:val="21"/>
              </w:rPr>
              <w:t>）</w:t>
            </w:r>
            <w:r>
              <w:rPr>
                <w:w w:val="95"/>
                <w:position w:val="1"/>
                <w:sz w:val="21"/>
              </w:rPr>
              <w:t>情况</w:t>
            </w:r>
            <w:r>
              <w:rPr>
                <w:spacing w:val="-9"/>
                <w:position w:val="1"/>
                <w:sz w:val="21"/>
              </w:rPr>
              <w:t>组织开展</w:t>
            </w:r>
            <w:r>
              <w:rPr>
                <w:rFonts w:ascii="Times New Roman" w:eastAsia="Times New Roman"/>
                <w:sz w:val="21"/>
              </w:rPr>
              <w:t>1</w:t>
            </w:r>
            <w:r>
              <w:rPr>
                <w:spacing w:val="-8"/>
                <w:position w:val="1"/>
                <w:sz w:val="21"/>
              </w:rPr>
              <w:t>次全面排查，重点检查是否存在承包承租方不具备安全生产条件或者相应资质以</w:t>
            </w:r>
            <w:r>
              <w:rPr>
                <w:spacing w:val="-3"/>
                <w:sz w:val="21"/>
              </w:rPr>
              <w:t>及双方未签订安全生产协议、安全生产管理职责不清等问题，坚决依法处理不符合法律法规</w:t>
            </w:r>
          </w:p>
          <w:p>
            <w:pPr>
              <w:pStyle w:val="6"/>
              <w:spacing w:line="224" w:lineRule="exact"/>
              <w:ind w:left="108"/>
              <w:rPr>
                <w:sz w:val="21"/>
              </w:rPr>
            </w:pPr>
            <w:r>
              <w:rPr>
                <w:sz w:val="21"/>
              </w:rPr>
              <w:t>规定的问题。</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8" w:lineRule="exact"/>
              <w:ind w:left="108"/>
              <w:rPr>
                <w:sz w:val="21"/>
              </w:rPr>
            </w:pPr>
            <w:r>
              <w:rPr>
                <w:rFonts w:ascii="Times New Roman" w:eastAsia="Times New Roman"/>
                <w:sz w:val="21"/>
              </w:rPr>
              <w:t>19.</w:t>
            </w:r>
            <w:r>
              <w:rPr>
                <w:position w:val="1"/>
                <w:sz w:val="21"/>
              </w:rPr>
              <w:t>将外包外租等生产经营活动纳入本企业安全生产管理体系，加强统一协调、管理，定期进</w:t>
            </w:r>
          </w:p>
          <w:p>
            <w:pPr>
              <w:pStyle w:val="6"/>
              <w:spacing w:line="242" w:lineRule="exact"/>
              <w:ind w:left="108"/>
              <w:rPr>
                <w:sz w:val="21"/>
              </w:rPr>
            </w:pPr>
            <w:r>
              <w:rPr>
                <w:sz w:val="21"/>
              </w:rPr>
              <w:t>行安全检查，发现安全问题及时督促整改</w:t>
            </w:r>
          </w:p>
        </w:tc>
        <w:tc>
          <w:tcPr>
            <w:tcW w:w="163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1795" w:type="dxa"/>
            <w:vMerge w:val="continue"/>
            <w:tcBorders>
              <w:top w:val="nil"/>
            </w:tcBorders>
          </w:tcPr>
          <w:p>
            <w:pPr>
              <w:rPr>
                <w:sz w:val="2"/>
                <w:szCs w:val="2"/>
              </w:rPr>
            </w:pPr>
          </w:p>
        </w:tc>
        <w:tc>
          <w:tcPr>
            <w:tcW w:w="2034" w:type="dxa"/>
            <w:vMerge w:val="continue"/>
            <w:tcBorders>
              <w:top w:val="nil"/>
            </w:tcBorders>
          </w:tcPr>
          <w:p>
            <w:pPr>
              <w:rPr>
                <w:sz w:val="2"/>
                <w:szCs w:val="2"/>
              </w:rPr>
            </w:pPr>
          </w:p>
        </w:tc>
        <w:tc>
          <w:tcPr>
            <w:tcW w:w="8573" w:type="dxa"/>
          </w:tcPr>
          <w:p>
            <w:pPr>
              <w:pStyle w:val="6"/>
              <w:spacing w:line="258" w:lineRule="exact"/>
              <w:ind w:left="108"/>
              <w:rPr>
                <w:sz w:val="21"/>
              </w:rPr>
            </w:pPr>
            <w:r>
              <w:rPr>
                <w:rFonts w:ascii="Times New Roman" w:eastAsia="Times New Roman"/>
                <w:sz w:val="21"/>
              </w:rPr>
              <w:t>20.</w:t>
            </w:r>
            <w:r>
              <w:rPr>
                <w:position w:val="1"/>
                <w:sz w:val="21"/>
              </w:rPr>
              <w:t>企业主要负责人要根据本行业领域事故特点，至少组织开展</w:t>
            </w:r>
            <w:r>
              <w:rPr>
                <w:rFonts w:ascii="Times New Roman" w:eastAsia="Times New Roman"/>
                <w:sz w:val="21"/>
              </w:rPr>
              <w:t>1</w:t>
            </w:r>
            <w:r>
              <w:rPr>
                <w:position w:val="1"/>
                <w:sz w:val="21"/>
              </w:rPr>
              <w:t>次事故应急救援预案演练</w:t>
            </w:r>
          </w:p>
          <w:p>
            <w:pPr>
              <w:pStyle w:val="6"/>
              <w:spacing w:line="260" w:lineRule="exact"/>
              <w:ind w:left="108"/>
              <w:rPr>
                <w:sz w:val="21"/>
              </w:rPr>
            </w:pPr>
            <w:r>
              <w:rPr>
                <w:sz w:val="21"/>
              </w:rPr>
              <w:t>（煤矿、非煤矿山、危险化学品、烟花爆竹、交通运输、建筑施工、燃气、民用爆炸物品、</w:t>
            </w:r>
          </w:p>
          <w:p>
            <w:pPr>
              <w:pStyle w:val="6"/>
              <w:spacing w:line="241" w:lineRule="exact"/>
              <w:ind w:left="108"/>
              <w:rPr>
                <w:sz w:val="21"/>
              </w:rPr>
            </w:pPr>
            <w:r>
              <w:rPr>
                <w:position w:val="1"/>
                <w:sz w:val="21"/>
              </w:rPr>
              <w:t>金属冶炼等高危行业领域企业每半年至少</w:t>
            </w:r>
            <w:r>
              <w:rPr>
                <w:rFonts w:ascii="Times New Roman" w:eastAsia="Times New Roman"/>
                <w:sz w:val="21"/>
              </w:rPr>
              <w:t>1</w:t>
            </w:r>
            <w:r>
              <w:rPr>
                <w:position w:val="1"/>
                <w:sz w:val="21"/>
              </w:rPr>
              <w:t>次）</w:t>
            </w:r>
          </w:p>
        </w:tc>
        <w:tc>
          <w:tcPr>
            <w:tcW w:w="1632" w:type="dxa"/>
            <w:vMerge w:val="continue"/>
            <w:tcBorders>
              <w:top w:val="nil"/>
            </w:tcBorders>
          </w:tcPr>
          <w:p>
            <w:pPr>
              <w:rPr>
                <w:sz w:val="2"/>
                <w:szCs w:val="2"/>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方正仿宋_GBK">
    <w:altName w:val="Arial Unicode MS"/>
    <w:panose1 w:val="03000509000000000000"/>
    <w:charset w:val="86"/>
    <w:family w:val="script"/>
    <w:pitch w:val="default"/>
    <w:sig w:usb0="00000000" w:usb1="00000000" w:usb2="00000000" w:usb3="00000000" w:csb0="00040000" w:csb1="00000000"/>
  </w:font>
  <w:font w:name="方正黑体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1802C8"/>
    <w:rsid w:val="082B5237"/>
    <w:rsid w:val="09044421"/>
    <w:rsid w:val="0E346A0E"/>
    <w:rsid w:val="130949FB"/>
    <w:rsid w:val="1DBC3089"/>
    <w:rsid w:val="272A1E18"/>
    <w:rsid w:val="366368AE"/>
    <w:rsid w:val="37D41094"/>
    <w:rsid w:val="38C21E9A"/>
    <w:rsid w:val="3A265733"/>
    <w:rsid w:val="3DE822E3"/>
    <w:rsid w:val="43666591"/>
    <w:rsid w:val="531802C8"/>
    <w:rsid w:val="56E8731C"/>
    <w:rsid w:val="5F5C17A0"/>
    <w:rsid w:val="751949A5"/>
    <w:rsid w:val="7FB50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2">
    <w:name w:val="heading 1"/>
    <w:basedOn w:val="1"/>
    <w:next w:val="1"/>
    <w:qFormat/>
    <w:uiPriority w:val="1"/>
    <w:pPr>
      <w:jc w:val="center"/>
      <w:outlineLvl w:val="1"/>
    </w:pPr>
    <w:rPr>
      <w:rFonts w:ascii="方正小标宋简体" w:hAnsi="方正小标宋简体" w:eastAsia="方正小标宋简体" w:cs="方正小标宋简体"/>
      <w:sz w:val="44"/>
      <w:szCs w:val="44"/>
      <w:lang w:val="zh-CN" w:eastAsia="zh-CN" w:bidi="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仿宋_GB2312" w:hAnsi="仿宋_GB2312" w:eastAsia="仿宋_GB2312" w:cs="仿宋_GB2312"/>
      <w:sz w:val="32"/>
      <w:szCs w:val="32"/>
      <w:lang w:val="zh-CN" w:eastAsia="zh-CN" w:bidi="zh-CN"/>
    </w:rPr>
  </w:style>
  <w:style w:type="paragraph" w:customStyle="1" w:styleId="6">
    <w:name w:val="Table Paragraph"/>
    <w:basedOn w:val="1"/>
    <w:qFormat/>
    <w:uiPriority w:val="1"/>
    <w:rPr>
      <w:rFonts w:ascii="方正仿宋_GBK" w:hAnsi="方正仿宋_GBK" w:eastAsia="方正仿宋_GBK" w:cs="方正仿宋_GBK"/>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云南省林业厅</Company>
  <Pages>1</Pages>
  <Words>0</Words>
  <Characters>0</Characters>
  <Lines>0</Lines>
  <Paragraphs>0</Paragraphs>
  <TotalTime>0</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2023-05-31T07:06:00Z</dcterms:created>
  <dc:creator>张淑婷</dc:creator>
  <cp:lastModifiedBy>张淑婷</cp:lastModifiedBy>
  <dcterms:modified xsi:type="dcterms:W3CDTF">2023-05-31T07:06:56Z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